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spacing w:before="0" w:beforeLines="0" w:after="0" w:afterLines="0" w:line="360" w:lineRule="auto"/>
        <w:ind w:right="0"/>
        <w:jc w:val="both"/>
        <w:textAlignment w:val="auto"/>
        <w:outlineLvl w:val="9"/>
        <w:rPr>
          <w:rFonts w:hint="eastAsia" w:ascii="Times New Roman" w:hAnsi="Times New Roman" w:eastAsia="黑体" w:cs="Times New Roman"/>
          <w:b w:val="0"/>
          <w:bCs w:val="0"/>
          <w:sz w:val="32"/>
          <w:szCs w:val="32"/>
          <w:lang w:val="en-US" w:eastAsia="zh-CN"/>
        </w:rPr>
      </w:pPr>
    </w:p>
    <w:p>
      <w:pPr>
        <w:spacing w:line="360" w:lineRule="auto"/>
        <w:ind w:left="0" w:leftChars="0" w:right="0" w:firstLine="0" w:firstLineChars="0"/>
        <w:jc w:val="center"/>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b/>
          <w:bCs/>
          <w:sz w:val="44"/>
          <w:szCs w:val="44"/>
          <w:lang w:eastAsia="zh-CN"/>
        </w:rPr>
        <w:t>节能工作管理项目</w:t>
      </w:r>
      <w:r>
        <w:rPr>
          <w:rFonts w:hint="default" w:ascii="Times New Roman" w:hAnsi="Times New Roman" w:eastAsia="方正小标宋简体" w:cs="Times New Roman"/>
          <w:b/>
          <w:bCs/>
          <w:sz w:val="44"/>
          <w:szCs w:val="44"/>
        </w:rPr>
        <w:t>绩效评价报告</w:t>
      </w:r>
      <w:bookmarkStart w:id="0" w:name="_GoBack"/>
      <w:bookmarkEnd w:id="0"/>
    </w:p>
    <w:p>
      <w:pPr>
        <w:spacing w:line="360" w:lineRule="auto"/>
        <w:ind w:left="0" w:leftChars="0" w:right="0" w:firstLine="0" w:firstLineChars="0"/>
        <w:jc w:val="both"/>
        <w:rPr>
          <w:rFonts w:hint="default" w:ascii="Times New Roman" w:hAnsi="Times New Roman" w:eastAsia="华文楷体" w:cs="Times New Roman"/>
          <w:sz w:val="32"/>
          <w:szCs w:val="32"/>
          <w:lang w:eastAsia="zh-CN"/>
        </w:rPr>
      </w:pPr>
    </w:p>
    <w:p>
      <w:pPr>
        <w:widowControl w:val="0"/>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w:t>
      </w:r>
      <w:r>
        <w:rPr>
          <w:rFonts w:hint="default" w:ascii="Times New Roman" w:hAnsi="Times New Roman" w:eastAsia="仿宋_GB2312" w:cs="Times New Roman"/>
          <w:sz w:val="32"/>
          <w:szCs w:val="32"/>
          <w:lang w:eastAsia="zh-CN"/>
        </w:rPr>
        <w:t>石家庄市鹿泉区区级部门预算绩效管理办法</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（鹿</w:t>
      </w:r>
      <w:r>
        <w:rPr>
          <w:rFonts w:hint="default" w:ascii="Times New Roman" w:hAnsi="Times New Roman" w:eastAsia="仿宋_GB2312" w:cs="Times New Roman"/>
          <w:sz w:val="32"/>
          <w:szCs w:val="32"/>
          <w:lang w:val="en-US" w:eastAsia="zh-CN"/>
        </w:rPr>
        <w:t>财字〔2019〕65号）</w:t>
      </w:r>
      <w:r>
        <w:rPr>
          <w:rFonts w:hint="default" w:ascii="Times New Roman" w:hAnsi="Times New Roman" w:eastAsia="仿宋_GB2312" w:cs="Times New Roman"/>
          <w:sz w:val="32"/>
          <w:szCs w:val="32"/>
        </w:rPr>
        <w:t>，遵循“科学性、规范性、客观性和公正性”的原则，对</w:t>
      </w:r>
      <w:r>
        <w:rPr>
          <w:rFonts w:hint="default" w:ascii="Times New Roman" w:hAnsi="Times New Roman" w:eastAsia="仿宋_GB2312" w:cs="Times New Roman"/>
          <w:sz w:val="32"/>
          <w:szCs w:val="32"/>
          <w:lang w:eastAsia="zh-CN"/>
        </w:rPr>
        <w:t>节能工作管理项目</w:t>
      </w:r>
      <w:r>
        <w:rPr>
          <w:rFonts w:hint="default" w:ascii="Times New Roman" w:hAnsi="Times New Roman" w:eastAsia="仿宋_GB2312" w:cs="Times New Roman"/>
          <w:sz w:val="32"/>
          <w:szCs w:val="32"/>
        </w:rPr>
        <w:t>实施了</w:t>
      </w:r>
      <w:r>
        <w:rPr>
          <w:rFonts w:hint="default" w:ascii="Times New Roman" w:hAnsi="Times New Roman" w:eastAsia="仿宋_GB2312" w:cs="Times New Roman"/>
          <w:sz w:val="32"/>
          <w:szCs w:val="32"/>
          <w:lang w:eastAsia="zh-CN"/>
        </w:rPr>
        <w:t>绩效</w:t>
      </w:r>
      <w:r>
        <w:rPr>
          <w:rFonts w:hint="default" w:ascii="Times New Roman" w:hAnsi="Times New Roman" w:eastAsia="仿宋_GB2312" w:cs="Times New Roman"/>
          <w:sz w:val="32"/>
          <w:szCs w:val="32"/>
        </w:rPr>
        <w:t>评价，形成本评价报告。</w:t>
      </w:r>
    </w:p>
    <w:p>
      <w:pPr>
        <w:widowControl w:val="0"/>
        <w:wordWrap/>
        <w:adjustRightInd w:val="0"/>
        <w:snapToGrid w:val="0"/>
        <w:spacing w:line="596" w:lineRule="exact"/>
        <w:ind w:left="0" w:leftChars="0" w:right="0"/>
        <w:jc w:val="both"/>
        <w:textAlignment w:val="auto"/>
        <w:outlineLvl w:val="9"/>
        <w:rPr>
          <w:rFonts w:hint="default" w:ascii="Times New Roman" w:hAnsi="Times New Roman" w:eastAsia="黑体" w:cs="Times New Roman"/>
          <w:b/>
          <w:bCs/>
          <w:sz w:val="32"/>
          <w:szCs w:val="36"/>
        </w:rPr>
      </w:pPr>
      <w:r>
        <w:rPr>
          <w:rFonts w:hint="default" w:ascii="Times New Roman" w:hAnsi="Times New Roman" w:eastAsia="黑体" w:cs="Times New Roman"/>
          <w:sz w:val="32"/>
          <w:szCs w:val="32"/>
          <w:lang w:val="en-US" w:eastAsia="zh-CN"/>
        </w:rPr>
        <w:t xml:space="preserve">    </w:t>
      </w:r>
      <w:r>
        <w:rPr>
          <w:rFonts w:hint="default" w:ascii="Times New Roman" w:hAnsi="Times New Roman" w:eastAsia="黑体" w:cs="Times New Roman"/>
          <w:b w:val="0"/>
          <w:bCs w:val="0"/>
          <w:sz w:val="32"/>
          <w:szCs w:val="32"/>
        </w:rPr>
        <w:t>一、</w:t>
      </w:r>
      <w:r>
        <w:rPr>
          <w:rFonts w:hint="default" w:ascii="Times New Roman" w:hAnsi="Times New Roman" w:eastAsia="黑体" w:cs="Times New Roman"/>
          <w:b w:val="0"/>
          <w:bCs w:val="0"/>
          <w:sz w:val="32"/>
          <w:szCs w:val="32"/>
          <w:lang w:eastAsia="zh-CN"/>
        </w:rPr>
        <w:t>项目</w:t>
      </w:r>
      <w:r>
        <w:rPr>
          <w:rFonts w:hint="default" w:ascii="Times New Roman" w:hAnsi="Times New Roman" w:eastAsia="黑体" w:cs="Times New Roman"/>
          <w:b w:val="0"/>
          <w:bCs w:val="0"/>
          <w:sz w:val="32"/>
          <w:szCs w:val="36"/>
        </w:rPr>
        <w:t>基本情况</w:t>
      </w:r>
    </w:p>
    <w:p>
      <w:pPr>
        <w:widowControl w:val="0"/>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楷体_GB2312" w:cs="Times New Roman"/>
          <w:b w:val="0"/>
          <w:bCs w:val="0"/>
          <w:sz w:val="32"/>
          <w:szCs w:val="32"/>
        </w:rPr>
      </w:pPr>
      <w:r>
        <w:rPr>
          <w:rFonts w:hint="default" w:ascii="Times New Roman" w:hAnsi="Times New Roman" w:eastAsia="楷体_GB2312" w:cs="Times New Roman"/>
          <w:b w:val="0"/>
          <w:bCs w:val="0"/>
          <w:sz w:val="32"/>
          <w:szCs w:val="32"/>
        </w:rPr>
        <w:t>（一）项目概况</w:t>
      </w:r>
    </w:p>
    <w:p>
      <w:pPr>
        <w:widowControl w:val="0"/>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.石家庄市鹿泉区发展和改革局为节能工作管理项目实施单位；</w:t>
      </w:r>
    </w:p>
    <w:p>
      <w:pPr>
        <w:widowControl w:val="0"/>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2.项目主要实施内容有节能考核资料编制、节能宣传、对重点企业用煤量开展第三方审计、节能培训及资料编制等；</w:t>
      </w:r>
    </w:p>
    <w:p>
      <w:pPr>
        <w:widowControl w:val="0"/>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3.项目资金投入情况：3074.40元用于节能考核资料汇编、12250元用于节能宣传周活动、12000元用于重点企业用煤量第三方审计、30680元用于节能培训及资料编制。</w:t>
      </w:r>
    </w:p>
    <w:p>
      <w:pPr>
        <w:widowControl w:val="0"/>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资金全部来源于区财政开支。</w:t>
      </w:r>
    </w:p>
    <w:p>
      <w:pPr>
        <w:widowControl w:val="0"/>
        <w:numPr>
          <w:ilvl w:val="0"/>
          <w:numId w:val="1"/>
        </w:numPr>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楷体_GB2312" w:cs="Times New Roman"/>
          <w:b w:val="0"/>
          <w:bCs w:val="0"/>
          <w:sz w:val="32"/>
          <w:szCs w:val="32"/>
        </w:rPr>
      </w:pPr>
      <w:r>
        <w:rPr>
          <w:rFonts w:hint="default" w:ascii="Times New Roman" w:hAnsi="Times New Roman" w:eastAsia="楷体_GB2312" w:cs="Times New Roman"/>
          <w:b w:val="0"/>
          <w:bCs w:val="0"/>
          <w:sz w:val="32"/>
          <w:szCs w:val="32"/>
        </w:rPr>
        <w:t>项目</w:t>
      </w:r>
      <w:r>
        <w:rPr>
          <w:rFonts w:hint="default" w:ascii="Times New Roman" w:hAnsi="Times New Roman" w:eastAsia="楷体_GB2312" w:cs="Times New Roman"/>
          <w:b w:val="0"/>
          <w:bCs w:val="0"/>
          <w:sz w:val="32"/>
          <w:szCs w:val="32"/>
          <w:lang w:eastAsia="zh-CN"/>
        </w:rPr>
        <w:t>预期</w:t>
      </w:r>
      <w:r>
        <w:rPr>
          <w:rFonts w:hint="default" w:ascii="Times New Roman" w:hAnsi="Times New Roman" w:eastAsia="楷体_GB2312" w:cs="Times New Roman"/>
          <w:b w:val="0"/>
          <w:bCs w:val="0"/>
          <w:sz w:val="32"/>
          <w:szCs w:val="32"/>
        </w:rPr>
        <w:t>绩效目标</w:t>
      </w:r>
    </w:p>
    <w:p>
      <w:pPr>
        <w:widowControl w:val="0"/>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保障了全区2019年节能目标的实现，促进了区政府节能资金投入，增强了全民节能意识，提高了全区节能降耗工作人员工作业务水平和工作能力，完善了企业的节能管理，强化了各乡镇（区）、各重点企业节能机构能力建设。</w:t>
      </w:r>
    </w:p>
    <w:p>
      <w:pPr>
        <w:widowControl w:val="0"/>
        <w:wordWrap/>
        <w:adjustRightInd w:val="0"/>
        <w:snapToGrid w:val="0"/>
        <w:spacing w:line="596" w:lineRule="exact"/>
        <w:ind w:left="0" w:leftChars="0" w:right="0" w:firstLine="643" w:firstLineChars="200"/>
        <w:jc w:val="both"/>
        <w:textAlignment w:val="auto"/>
        <w:outlineLvl w:val="9"/>
        <w:rPr>
          <w:rFonts w:hint="default" w:ascii="Times New Roman" w:hAnsi="Times New Roman" w:eastAsia="黑体" w:cs="Times New Roman"/>
          <w:b/>
          <w:bCs/>
          <w:sz w:val="32"/>
          <w:szCs w:val="32"/>
          <w:lang w:eastAsia="zh-CN"/>
        </w:rPr>
      </w:pPr>
      <w:r>
        <w:rPr>
          <w:rFonts w:hint="default" w:ascii="Times New Roman" w:hAnsi="Times New Roman" w:eastAsia="黑体" w:cs="Times New Roman"/>
          <w:b/>
          <w:bCs/>
          <w:sz w:val="32"/>
          <w:szCs w:val="32"/>
          <w:lang w:eastAsia="zh-CN"/>
        </w:rPr>
        <w:t>二、绩效评价工作情况</w:t>
      </w:r>
    </w:p>
    <w:p>
      <w:pPr>
        <w:widowControl w:val="0"/>
        <w:wordWrap/>
        <w:spacing w:line="596" w:lineRule="exact"/>
        <w:ind w:left="0" w:leftChars="0" w:right="0" w:firstLine="0" w:firstLineChars="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楷体_GB2312" w:cs="Times New Roman"/>
          <w:b w:val="0"/>
          <w:bCs w:val="0"/>
          <w:sz w:val="32"/>
          <w:szCs w:val="32"/>
          <w:lang w:val="en-US" w:eastAsia="zh-CN"/>
        </w:rPr>
        <w:t>（一）绩效评价的组织工作</w:t>
      </w:r>
    </w:p>
    <w:p>
      <w:pPr>
        <w:widowControl w:val="0"/>
        <w:numPr>
          <w:ilvl w:val="0"/>
          <w:numId w:val="0"/>
        </w:numPr>
        <w:wordWrap/>
        <w:spacing w:line="596" w:lineRule="exact"/>
        <w:ind w:left="0" w:leftChars="0" w:right="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 xml:space="preserve">    该项目评价由能源科管理组织。</w:t>
      </w:r>
    </w:p>
    <w:p>
      <w:pPr>
        <w:widowControl w:val="0"/>
        <w:numPr>
          <w:ilvl w:val="0"/>
          <w:numId w:val="0"/>
        </w:numPr>
        <w:wordWrap/>
        <w:spacing w:line="596" w:lineRule="exact"/>
        <w:ind w:left="0" w:leftChars="0" w:right="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楷体_GB2312" w:cs="Times New Roman"/>
          <w:b/>
          <w:bCs/>
          <w:color w:val="auto"/>
          <w:sz w:val="32"/>
          <w:szCs w:val="32"/>
          <w:lang w:val="en-US" w:eastAsia="zh-CN"/>
        </w:rPr>
        <w:t xml:space="preserve">   </w:t>
      </w:r>
      <w:r>
        <w:rPr>
          <w:rFonts w:hint="default" w:ascii="Times New Roman" w:hAnsi="Times New Roman" w:eastAsia="楷体_GB2312" w:cs="Times New Roman"/>
          <w:b w:val="0"/>
          <w:bCs w:val="0"/>
          <w:color w:val="auto"/>
          <w:sz w:val="32"/>
          <w:szCs w:val="32"/>
          <w:lang w:val="en-US" w:eastAsia="zh-CN"/>
        </w:rPr>
        <w:t>（二）建立绩效评价指标体系</w:t>
      </w:r>
    </w:p>
    <w:p>
      <w:pPr>
        <w:widowControl w:val="0"/>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按照绩效评价发展趋势，节能工作管理资金绩效由投入绩效、过程绩效、产出绩效和效果绩效构成。</w:t>
      </w:r>
    </w:p>
    <w:p>
      <w:pPr>
        <w:widowControl w:val="0"/>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1）投入绩效。项目投入是整个项目活动的基础，与节能工作管理专项的绩效息息相关。投入作为起始环节，在此阶段包括项目立项的规范性、绩效目标的合理性以及资金的落实情况等指标。“投入绩效”目标主要体现为项目的申请、设立过程是否符合相关要求，项目所设立的绩效目标是否依据充分以及治理资金是否足额到位等。</w:t>
      </w:r>
    </w:p>
    <w:p>
      <w:pPr>
        <w:widowControl w:val="0"/>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2）过程绩效。节能工作管理专项的过程绩效以实施过程管理和财务管理为重点，考察节能工作管理专项运行过程中，项目落实情况以及资金的使用情况。主要体现为项目过程的可控性、资金支出结构的合理性以及项目的实施效率等。</w:t>
      </w:r>
    </w:p>
    <w:p>
      <w:pPr>
        <w:widowControl w:val="0"/>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（3）产出绩效。产出绩效用以反映和考核项目产出目标的实现程度和产出质量目标的实现程度，在此阶段包括实际完成率、完成及时率和质量达标率等指标。</w:t>
      </w:r>
    </w:p>
    <w:p>
      <w:pPr>
        <w:widowControl w:val="0"/>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（4）效果绩效。节能工作管理的效果可以从经济效益、社会效益、生态效益、可持续影响能力以及社会公众或服务对象满意度等方面体现出来。</w:t>
      </w:r>
    </w:p>
    <w:p>
      <w:pPr>
        <w:widowControl w:val="0"/>
        <w:wordWrap/>
        <w:spacing w:line="596" w:lineRule="exact"/>
        <w:ind w:left="0" w:leftChars="0" w:right="0"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综上所述，从投入绩效来考察项目投入情况，分析资金落实情况是否严格；从过程绩效来考察节能工作管理专项活动的运行质量；从产出绩效来考察节能工作管理专项的产出情况，从效果绩效来总结节能工作管理专项的最终效果是否达到了预期，检验节能工作管理资金投入系统功能的发挥水平，以便引导节能工作管理专项资金投入未来方向与发展。</w:t>
      </w:r>
    </w:p>
    <w:p>
      <w:pPr>
        <w:widowControl w:val="0"/>
        <w:wordWrap/>
        <w:spacing w:line="596" w:lineRule="exact"/>
        <w:ind w:left="0" w:leftChars="0" w:right="0"/>
        <w:jc w:val="both"/>
        <w:textAlignment w:val="auto"/>
        <w:outlineLvl w:val="9"/>
        <w:rPr>
          <w:rFonts w:hint="default" w:ascii="Times New Roman" w:hAnsi="Times New Roman" w:eastAsia="黑体" w:cs="Times New Roman"/>
          <w:b/>
          <w:bCs/>
          <w:sz w:val="32"/>
          <w:szCs w:val="32"/>
          <w:lang w:eastAsia="zh-CN"/>
        </w:rPr>
      </w:pPr>
      <w:r>
        <w:rPr>
          <w:rFonts w:hint="default" w:ascii="Times New Roman" w:hAnsi="Times New Roman" w:eastAsia="仿宋_GB2312" w:cs="Times New Roman"/>
          <w:b/>
          <w:bCs/>
          <w:sz w:val="32"/>
          <w:szCs w:val="32"/>
          <w:lang w:val="en-US" w:eastAsia="zh-CN"/>
        </w:rPr>
        <w:t xml:space="preserve">    </w:t>
      </w:r>
      <w:r>
        <w:rPr>
          <w:rFonts w:hint="default" w:ascii="Times New Roman" w:hAnsi="Times New Roman" w:eastAsia="黑体" w:cs="Times New Roman"/>
          <w:b w:val="0"/>
          <w:bCs w:val="0"/>
          <w:sz w:val="32"/>
          <w:szCs w:val="32"/>
          <w:lang w:val="en-US" w:eastAsia="zh-CN"/>
        </w:rPr>
        <w:t>三、</w:t>
      </w:r>
      <w:r>
        <w:rPr>
          <w:rFonts w:hint="default" w:ascii="Times New Roman" w:hAnsi="Times New Roman" w:eastAsia="黑体" w:cs="Times New Roman"/>
          <w:b w:val="0"/>
          <w:bCs w:val="0"/>
          <w:sz w:val="32"/>
          <w:szCs w:val="32"/>
          <w:lang w:eastAsia="zh-CN"/>
        </w:rPr>
        <w:t>项目执行及绩效实现情况</w:t>
      </w:r>
    </w:p>
    <w:p>
      <w:pPr>
        <w:widowControl w:val="0"/>
        <w:wordWrap/>
        <w:spacing w:line="596" w:lineRule="exact"/>
        <w:ind w:left="0" w:leftChars="0" w:right="0"/>
        <w:jc w:val="both"/>
        <w:textAlignment w:val="auto"/>
        <w:outlineLvl w:val="9"/>
        <w:rPr>
          <w:rFonts w:hint="default" w:ascii="Times New Roman" w:hAnsi="Times New Roman" w:eastAsia="楷体_GB2312" w:cs="Times New Roman"/>
          <w:b w:val="0"/>
          <w:bCs w:val="0"/>
          <w:sz w:val="32"/>
          <w:szCs w:val="32"/>
          <w:lang w:val="en-US" w:eastAsia="zh-CN"/>
        </w:rPr>
      </w:pPr>
      <w:r>
        <w:rPr>
          <w:rFonts w:hint="default" w:ascii="Times New Roman" w:hAnsi="Times New Roman" w:eastAsia="楷体_GB2312" w:cs="Times New Roman"/>
          <w:b w:val="0"/>
          <w:bCs w:val="0"/>
          <w:sz w:val="32"/>
          <w:szCs w:val="32"/>
          <w:lang w:val="en-US" w:eastAsia="zh-CN"/>
        </w:rPr>
        <w:t xml:space="preserve">   （一）项目投入</w:t>
      </w:r>
    </w:p>
    <w:p>
      <w:pPr>
        <w:widowControl w:val="0"/>
        <w:numPr>
          <w:ilvl w:val="0"/>
          <w:numId w:val="2"/>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项目立项情况分析。该项目为节能日常管理支出，不涉及项目立项。</w:t>
      </w:r>
    </w:p>
    <w:p>
      <w:pPr>
        <w:widowControl w:val="0"/>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2.资金落实情况分析。资金到位情况良好，全部拨付到位。</w:t>
      </w:r>
    </w:p>
    <w:p>
      <w:pPr>
        <w:widowControl w:val="0"/>
        <w:wordWrap/>
        <w:spacing w:line="596" w:lineRule="exact"/>
        <w:ind w:left="0" w:leftChars="0" w:right="0"/>
        <w:jc w:val="both"/>
        <w:textAlignment w:val="auto"/>
        <w:outlineLvl w:val="9"/>
        <w:rPr>
          <w:rFonts w:hint="default" w:ascii="Times New Roman" w:hAnsi="Times New Roman" w:eastAsia="楷体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 xml:space="preserve">   </w:t>
      </w:r>
      <w:r>
        <w:rPr>
          <w:rFonts w:hint="default" w:ascii="Times New Roman" w:hAnsi="Times New Roman" w:eastAsia="楷体_GB2312" w:cs="Times New Roman"/>
          <w:b w:val="0"/>
          <w:bCs w:val="0"/>
          <w:sz w:val="32"/>
          <w:szCs w:val="32"/>
          <w:lang w:val="en-US" w:eastAsia="zh-CN"/>
        </w:rPr>
        <w:t>（二）项目实施过程</w:t>
      </w:r>
    </w:p>
    <w:p>
      <w:pPr>
        <w:widowControl w:val="0"/>
        <w:numPr>
          <w:ilvl w:val="0"/>
          <w:numId w:val="3"/>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 xml:space="preserve">业务管理情况分析。能够按计划执行节能工作管理，总体进展情况较好，实施过程中严格执行文件存档的规定，做到项目实施过程中涉及的所有资料全部存档。档案资料包括：文件通知、编制资料、活动照片、活动总结、审计报告等资料。    </w:t>
      </w:r>
    </w:p>
    <w:p>
      <w:pPr>
        <w:widowControl w:val="0"/>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sz w:val="32"/>
          <w:szCs w:val="32"/>
          <w:lang w:val="en-US" w:eastAsia="zh-CN"/>
        </w:rPr>
        <w:t>2.财务管理。资金使用情况良好，项目资金均进行了合理分配，在总投资额6万元中，</w:t>
      </w:r>
      <w:r>
        <w:rPr>
          <w:rFonts w:hint="default" w:ascii="Times New Roman" w:hAnsi="Times New Roman" w:eastAsia="仿宋_GB2312" w:cs="Times New Roman"/>
          <w:sz w:val="32"/>
          <w:szCs w:val="32"/>
          <w:lang w:val="en-US" w:eastAsia="zh-CN"/>
        </w:rPr>
        <w:t>用于节能考核资料汇编投资金额为3074.40元；用于节能宣传周活动投资金额为12250元；用于重点企业用煤量第三方审计投资金额为12000元；用于节能培训及资料编制投资金额为30680元，结余1995.60元。</w:t>
      </w:r>
    </w:p>
    <w:p>
      <w:pPr>
        <w:widowControl w:val="0"/>
        <w:numPr>
          <w:ilvl w:val="0"/>
          <w:numId w:val="0"/>
        </w:numPr>
        <w:wordWrap/>
        <w:spacing w:line="596" w:lineRule="exact"/>
        <w:ind w:left="0" w:leftChars="0" w:right="0"/>
        <w:jc w:val="both"/>
        <w:textAlignment w:val="auto"/>
        <w:outlineLvl w:val="9"/>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b/>
          <w:bCs/>
          <w:sz w:val="32"/>
          <w:szCs w:val="32"/>
          <w:lang w:val="en-US" w:eastAsia="zh-CN"/>
        </w:rPr>
        <w:t xml:space="preserve">   </w:t>
      </w:r>
      <w:r>
        <w:rPr>
          <w:rFonts w:hint="default" w:ascii="Times New Roman" w:hAnsi="Times New Roman" w:eastAsia="楷体_GB2312" w:cs="Times New Roman"/>
          <w:b w:val="0"/>
          <w:bCs w:val="0"/>
          <w:sz w:val="32"/>
          <w:szCs w:val="32"/>
          <w:lang w:val="en-US" w:eastAsia="zh-CN"/>
        </w:rPr>
        <w:t>（三）项目产出</w:t>
      </w:r>
    </w:p>
    <w:p>
      <w:pPr>
        <w:widowControl w:val="0"/>
        <w:numPr>
          <w:ilvl w:val="0"/>
          <w:numId w:val="4"/>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实际完成率分析。实际完成率用以反映和考核建设项目目标的实现程度。项目共完成4项内容，共计58004.40元，建设情况与计划吻合，实际完成率较高。</w:t>
      </w:r>
    </w:p>
    <w:p>
      <w:pPr>
        <w:widowControl w:val="0"/>
        <w:numPr>
          <w:ilvl w:val="0"/>
          <w:numId w:val="4"/>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完成及时率分析。完成及时率用于反映和考核项目产出时效目标的实现程度。该项目计划于2019年1月开始实施，计划12月底完成，实际从2019年1月开始，12月底完成。完成及时率较高。</w:t>
      </w:r>
    </w:p>
    <w:p>
      <w:pPr>
        <w:widowControl w:val="0"/>
        <w:numPr>
          <w:ilvl w:val="0"/>
          <w:numId w:val="4"/>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质量达标率分析。质量达标率用于反映和考核项目产出质量目标的实现程度。项目实施后，</w:t>
      </w:r>
      <w:r>
        <w:rPr>
          <w:rFonts w:hint="default" w:ascii="Times New Roman" w:hAnsi="Times New Roman" w:eastAsia="仿宋_GB2312" w:cs="Times New Roman"/>
          <w:sz w:val="32"/>
          <w:szCs w:val="32"/>
          <w:lang w:val="en-US" w:eastAsia="zh-CN"/>
        </w:rPr>
        <w:t>保障了全区2019年节能目标的实现，促进了区政府节能资金投入，提高了全区节能降耗工作人员工作业务水平和工作能力，增强了全民节能意识，完善了企业的节能管理，强化了各乡镇（区）、各重点企业节能机构能力建设</w:t>
      </w:r>
      <w:r>
        <w:rPr>
          <w:rFonts w:hint="default" w:ascii="Times New Roman" w:hAnsi="Times New Roman" w:eastAsia="仿宋_GB2312" w:cs="Times New Roman"/>
          <w:sz w:val="32"/>
          <w:szCs w:val="32"/>
          <w:lang w:eastAsia="zh-CN"/>
        </w:rPr>
        <w:t>。质量达标率较高。</w:t>
      </w:r>
    </w:p>
    <w:p>
      <w:pPr>
        <w:widowControl w:val="0"/>
        <w:numPr>
          <w:ilvl w:val="0"/>
          <w:numId w:val="0"/>
        </w:numPr>
        <w:wordWrap/>
        <w:spacing w:line="596" w:lineRule="exact"/>
        <w:ind w:left="0" w:leftChars="0" w:right="0"/>
        <w:jc w:val="both"/>
        <w:textAlignment w:val="auto"/>
        <w:outlineLvl w:val="9"/>
        <w:rPr>
          <w:rFonts w:hint="default" w:ascii="Times New Roman" w:hAnsi="Times New Roman" w:eastAsia="楷体_GB2312" w:cs="Times New Roman"/>
          <w:b w:val="0"/>
          <w:bCs w:val="0"/>
          <w:sz w:val="32"/>
          <w:szCs w:val="32"/>
          <w:lang w:val="en-US" w:eastAsia="zh-CN"/>
        </w:rPr>
      </w:pPr>
      <w:r>
        <w:rPr>
          <w:rFonts w:hint="default" w:ascii="Times New Roman" w:hAnsi="Times New Roman" w:eastAsia="楷体_GB2312" w:cs="Times New Roman"/>
          <w:b/>
          <w:bCs/>
          <w:sz w:val="32"/>
          <w:szCs w:val="32"/>
          <w:lang w:val="en-US" w:eastAsia="zh-CN"/>
        </w:rPr>
        <w:t xml:space="preserve">   </w:t>
      </w:r>
      <w:r>
        <w:rPr>
          <w:rFonts w:hint="default" w:ascii="Times New Roman" w:hAnsi="Times New Roman" w:eastAsia="楷体_GB2312" w:cs="Times New Roman"/>
          <w:b w:val="0"/>
          <w:bCs w:val="0"/>
          <w:sz w:val="32"/>
          <w:szCs w:val="32"/>
          <w:lang w:val="en-US" w:eastAsia="zh-CN"/>
        </w:rPr>
        <w:t>（四）项目效果</w:t>
      </w:r>
    </w:p>
    <w:p>
      <w:pPr>
        <w:widowControl w:val="0"/>
        <w:numPr>
          <w:ilvl w:val="0"/>
          <w:numId w:val="0"/>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楷体_GB2312" w:cs="Times New Roman"/>
          <w:b w:val="0"/>
          <w:bCs w:val="0"/>
          <w:sz w:val="32"/>
          <w:szCs w:val="32"/>
          <w:lang w:val="en-US" w:eastAsia="zh-CN"/>
        </w:rPr>
        <w:t>（1）</w:t>
      </w:r>
      <w:r>
        <w:rPr>
          <w:rFonts w:hint="default" w:ascii="Times New Roman" w:hAnsi="Times New Roman" w:eastAsia="仿宋_GB2312" w:cs="Times New Roman"/>
          <w:b w:val="0"/>
          <w:bCs w:val="0"/>
          <w:sz w:val="32"/>
          <w:szCs w:val="32"/>
          <w:lang w:val="en-US" w:eastAsia="zh-CN"/>
        </w:rPr>
        <w:t>经济效益情况分析。节能工作管理项目为政府管理类投资项目，通过一系列节能工作措施，增强了相关部门、重点企业和广大群众的节能意识，无准确项目产出。政府投资建设该项目，目前并无显著直接的经济效益，但给我区带来了较大的社会效益和生态效益。</w:t>
      </w:r>
    </w:p>
    <w:p>
      <w:pPr>
        <w:widowControl w:val="0"/>
        <w:numPr>
          <w:ilvl w:val="0"/>
          <w:numId w:val="0"/>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（2）社会效益情况分析。通过节能工作管理，</w:t>
      </w:r>
      <w:r>
        <w:rPr>
          <w:rFonts w:hint="default" w:ascii="Times New Roman" w:hAnsi="Times New Roman" w:eastAsia="仿宋_GB2312" w:cs="Times New Roman"/>
          <w:sz w:val="32"/>
          <w:szCs w:val="32"/>
          <w:lang w:val="en-US" w:eastAsia="zh-CN"/>
        </w:rPr>
        <w:t>提高了全区节能降耗工作人员工作业务水平和工作能力，增强了全民节能意识，完善了企业的节能管理，强化了各乡镇（区）、各重点企业节能机构能力建设</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val="0"/>
          <w:bCs w:val="0"/>
          <w:sz w:val="32"/>
          <w:szCs w:val="32"/>
          <w:lang w:val="en-US" w:eastAsia="zh-CN"/>
        </w:rPr>
        <w:t>对未来可持续发展带来长远影响，整体来看，社会效益情况良好。</w:t>
      </w:r>
    </w:p>
    <w:p>
      <w:pPr>
        <w:widowControl w:val="0"/>
        <w:numPr>
          <w:ilvl w:val="0"/>
          <w:numId w:val="0"/>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（3）生态效益情况分析。通过节能工作管理，对资源进行了合理利用，维护了人民群众利益，提高了人居环境质量，保持了良好的生态平衡，促进了社会经济发展进步。故生态效益显著提升。</w:t>
      </w:r>
    </w:p>
    <w:p>
      <w:pPr>
        <w:widowControl w:val="0"/>
        <w:numPr>
          <w:ilvl w:val="0"/>
          <w:numId w:val="0"/>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（4）可持续影响能力分析。“节能”二字前所未有的影响着社会生活的方方面面，也成为影响近几年以及未来中国经济发展走向的热点。节能工作管理是</w:t>
      </w:r>
      <w:r>
        <w:rPr>
          <w:rFonts w:hint="default" w:ascii="Times New Roman" w:hAnsi="Times New Roman" w:eastAsia="仿宋_GB2312" w:cs="Times New Roman"/>
          <w:b w:val="0"/>
          <w:bCs w:val="0"/>
          <w:sz w:val="32"/>
          <w:szCs w:val="32"/>
          <w:lang w:val="en-US" w:eastAsia="zh-CN"/>
        </w:rPr>
        <w:fldChar w:fldCharType="begin"/>
      </w:r>
      <w:r>
        <w:rPr>
          <w:rFonts w:hint="default" w:ascii="Times New Roman" w:hAnsi="Times New Roman" w:eastAsia="仿宋_GB2312" w:cs="Times New Roman"/>
          <w:b w:val="0"/>
          <w:bCs w:val="0"/>
          <w:sz w:val="32"/>
          <w:szCs w:val="32"/>
          <w:lang w:val="en-US" w:eastAsia="zh-CN"/>
        </w:rPr>
        <w:instrText xml:space="preserve"> HYPERLINK "https://www.cbi360.net/" \t "https://www.cbi360.net/hyjd/20190417/_blank" </w:instrText>
      </w:r>
      <w:r>
        <w:rPr>
          <w:rFonts w:hint="default" w:ascii="Times New Roman" w:hAnsi="Times New Roman" w:eastAsia="仿宋_GB2312" w:cs="Times New Roman"/>
          <w:b w:val="0"/>
          <w:bCs w:val="0"/>
          <w:sz w:val="32"/>
          <w:szCs w:val="32"/>
          <w:lang w:val="en-US" w:eastAsia="zh-CN"/>
        </w:rPr>
        <w:fldChar w:fldCharType="separate"/>
      </w:r>
      <w:r>
        <w:rPr>
          <w:rFonts w:hint="default" w:ascii="Times New Roman" w:hAnsi="Times New Roman" w:eastAsia="仿宋_GB2312" w:cs="Times New Roman"/>
          <w:b w:val="0"/>
          <w:bCs w:val="0"/>
          <w:sz w:val="32"/>
          <w:szCs w:val="32"/>
          <w:lang w:val="en-US" w:eastAsia="zh-CN"/>
        </w:rPr>
        <w:t>建设</w:t>
      </w:r>
      <w:r>
        <w:rPr>
          <w:rFonts w:hint="default" w:ascii="Times New Roman" w:hAnsi="Times New Roman" w:eastAsia="仿宋_GB2312" w:cs="Times New Roman"/>
          <w:b w:val="0"/>
          <w:bCs w:val="0"/>
          <w:sz w:val="32"/>
          <w:szCs w:val="32"/>
          <w:lang w:val="en-US" w:eastAsia="zh-CN"/>
        </w:rPr>
        <w:fldChar w:fldCharType="end"/>
      </w:r>
      <w:r>
        <w:rPr>
          <w:rFonts w:hint="default" w:ascii="Times New Roman" w:hAnsi="Times New Roman" w:eastAsia="仿宋_GB2312" w:cs="Times New Roman"/>
          <w:b w:val="0"/>
          <w:bCs w:val="0"/>
          <w:sz w:val="32"/>
          <w:szCs w:val="32"/>
          <w:lang w:val="en-US" w:eastAsia="zh-CN"/>
        </w:rPr>
        <w:t>资源节约型、环境友好型社会的必然选择，是维护中华民族长远利益的必然要求。因此，该项目产出时效呈长远可持续性，可持续影响能力呈现良好状态。</w:t>
      </w:r>
    </w:p>
    <w:p>
      <w:pPr>
        <w:widowControl w:val="0"/>
        <w:numPr>
          <w:ilvl w:val="0"/>
          <w:numId w:val="0"/>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5）社会公众满意度情况分析。该项目实施在改善环境和保障人民群众身心健康等方面都具有重大意义，对于加强人民群众对环境的节约意识，提高对环境节约保护的主动积极性有着深远的影响，也得到了广大人民群众的关心和支持。社会公众满意度高。</w:t>
      </w:r>
    </w:p>
    <w:p>
      <w:pPr>
        <w:widowControl w:val="0"/>
        <w:numPr>
          <w:ilvl w:val="0"/>
          <w:numId w:val="0"/>
        </w:numPr>
        <w:wordWrap/>
        <w:spacing w:line="596" w:lineRule="exact"/>
        <w:ind w:left="0" w:leftChars="0" w:right="0" w:firstLine="640" w:firstLineChars="200"/>
        <w:jc w:val="both"/>
        <w:textAlignment w:val="auto"/>
        <w:outlineLvl w:val="9"/>
        <w:rPr>
          <w:rFonts w:hint="default" w:ascii="Times New Roman" w:hAnsi="Times New Roman" w:eastAsia="黑体" w:cs="Times New Roman"/>
          <w:b w:val="0"/>
          <w:bCs w:val="0"/>
          <w:sz w:val="32"/>
          <w:szCs w:val="32"/>
          <w:lang w:val="en-US" w:eastAsia="zh-CN"/>
        </w:rPr>
      </w:pPr>
      <w:r>
        <w:rPr>
          <w:rFonts w:hint="default" w:ascii="Times New Roman" w:hAnsi="Times New Roman" w:eastAsia="黑体" w:cs="Times New Roman"/>
          <w:b w:val="0"/>
          <w:bCs w:val="0"/>
          <w:sz w:val="32"/>
          <w:szCs w:val="32"/>
          <w:lang w:val="en-US" w:eastAsia="zh-CN"/>
        </w:rPr>
        <w:t>四、项目综合评价结论和评价等级</w:t>
      </w:r>
    </w:p>
    <w:p>
      <w:pPr>
        <w:widowControl w:val="0"/>
        <w:numPr>
          <w:ilvl w:val="0"/>
          <w:numId w:val="0"/>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根据项目执行情况和项目绩效情况，该项目综合绩效评价等级为优秀。</w:t>
      </w:r>
    </w:p>
    <w:p>
      <w:pPr>
        <w:widowControl w:val="0"/>
        <w:numPr>
          <w:ilvl w:val="0"/>
          <w:numId w:val="0"/>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黑体" w:cs="Times New Roman"/>
          <w:b w:val="0"/>
          <w:bCs w:val="0"/>
          <w:sz w:val="32"/>
          <w:szCs w:val="32"/>
          <w:lang w:val="en-US" w:eastAsia="zh-CN"/>
        </w:rPr>
        <w:t>五、存在的问题及改进措施</w:t>
      </w:r>
    </w:p>
    <w:p>
      <w:pPr>
        <w:widowControl w:val="0"/>
        <w:numPr>
          <w:ilvl w:val="0"/>
          <w:numId w:val="0"/>
        </w:numPr>
        <w:wordWrap/>
        <w:spacing w:line="596" w:lineRule="exact"/>
        <w:ind w:left="0" w:leftChars="0" w:right="0"/>
        <w:jc w:val="both"/>
        <w:textAlignment w:val="auto"/>
        <w:outlineLvl w:val="9"/>
        <w:rPr>
          <w:rFonts w:hint="default" w:ascii="Times New Roman" w:hAnsi="Times New Roman" w:eastAsia="楷体_GB2312" w:cs="Times New Roman"/>
          <w:b w:val="0"/>
          <w:bCs w:val="0"/>
          <w:sz w:val="32"/>
          <w:szCs w:val="32"/>
          <w:lang w:val="en-US" w:eastAsia="zh-CN"/>
        </w:rPr>
      </w:pPr>
      <w:r>
        <w:rPr>
          <w:rFonts w:hint="default" w:ascii="Times New Roman" w:hAnsi="Times New Roman" w:eastAsia="楷体_GB2312" w:cs="Times New Roman"/>
          <w:b/>
          <w:bCs/>
          <w:sz w:val="32"/>
          <w:szCs w:val="32"/>
          <w:lang w:val="en-US" w:eastAsia="zh-CN"/>
        </w:rPr>
        <w:t xml:space="preserve"> </w:t>
      </w:r>
      <w:r>
        <w:rPr>
          <w:rFonts w:hint="default" w:ascii="Times New Roman" w:hAnsi="Times New Roman" w:eastAsia="楷体_GB2312" w:cs="Times New Roman"/>
          <w:b w:val="0"/>
          <w:bCs w:val="0"/>
          <w:sz w:val="32"/>
          <w:szCs w:val="32"/>
          <w:lang w:val="en-US" w:eastAsia="zh-CN"/>
        </w:rPr>
        <w:t xml:space="preserve">  （一）项目存在的主要问题</w:t>
      </w:r>
    </w:p>
    <w:p>
      <w:pPr>
        <w:widowControl w:val="0"/>
        <w:numPr>
          <w:ilvl w:val="0"/>
          <w:numId w:val="0"/>
        </w:numPr>
        <w:wordWrap/>
        <w:spacing w:line="596" w:lineRule="exact"/>
        <w:ind w:left="0" w:leftChars="0" w:right="0" w:firstLine="640" w:firstLineChars="20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项目绩效指标科学性不足。绩效是指项目的产出及效果，从项目绩效指标看仅为定性指标，没有定量指标，可能导致项目执行中目标导向性不强，同时，也给绩效评价带来一定的难度。</w:t>
      </w:r>
    </w:p>
    <w:p>
      <w:pPr>
        <w:widowControl w:val="0"/>
        <w:numPr>
          <w:ilvl w:val="0"/>
          <w:numId w:val="0"/>
        </w:numPr>
        <w:wordWrap/>
        <w:spacing w:line="596" w:lineRule="exact"/>
        <w:ind w:left="0" w:leftChars="0" w:right="0"/>
        <w:jc w:val="both"/>
        <w:textAlignment w:val="auto"/>
        <w:outlineLvl w:val="9"/>
        <w:rPr>
          <w:rFonts w:hint="default" w:ascii="Times New Roman" w:hAnsi="Times New Roman" w:eastAsia="楷体_GB2312" w:cs="Times New Roman"/>
          <w:b w:val="0"/>
          <w:bCs w:val="0"/>
          <w:sz w:val="32"/>
          <w:szCs w:val="32"/>
          <w:lang w:val="en-US" w:eastAsia="zh-CN"/>
        </w:rPr>
      </w:pPr>
      <w:r>
        <w:rPr>
          <w:rFonts w:hint="default" w:ascii="Times New Roman" w:hAnsi="Times New Roman" w:eastAsia="楷体_GB2312" w:cs="Times New Roman"/>
          <w:b w:val="0"/>
          <w:bCs w:val="0"/>
          <w:sz w:val="32"/>
          <w:szCs w:val="32"/>
          <w:lang w:val="en-US" w:eastAsia="zh-CN"/>
        </w:rPr>
        <w:t xml:space="preserve">    （二）针对问题提出具体的改进措施或建议</w:t>
      </w:r>
    </w:p>
    <w:p>
      <w:pPr>
        <w:widowControl w:val="0"/>
        <w:numPr>
          <w:ilvl w:val="0"/>
          <w:numId w:val="0"/>
        </w:numPr>
        <w:wordWrap/>
        <w:spacing w:line="596" w:lineRule="exact"/>
        <w:ind w:left="0" w:leftChars="0" w:right="0"/>
        <w:jc w:val="both"/>
        <w:textAlignment w:val="auto"/>
        <w:outlineLvl w:val="9"/>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 xml:space="preserve">    科学设置项目绩效目标。绩效目标具有导向性作用，对于该类项目，应从项目本身出发，确定出科学合理的考核指标体系和衡量标准，既便于指导工作，又便于项目绩效考核。</w:t>
      </w:r>
    </w:p>
    <w:p>
      <w:pPr>
        <w:widowControl w:val="0"/>
        <w:numPr>
          <w:ilvl w:val="0"/>
          <w:numId w:val="5"/>
        </w:numPr>
        <w:wordWrap/>
        <w:adjustRightInd w:val="0"/>
        <w:snapToGrid w:val="0"/>
        <w:spacing w:line="596" w:lineRule="exact"/>
        <w:ind w:left="0" w:leftChars="0" w:right="0" w:firstLine="640" w:firstLineChars="200"/>
        <w:jc w:val="both"/>
        <w:textAlignment w:val="auto"/>
        <w:outlineLvl w:val="9"/>
        <w:rPr>
          <w:rFonts w:hint="default" w:ascii="Times New Roman" w:hAnsi="Times New Roman" w:eastAsia="黑体" w:cs="Times New Roman"/>
          <w:b w:val="0"/>
          <w:bCs w:val="0"/>
          <w:sz w:val="32"/>
          <w:szCs w:val="32"/>
        </w:rPr>
      </w:pPr>
      <w:r>
        <w:rPr>
          <w:rFonts w:hint="default" w:ascii="Times New Roman" w:hAnsi="Times New Roman" w:eastAsia="黑体" w:cs="Times New Roman"/>
          <w:b w:val="0"/>
          <w:bCs w:val="0"/>
          <w:sz w:val="32"/>
          <w:szCs w:val="32"/>
        </w:rPr>
        <w:t>评价工作组人员名单及签字</w:t>
      </w:r>
    </w:p>
    <w:p>
      <w:pPr>
        <w:widowControl w:val="0"/>
        <w:numPr>
          <w:ilvl w:val="0"/>
          <w:numId w:val="0"/>
        </w:numPr>
        <w:wordWrap/>
        <w:adjustRightInd w:val="0"/>
        <w:snapToGrid w:val="0"/>
        <w:spacing w:line="596"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王贞禄</w:t>
      </w:r>
      <w:r>
        <w:rPr>
          <w:rFonts w:hint="eastAsia" w:ascii="Times New Roman" w:hAnsi="Times New Roman" w:eastAsia="仿宋_GB2312" w:cs="Times New Roman"/>
          <w:sz w:val="32"/>
          <w:szCs w:val="32"/>
          <w:lang w:val="en-US" w:eastAsia="zh-CN"/>
        </w:rPr>
        <w:t>、鹿泉区发展和改革局副局长；石俊峰、鹿泉区发展和改革局节能服务中心主任；冀斐、鹿泉区发展和改革局节能服务中心副主任。</w:t>
      </w:r>
    </w:p>
    <w:p>
      <w:pPr>
        <w:widowControl w:val="0"/>
        <w:wordWrap/>
        <w:spacing w:line="596" w:lineRule="exact"/>
        <w:ind w:left="0" w:leftChars="0" w:right="0"/>
        <w:jc w:val="both"/>
        <w:textAlignment w:val="auto"/>
        <w:outlineLvl w:val="9"/>
        <w:rPr>
          <w:rFonts w:hint="default" w:ascii="Times New Roman" w:hAnsi="Times New Roman" w:eastAsia="仿宋_GB2312" w:cs="Times New Roman"/>
          <w:sz w:val="32"/>
          <w:szCs w:val="32"/>
          <w:lang w:val="en-US" w:eastAsia="zh-CN"/>
        </w:rPr>
      </w:pPr>
    </w:p>
    <w:p>
      <w:pPr>
        <w:widowControl w:val="0"/>
        <w:wordWrap/>
        <w:spacing w:line="596" w:lineRule="exact"/>
        <w:ind w:left="0" w:leftChars="0" w:right="0"/>
        <w:jc w:val="both"/>
        <w:textAlignment w:val="auto"/>
        <w:outlineLvl w:val="9"/>
        <w:rPr>
          <w:rFonts w:hint="default" w:ascii="Times New Roman" w:hAnsi="Times New Roman" w:cs="Times New Roman"/>
        </w:rPr>
      </w:pPr>
    </w:p>
    <w:sectPr>
      <w:footerReference r:id="rId5" w:type="first"/>
      <w:footerReference r:id="rId3" w:type="default"/>
      <w:footerReference r:id="rId4" w:type="even"/>
      <w:pgSz w:w="11906" w:h="16838"/>
      <w:pgMar w:top="1474" w:right="1701" w:bottom="1474" w:left="1701" w:header="851" w:footer="1276"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微软雅黑"/>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w:pict>
        <v:shape id="_x0000_s4098" o:spid="_x0000_s4098"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weight="1.25pt"/>
          <v:imagedata o:title=""/>
          <o:lock v:ext="edit" aspectratio="f"/>
          <v:textbox inset="0mm,0mm,0mm,0mm" style="mso-fit-shape-to-text:t;">
            <w:txbxContent>
              <w:p>
                <w:pPr>
                  <w:snapToGrid w:val="0"/>
                  <w:rPr>
                    <w:rFonts w:hint="eastAsia" w:eastAsia="宋体"/>
                    <w:sz w:val="18"/>
                    <w:lang w:eastAsia="zh-CN"/>
                  </w:rPr>
                </w:pPr>
                <w:r>
                  <w:rPr>
                    <w:rFonts w:hint="eastAsia" w:asciiTheme="minorEastAsia" w:hAnsiTheme="minorEastAsia" w:eastAsiaTheme="minorEastAsia" w:cstheme="minorEastAsia"/>
                    <w:sz w:val="24"/>
                    <w:szCs w:val="24"/>
                    <w:lang w:eastAsia="zh-CN"/>
                  </w:rPr>
                  <w:fldChar w:fldCharType="begin"/>
                </w:r>
                <w:r>
                  <w:rPr>
                    <w:rFonts w:hint="eastAsia" w:asciiTheme="minorEastAsia" w:hAnsiTheme="minorEastAsia" w:eastAsiaTheme="minorEastAsia" w:cstheme="minorEastAsia"/>
                    <w:sz w:val="24"/>
                    <w:szCs w:val="24"/>
                    <w:lang w:eastAsia="zh-CN"/>
                  </w:rPr>
                  <w:instrText xml:space="preserve"> PAGE  \* MERGEFORMAT </w:instrText>
                </w:r>
                <w:r>
                  <w:rPr>
                    <w:rFonts w:hint="eastAsia" w:asciiTheme="minorEastAsia" w:hAnsiTheme="minorEastAsia" w:eastAsiaTheme="minorEastAsia" w:cstheme="minorEastAsia"/>
                    <w:sz w:val="24"/>
                    <w:szCs w:val="24"/>
                    <w:lang w:eastAsia="zh-CN"/>
                  </w:rPr>
                  <w:fldChar w:fldCharType="separate"/>
                </w:r>
                <w:r>
                  <w:rPr>
                    <w:rFonts w:hint="eastAsia" w:asciiTheme="minorEastAsia" w:hAnsiTheme="minorEastAsia" w:eastAsiaTheme="minorEastAsia" w:cstheme="minorEastAsia"/>
                    <w:sz w:val="24"/>
                    <w:szCs w:val="24"/>
                    <w:lang w:eastAsia="zh-CN"/>
                  </w:rPr>
                  <w:t>2</w:t>
                </w:r>
                <w:r>
                  <w:rPr>
                    <w:rFonts w:hint="eastAsia" w:asciiTheme="minorEastAsia" w:hAnsiTheme="minorEastAsia" w:eastAsiaTheme="minorEastAsia" w:cstheme="minorEastAsia"/>
                    <w:sz w:val="24"/>
                    <w:szCs w:val="24"/>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weight="1.2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000C1"/>
    <w:multiLevelType w:val="singleLevel"/>
    <w:tmpl w:val="5E1000C1"/>
    <w:lvl w:ilvl="0" w:tentative="0">
      <w:start w:val="2"/>
      <w:numFmt w:val="chineseCounting"/>
      <w:suff w:val="nothing"/>
      <w:lvlText w:val="（%1）"/>
      <w:lvlJc w:val="left"/>
    </w:lvl>
  </w:abstractNum>
  <w:abstractNum w:abstractNumId="1">
    <w:nsid w:val="5E103E84"/>
    <w:multiLevelType w:val="singleLevel"/>
    <w:tmpl w:val="5E103E84"/>
    <w:lvl w:ilvl="0" w:tentative="0">
      <w:start w:val="1"/>
      <w:numFmt w:val="decimal"/>
      <w:suff w:val="nothing"/>
      <w:lvlText w:val="%1."/>
      <w:lvlJc w:val="left"/>
    </w:lvl>
  </w:abstractNum>
  <w:abstractNum w:abstractNumId="2">
    <w:nsid w:val="5E1040A9"/>
    <w:multiLevelType w:val="singleLevel"/>
    <w:tmpl w:val="5E1040A9"/>
    <w:lvl w:ilvl="0" w:tentative="0">
      <w:start w:val="1"/>
      <w:numFmt w:val="decimal"/>
      <w:suff w:val="nothing"/>
      <w:lvlText w:val="%1."/>
      <w:lvlJc w:val="left"/>
    </w:lvl>
  </w:abstractNum>
  <w:abstractNum w:abstractNumId="3">
    <w:nsid w:val="5E104276"/>
    <w:multiLevelType w:val="singleLevel"/>
    <w:tmpl w:val="5E104276"/>
    <w:lvl w:ilvl="0" w:tentative="0">
      <w:start w:val="1"/>
      <w:numFmt w:val="decimal"/>
      <w:suff w:val="nothing"/>
      <w:lvlText w:val="（%1）"/>
      <w:lvlJc w:val="left"/>
    </w:lvl>
  </w:abstractNum>
  <w:abstractNum w:abstractNumId="4">
    <w:nsid w:val="5E12A83A"/>
    <w:multiLevelType w:val="singleLevel"/>
    <w:tmpl w:val="5E12A83A"/>
    <w:lvl w:ilvl="0" w:tentative="0">
      <w:start w:val="6"/>
      <w:numFmt w:val="chineseCounting"/>
      <w:suff w:val="nothing"/>
      <w:lvlText w:val="%1、"/>
      <w:lvlJc w:val="left"/>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2A2941B7"/>
    <w:rsid w:val="020F190E"/>
    <w:rsid w:val="03001235"/>
    <w:rsid w:val="068A753E"/>
    <w:rsid w:val="171A47D5"/>
    <w:rsid w:val="1C23047F"/>
    <w:rsid w:val="2A2941B7"/>
    <w:rsid w:val="2B8B1218"/>
    <w:rsid w:val="30EE356D"/>
    <w:rsid w:val="3398017D"/>
    <w:rsid w:val="43EB16B1"/>
    <w:rsid w:val="477437F1"/>
    <w:rsid w:val="4A455041"/>
    <w:rsid w:val="4C535981"/>
    <w:rsid w:val="4FE32B03"/>
    <w:rsid w:val="51C97D24"/>
    <w:rsid w:val="6D716CED"/>
    <w:rsid w:val="71681C16"/>
    <w:rsid w:val="79B52A9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4">
    <w:name w:val="Default Paragraph Font"/>
    <w:link w:val="5"/>
    <w:semiHidden/>
    <w:uiPriority w:val="0"/>
  </w:style>
  <w:style w:type="table" w:default="1" w:styleId="8">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 w:type="character" w:styleId="7">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8" textRotate="1"/>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2020-01-07T08:41:41Z</dcterms:modified>
  <dc:title>节能工作管理项目绩效评价报告（正文）</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