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line="578" w:lineRule="exact"/>
        <w:ind w:left="0" w:leftChars="0" w:right="0" w:rightChars="0"/>
        <w:jc w:val="both"/>
        <w:textAlignment w:val="auto"/>
        <w:outlineLvl w:val="9"/>
        <w:rPr>
          <w:rFonts w:hint="eastAsia" w:ascii="黑体" w:hAnsi="黑体" w:eastAsia="黑体" w:cs="黑体"/>
          <w:b w:val="0"/>
          <w:bCs w:val="0"/>
          <w:sz w:val="32"/>
          <w:szCs w:val="32"/>
          <w:lang w:val="en-US" w:eastAsia="zh-CN"/>
        </w:rPr>
      </w:pPr>
    </w:p>
    <w:p>
      <w:pPr>
        <w:keepNext w:val="0"/>
        <w:keepLines w:val="0"/>
        <w:pageBreakBefore w:val="0"/>
        <w:widowControl w:val="0"/>
        <w:kinsoku/>
        <w:wordWrap/>
        <w:overflowPunct/>
        <w:topLinePunct w:val="0"/>
        <w:autoSpaceDE/>
        <w:bidi w:val="0"/>
        <w:spacing w:line="578" w:lineRule="exact"/>
        <w:ind w:left="0" w:leftChars="0" w:right="0" w:rightChars="0" w:firstLine="0" w:firstLineChars="0"/>
        <w:jc w:val="center"/>
        <w:rPr>
          <w:rFonts w:hint="eastAsia" w:ascii="仿宋" w:hAnsi="仿宋" w:eastAsia="仿宋" w:cs="仿宋"/>
          <w:sz w:val="32"/>
          <w:szCs w:val="32"/>
          <w:lang w:eastAsia="zh-CN"/>
        </w:rPr>
      </w:pPr>
      <w:r>
        <w:rPr>
          <w:rFonts w:hint="eastAsia" w:ascii="宋体"/>
          <w:b/>
          <w:bCs/>
          <w:sz w:val="36"/>
          <w:szCs w:val="32"/>
          <w:lang w:val="en-US" w:eastAsia="zh-CN"/>
        </w:rPr>
        <w:t>鹿泉区智慧城市</w:t>
      </w:r>
      <w:r>
        <w:rPr>
          <w:rFonts w:hint="eastAsia" w:ascii="宋体"/>
          <w:b/>
          <w:bCs/>
          <w:sz w:val="36"/>
          <w:szCs w:val="32"/>
          <w:lang w:eastAsia="zh-CN"/>
        </w:rPr>
        <w:t>项目</w:t>
      </w:r>
      <w:r>
        <w:rPr>
          <w:rFonts w:hint="eastAsia" w:ascii="宋体"/>
          <w:b/>
          <w:bCs/>
          <w:sz w:val="36"/>
          <w:szCs w:val="32"/>
        </w:rPr>
        <w:t>绩效评价报告</w:t>
      </w:r>
    </w:p>
    <w:p>
      <w:pPr>
        <w:keepNext w:val="0"/>
        <w:keepLines w:val="0"/>
        <w:pageBreakBefore w:val="0"/>
        <w:widowControl w:val="0"/>
        <w:kinsoku/>
        <w:wordWrap/>
        <w:overflowPunct/>
        <w:topLinePunct w:val="0"/>
        <w:autoSpaceDE/>
        <w:bidi w:val="0"/>
        <w:spacing w:line="578" w:lineRule="exact"/>
        <w:ind w:left="0" w:leftChars="0" w:right="0" w:righ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pPr>
        <w:keepNext w:val="0"/>
        <w:keepLines w:val="0"/>
        <w:pageBreakBefore w:val="0"/>
        <w:widowControl w:val="0"/>
        <w:kinsoku/>
        <w:wordWrap/>
        <w:overflowPunct/>
        <w:topLinePunct w:val="0"/>
        <w:autoSpaceDE/>
        <w:bidi w:val="0"/>
        <w:adjustRightInd w:val="0"/>
        <w:snapToGrid w:val="0"/>
        <w:spacing w:line="578" w:lineRule="exact"/>
        <w:ind w:left="0" w:leftChars="0" w:right="0" w:rightChars="0"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en-US" w:eastAsia="zh-CN"/>
        </w:rPr>
        <w:t>鹿泉区智慧城市</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keepNext w:val="0"/>
        <w:keepLines w:val="0"/>
        <w:pageBreakBefore w:val="0"/>
        <w:widowControl w:val="0"/>
        <w:kinsoku/>
        <w:wordWrap/>
        <w:overflowPunct/>
        <w:topLinePunct w:val="0"/>
        <w:autoSpaceDE/>
        <w:bidi w:val="0"/>
        <w:adjustRightInd w:val="0"/>
        <w:snapToGrid w:val="0"/>
        <w:spacing w:line="578" w:lineRule="exact"/>
        <w:ind w:left="0" w:leftChars="0" w:right="0" w:rightChars="0"/>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outlineLvl w:val="9"/>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rightChars="0" w:firstLine="640" w:firstLineChars="200"/>
        <w:jc w:val="both"/>
        <w:textAlignment w:val="auto"/>
        <w:outlineLvl w:val="9"/>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项目实施单位及项目立项等基本情况；</w:t>
      </w:r>
    </w:p>
    <w:p>
      <w:pPr>
        <w:keepNext w:val="0"/>
        <w:keepLines w:val="0"/>
        <w:pageBreakBefore w:val="0"/>
        <w:widowControl w:val="0"/>
        <w:kinsoku/>
        <w:wordWrap/>
        <w:overflowPunct/>
        <w:topLinePunct w:val="0"/>
        <w:autoSpaceDE/>
        <w:bidi w:val="0"/>
        <w:spacing w:line="578" w:lineRule="exact"/>
        <w:ind w:left="0" w:leftChars="0" w:right="0" w:rightChars="0" w:firstLine="640" w:firstLineChars="200"/>
        <w:textAlignment w:val="auto"/>
        <w:rPr>
          <w:rFonts w:hint="eastAsia" w:ascii="仿宋_GB2312" w:eastAsia="仿宋_GB2312"/>
          <w:sz w:val="32"/>
          <w:szCs w:val="32"/>
        </w:rPr>
      </w:pPr>
      <w:r>
        <w:rPr>
          <w:rFonts w:hint="eastAsia" w:ascii="仿宋_GB2312" w:eastAsia="仿宋_GB2312"/>
          <w:sz w:val="32"/>
          <w:szCs w:val="32"/>
        </w:rPr>
        <w:t>为加强项目建设工作，鹿泉区成立“智慧城市建设工作领导小组”，来推进智慧城市相关项目规划与实施，负责确定智慧城市建设发展战略、规划和政策，统筹协调发展中的重大问题</w:t>
      </w:r>
      <w:r>
        <w:rPr>
          <w:rFonts w:hint="eastAsia" w:ascii="仿宋_GB2312" w:eastAsia="仿宋_GB2312"/>
          <w:sz w:val="32"/>
          <w:szCs w:val="32"/>
          <w:lang w:eastAsia="zh-CN"/>
        </w:rPr>
        <w:t>。</w:t>
      </w:r>
      <w:r>
        <w:rPr>
          <w:rFonts w:hint="eastAsia" w:ascii="仿宋_GB2312" w:eastAsia="仿宋_GB2312"/>
          <w:sz w:val="32"/>
          <w:szCs w:val="32"/>
          <w:lang w:val="en-US" w:eastAsia="zh-CN"/>
        </w:rPr>
        <w:t>经区政府同意，该项目采用</w:t>
      </w:r>
      <w:r>
        <w:rPr>
          <w:rFonts w:hint="eastAsia" w:ascii="仿宋_GB2312" w:eastAsia="仿宋_GB2312"/>
          <w:sz w:val="32"/>
          <w:szCs w:val="32"/>
        </w:rPr>
        <w:t>PPP模式</w:t>
      </w:r>
      <w:r>
        <w:rPr>
          <w:rFonts w:hint="eastAsia" w:ascii="仿宋_GB2312" w:eastAsia="仿宋_GB2312"/>
          <w:sz w:val="32"/>
          <w:szCs w:val="32"/>
          <w:lang w:eastAsia="zh-CN"/>
        </w:rPr>
        <w:t>，</w:t>
      </w:r>
      <w:r>
        <w:rPr>
          <w:rFonts w:hint="eastAsia" w:ascii="仿宋_GB2312" w:eastAsia="仿宋_GB2312"/>
          <w:sz w:val="32"/>
          <w:szCs w:val="32"/>
          <w:lang w:val="en-US" w:eastAsia="zh-CN"/>
        </w:rPr>
        <w:t>区发改局局作为项目实施机构；</w:t>
      </w:r>
      <w:r>
        <w:rPr>
          <w:rFonts w:hint="eastAsia" w:ascii="仿宋_GB2312" w:eastAsia="仿宋_GB2312"/>
          <w:sz w:val="32"/>
          <w:szCs w:val="32"/>
        </w:rPr>
        <w:t>智慧城市建设指挥部负责牵头开展各项前期工作；鹿泉区城市建设投资公司作为智慧城市PPP项目的政府出资代表，代表政府在项目公司持股，参与智慧城市的建设运营。</w:t>
      </w:r>
    </w:p>
    <w:p>
      <w:pPr>
        <w:pStyle w:val="2"/>
        <w:keepNext w:val="0"/>
        <w:keepLines w:val="0"/>
        <w:pageBreakBefore w:val="0"/>
        <w:kinsoku/>
        <w:wordWrap/>
        <w:overflowPunct/>
        <w:topLinePunct w:val="0"/>
        <w:bidi w:val="0"/>
        <w:spacing w:line="578" w:lineRule="exact"/>
        <w:ind w:left="0" w:leftChars="0" w:right="0" w:rightChars="0" w:firstLine="640" w:firstLineChars="200"/>
        <w:rPr>
          <w:rFonts w:hint="eastAsia" w:hAnsi="仿宋_GB2312" w:cs="仿宋_GB2312"/>
          <w:bCs/>
          <w:sz w:val="32"/>
          <w:szCs w:val="32"/>
          <w:lang w:val="en-US" w:eastAsia="zh-CN"/>
        </w:rPr>
      </w:pPr>
      <w:r>
        <w:rPr>
          <w:rFonts w:hint="eastAsia"/>
          <w:sz w:val="32"/>
          <w:szCs w:val="32"/>
          <w:lang w:val="en-US" w:eastAsia="zh-CN"/>
        </w:rPr>
        <w:t>该项目各项手续完备，</w:t>
      </w:r>
      <w:r>
        <w:rPr>
          <w:rFonts w:hint="eastAsia" w:ascii="仿宋_GB2312" w:hAnsi="仿宋_GB2312" w:eastAsia="仿宋_GB2312" w:cs="仿宋_GB2312"/>
          <w:sz w:val="32"/>
          <w:szCs w:val="32"/>
          <w:lang w:val="en-US" w:eastAsia="zh-CN"/>
        </w:rPr>
        <w:t>2018年</w:t>
      </w:r>
      <w:r>
        <w:rPr>
          <w:rFonts w:hint="eastAsia" w:ascii="仿宋_GB2312" w:hAnsi="仿宋_GB2312" w:eastAsia="仿宋_GB2312" w:cs="仿宋_GB2312"/>
          <w:bCs/>
          <w:sz w:val="32"/>
          <w:szCs w:val="32"/>
          <w:lang w:val="en-US" w:eastAsia="zh-CN"/>
        </w:rPr>
        <w:t>4月12日，</w:t>
      </w:r>
      <w:r>
        <w:rPr>
          <w:rFonts w:hint="eastAsia" w:hAnsi="仿宋_GB2312" w:cs="仿宋_GB2312"/>
          <w:bCs/>
          <w:sz w:val="32"/>
          <w:szCs w:val="32"/>
          <w:lang w:val="en-US" w:eastAsia="zh-CN"/>
        </w:rPr>
        <w:t>经</w:t>
      </w:r>
      <w:r>
        <w:rPr>
          <w:rFonts w:hint="eastAsia" w:ascii="仿宋_GB2312" w:hAnsi="仿宋_GB2312" w:eastAsia="仿宋_GB2312" w:cs="仿宋_GB2312"/>
          <w:bCs/>
          <w:sz w:val="32"/>
          <w:szCs w:val="32"/>
          <w:lang w:val="en-US" w:eastAsia="zh-CN"/>
        </w:rPr>
        <w:t>鹿泉区行政审批局</w:t>
      </w:r>
      <w:r>
        <w:rPr>
          <w:rFonts w:hint="eastAsia" w:hAnsi="仿宋_GB2312" w:cs="仿宋_GB2312"/>
          <w:bCs/>
          <w:sz w:val="32"/>
          <w:szCs w:val="32"/>
          <w:lang w:val="en-US" w:eastAsia="zh-CN"/>
        </w:rPr>
        <w:t>审批</w:t>
      </w:r>
      <w:r>
        <w:rPr>
          <w:rFonts w:hint="eastAsia" w:ascii="仿宋_GB2312" w:hAnsi="仿宋_GB2312" w:eastAsia="仿宋_GB2312" w:cs="仿宋_GB2312"/>
          <w:bCs/>
          <w:sz w:val="32"/>
          <w:szCs w:val="32"/>
          <w:lang w:val="en-US" w:eastAsia="zh-CN"/>
        </w:rPr>
        <w:t>立项</w:t>
      </w:r>
      <w:r>
        <w:rPr>
          <w:rFonts w:hint="eastAsia" w:hAnsi="仿宋_GB2312" w:cs="仿宋_GB2312"/>
          <w:bCs/>
          <w:sz w:val="32"/>
          <w:szCs w:val="32"/>
          <w:lang w:val="en-US" w:eastAsia="zh-CN"/>
        </w:rPr>
        <w:t>，2018年6月经过省财政厅和财政部审核进入国家PPP项目库。</w:t>
      </w:r>
    </w:p>
    <w:p>
      <w:pPr>
        <w:keepNext w:val="0"/>
        <w:keepLines w:val="0"/>
        <w:pageBreakBefore w:val="0"/>
        <w:widowControl w:val="0"/>
        <w:kinsoku/>
        <w:wordWrap/>
        <w:overflowPunct/>
        <w:topLinePunct w:val="0"/>
        <w:autoSpaceDE/>
        <w:bidi w:val="0"/>
        <w:adjustRightInd w:val="0"/>
        <w:snapToGrid w:val="0"/>
        <w:spacing w:line="578" w:lineRule="exact"/>
        <w:ind w:left="0" w:leftChars="0" w:right="0" w:rightChars="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2.项目主要实施内容和范围；</w:t>
      </w:r>
    </w:p>
    <w:p>
      <w:pPr>
        <w:keepNext w:val="0"/>
        <w:keepLines w:val="0"/>
        <w:pageBreakBefore w:val="0"/>
        <w:widowControl/>
        <w:kinsoku/>
        <w:wordWrap/>
        <w:overflowPunct/>
        <w:topLinePunct w:val="0"/>
        <w:bidi w:val="0"/>
        <w:spacing w:line="578" w:lineRule="exact"/>
        <w:ind w:left="0" w:leftChars="0" w:right="0" w:rightChars="0" w:firstLine="640" w:firstLineChars="200"/>
        <w:textAlignment w:val="auto"/>
        <w:rPr>
          <w:rFonts w:hint="eastAsia" w:ascii="仿宋_GB2312" w:hAnsi="仿宋_GB2312" w:eastAsia="仿宋_GB2312" w:cs="仿宋_GB2312"/>
          <w:snapToGrid w:val="0"/>
          <w:sz w:val="32"/>
          <w:szCs w:val="32"/>
          <w:lang w:val="zh-CN"/>
        </w:rPr>
      </w:pPr>
      <w:r>
        <w:rPr>
          <w:rFonts w:hint="eastAsia" w:ascii="仿宋_GB2312" w:hAnsi="仿宋_GB2312" w:eastAsia="仿宋_GB2312" w:cs="仿宋_GB2312"/>
          <w:snapToGrid w:val="0"/>
          <w:sz w:val="32"/>
          <w:szCs w:val="32"/>
        </w:rPr>
        <w:t>依据智慧鹿泉总体战略与目标定位，本项目对主要建设内容实现项目化，</w:t>
      </w:r>
      <w:r>
        <w:rPr>
          <w:rFonts w:hint="eastAsia" w:ascii="仿宋_GB2312" w:hAnsi="仿宋_GB2312" w:eastAsia="仿宋_GB2312" w:cs="仿宋_GB2312"/>
          <w:snapToGrid w:val="0"/>
          <w:sz w:val="32"/>
          <w:szCs w:val="32"/>
          <w:lang w:val="zh-CN"/>
        </w:rPr>
        <w:t>“鹿泉区新型智慧城市”共包括16个重大项目，涵盖</w:t>
      </w:r>
      <w:r>
        <w:rPr>
          <w:rFonts w:hint="eastAsia" w:ascii="仿宋_GB2312" w:hAnsi="仿宋_GB2312" w:eastAsia="仿宋_GB2312" w:cs="仿宋_GB2312"/>
          <w:snapToGrid w:val="0"/>
          <w:sz w:val="32"/>
          <w:szCs w:val="32"/>
        </w:rPr>
        <w:t>基础设施、大数据平台、智慧城市运行指挥中心、智慧旅游、平安城市、智慧城管、</w:t>
      </w:r>
      <w:r>
        <w:rPr>
          <w:rFonts w:hint="eastAsia" w:ascii="仿宋_GB2312" w:hAnsi="仿宋_GB2312" w:eastAsia="仿宋_GB2312" w:cs="仿宋_GB2312"/>
          <w:snapToGrid w:val="0"/>
          <w:sz w:val="32"/>
          <w:szCs w:val="32"/>
          <w:lang w:val="zh-CN"/>
        </w:rPr>
        <w:t>互联网+政务服务平台、政务协同办公平台、信用服务平台、智慧路灯、智慧交通、智慧教育、智慧医疗、智慧社区、</w:t>
      </w:r>
      <w:r>
        <w:rPr>
          <w:rFonts w:hint="eastAsia" w:ascii="仿宋_GB2312" w:hAnsi="仿宋_GB2312" w:eastAsia="仿宋_GB2312" w:cs="仿宋_GB2312"/>
          <w:snapToGrid w:val="0"/>
          <w:sz w:val="32"/>
          <w:szCs w:val="32"/>
        </w:rPr>
        <w:t>智慧园区、</w:t>
      </w:r>
      <w:r>
        <w:rPr>
          <w:rFonts w:hint="eastAsia" w:ascii="仿宋_GB2312" w:hAnsi="仿宋_GB2312" w:eastAsia="仿宋_GB2312" w:cs="仿宋_GB2312"/>
          <w:snapToGrid w:val="0"/>
          <w:sz w:val="32"/>
          <w:szCs w:val="32"/>
          <w:lang w:val="zh-CN"/>
        </w:rPr>
        <w:t>智慧环保。</w:t>
      </w:r>
    </w:p>
    <w:p>
      <w:pPr>
        <w:keepNext w:val="0"/>
        <w:keepLines w:val="0"/>
        <w:pageBreakBefore w:val="0"/>
        <w:widowControl w:val="0"/>
        <w:kinsoku/>
        <w:wordWrap/>
        <w:overflowPunct/>
        <w:topLinePunct w:val="0"/>
        <w:autoSpaceDE/>
        <w:bidi w:val="0"/>
        <w:adjustRightInd w:val="0"/>
        <w:snapToGrid w:val="0"/>
        <w:spacing w:line="578" w:lineRule="exact"/>
        <w:ind w:left="0" w:leftChars="0" w:right="0" w:rightChars="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3.项目资金投入情况（资金数量、资金结构、资金来源渠道等）</w:t>
      </w:r>
    </w:p>
    <w:p>
      <w:pPr>
        <w:keepNext w:val="0"/>
        <w:keepLines w:val="0"/>
        <w:pageBreakBefore w:val="0"/>
        <w:kinsoku/>
        <w:wordWrap/>
        <w:overflowPunct/>
        <w:topLinePunct w:val="0"/>
        <w:bidi w:val="0"/>
        <w:spacing w:line="578" w:lineRule="exact"/>
        <w:ind w:left="0" w:leftChars="0" w:right="0" w:rightChars="0" w:firstLine="640" w:firstLineChars="200"/>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本项目总投资63467万元，建设投资58345.87万元（其中工程费用及系统购置费46000万元，安装工程费7377.28万元，工程建设其他费用3269.19万元，预备费1699.39万元），建设期利息4374.08万元，流动资金747.05</w:t>
      </w:r>
      <w:r>
        <w:rPr>
          <w:rFonts w:hint="eastAsia" w:ascii="仿宋_GB2312" w:hAnsi="仿宋_GB2312" w:eastAsia="仿宋_GB2312" w:cs="仿宋_GB2312"/>
          <w:b w:val="0"/>
          <w:bCs/>
          <w:sz w:val="32"/>
          <w:szCs w:val="32"/>
          <w:lang w:val="en-US" w:eastAsia="zh-CN"/>
        </w:rPr>
        <w:t>万元</w:t>
      </w:r>
      <w:r>
        <w:rPr>
          <w:rFonts w:hint="eastAsia" w:ascii="仿宋_GB2312" w:hAnsi="仿宋_GB2312" w:eastAsia="仿宋_GB2312" w:cs="仿宋_GB2312"/>
          <w:b w:val="0"/>
          <w:bCs/>
          <w:sz w:val="32"/>
          <w:szCs w:val="32"/>
        </w:rPr>
        <w:t>。</w:t>
      </w:r>
    </w:p>
    <w:p>
      <w:pPr>
        <w:keepNext w:val="0"/>
        <w:keepLines w:val="0"/>
        <w:pageBreakBefore w:val="0"/>
        <w:kinsoku/>
        <w:wordWrap/>
        <w:overflowPunct/>
        <w:topLinePunct w:val="0"/>
        <w:bidi w:val="0"/>
        <w:spacing w:line="578" w:lineRule="exact"/>
        <w:ind w:left="0" w:leftChars="0" w:right="0" w:rightChars="0" w:firstLine="640" w:firstLineChars="200"/>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项目建设资金分年分阶段投入项目建设当中，一期（2018年）投资额为36746万元，占总投资的58%，二期（2019年）投资为16115万元，占总投资的25%，三期（2020年）投资额为10606万元，占总投资的17%。</w:t>
      </w:r>
    </w:p>
    <w:p>
      <w:pPr>
        <w:pStyle w:val="2"/>
        <w:keepNext w:val="0"/>
        <w:keepLines w:val="0"/>
        <w:pageBreakBefore w:val="0"/>
        <w:kinsoku/>
        <w:wordWrap/>
        <w:overflowPunct/>
        <w:topLinePunct w:val="0"/>
        <w:bidi w:val="0"/>
        <w:spacing w:line="578" w:lineRule="exact"/>
        <w:ind w:left="0" w:leftChars="0" w:right="0" w:rightChars="0" w:firstLine="640" w:firstLineChars="200"/>
        <w:rPr>
          <w:rFonts w:hint="eastAsia" w:ascii="仿宋_GB2312" w:hAnsi="仿宋_GB2312" w:eastAsia="仿宋_GB2312" w:cs="仿宋_GB2312"/>
          <w:b w:val="0"/>
          <w:bCs w:val="0"/>
          <w:sz w:val="32"/>
          <w:szCs w:val="32"/>
        </w:rPr>
      </w:pPr>
      <w:r>
        <w:rPr>
          <w:rFonts w:hint="eastAsia" w:ascii="仿宋_GB2312" w:eastAsia="仿宋_GB2312"/>
          <w:sz w:val="32"/>
          <w:szCs w:val="32"/>
          <w:lang w:val="en-US" w:eastAsia="zh-CN"/>
        </w:rPr>
        <w:t>经区政府同意，该项目采用</w:t>
      </w:r>
      <w:r>
        <w:rPr>
          <w:rFonts w:hint="eastAsia" w:ascii="仿宋_GB2312" w:eastAsia="仿宋_GB2312"/>
          <w:sz w:val="32"/>
          <w:szCs w:val="32"/>
        </w:rPr>
        <w:t>PPP模式</w:t>
      </w:r>
      <w:r>
        <w:rPr>
          <w:rFonts w:hint="eastAsia"/>
          <w:sz w:val="32"/>
          <w:szCs w:val="32"/>
          <w:lang w:val="en-US" w:eastAsia="zh-CN"/>
        </w:rPr>
        <w:t>建设</w:t>
      </w:r>
      <w:r>
        <w:rPr>
          <w:rFonts w:hint="eastAsia"/>
          <w:sz w:val="32"/>
          <w:szCs w:val="32"/>
          <w:lang w:eastAsia="zh-CN"/>
        </w:rPr>
        <w:t>。</w:t>
      </w:r>
      <w:r>
        <w:rPr>
          <w:rFonts w:hint="eastAsia" w:ascii="仿宋_GB2312" w:hAnsi="仿宋_GB2312" w:eastAsia="仿宋_GB2312" w:cs="仿宋_GB2312"/>
          <w:sz w:val="32"/>
          <w:szCs w:val="32"/>
          <w:lang w:val="en-US" w:eastAsia="zh-CN"/>
        </w:rPr>
        <w:t>根据实施方案，项目公司中政府方与社会资本方的股权占比为1:9，</w:t>
      </w:r>
      <w:r>
        <w:rPr>
          <w:rFonts w:hint="eastAsia" w:hAnsi="仿宋_GB2312" w:cs="仿宋_GB2312"/>
          <w:sz w:val="32"/>
          <w:szCs w:val="32"/>
          <w:lang w:val="en-US" w:eastAsia="zh-CN"/>
        </w:rPr>
        <w:t>项目</w:t>
      </w:r>
      <w:r>
        <w:rPr>
          <w:rFonts w:hint="eastAsia" w:hAnsi="仿宋_GB2312" w:cs="仿宋_GB2312"/>
          <w:snapToGrid w:val="0"/>
          <w:sz w:val="32"/>
          <w:szCs w:val="32"/>
          <w:lang w:val="en-US" w:eastAsia="zh-CN"/>
        </w:rPr>
        <w:t>资本金占总投资的20%，全部为自有资金，剩余80%可通过银行进行融资，项目合作期为18年，</w:t>
      </w:r>
      <w:r>
        <w:rPr>
          <w:rFonts w:hint="eastAsia" w:ascii="仿宋_GB2312" w:hAnsi="仿宋_GB2312" w:eastAsia="仿宋_GB2312" w:cs="仿宋_GB2312"/>
          <w:b w:val="0"/>
          <w:bCs w:val="0"/>
          <w:sz w:val="32"/>
          <w:szCs w:val="32"/>
        </w:rPr>
        <w:t>本项目投资回报率及合理利润率为6.5%。</w:t>
      </w:r>
    </w:p>
    <w:p>
      <w:pPr>
        <w:pStyle w:val="2"/>
        <w:keepNext w:val="0"/>
        <w:keepLines w:val="0"/>
        <w:pageBreakBefore w:val="0"/>
        <w:kinsoku/>
        <w:wordWrap/>
        <w:overflowPunct/>
        <w:topLinePunct w:val="0"/>
        <w:bidi w:val="0"/>
        <w:spacing w:line="578" w:lineRule="exact"/>
        <w:ind w:left="0" w:leftChars="0" w:right="0" w:rightChars="0" w:firstLine="640" w:firstLineChars="200"/>
        <w:rPr>
          <w:rFonts w:hint="eastAsia"/>
        </w:rPr>
      </w:pPr>
      <w:r>
        <w:rPr>
          <w:rFonts w:hint="eastAsia" w:ascii="仿宋_GB2312" w:hAnsi="仿宋_GB2312" w:eastAsia="仿宋_GB2312" w:cs="仿宋_GB2312"/>
          <w:bCs/>
          <w:sz w:val="32"/>
          <w:szCs w:val="32"/>
          <w:lang w:val="en-US" w:eastAsia="zh-CN"/>
        </w:rPr>
        <w:t>2018年1月25日，</w:t>
      </w:r>
      <w:r>
        <w:rPr>
          <w:rFonts w:hint="eastAsia" w:ascii="仿宋_GB2312" w:hAnsi="仿宋_GB2312" w:eastAsia="仿宋_GB2312" w:cs="仿宋_GB2312"/>
          <w:bCs/>
          <w:sz w:val="32"/>
          <w:szCs w:val="32"/>
        </w:rPr>
        <w:t>鹿泉区发改局</w:t>
      </w:r>
      <w:r>
        <w:rPr>
          <w:rFonts w:hint="eastAsia" w:ascii="仿宋_GB2312" w:hAnsi="仿宋_GB2312" w:eastAsia="仿宋_GB2312" w:cs="仿宋_GB2312"/>
          <w:bCs/>
          <w:sz w:val="32"/>
          <w:szCs w:val="32"/>
          <w:lang w:eastAsia="zh-CN"/>
        </w:rPr>
        <w:t>完成</w:t>
      </w:r>
      <w:r>
        <w:rPr>
          <w:rFonts w:hint="eastAsia" w:ascii="仿宋_GB2312" w:hAnsi="仿宋_GB2312" w:eastAsia="仿宋_GB2312" w:cs="仿宋_GB2312"/>
          <w:sz w:val="32"/>
          <w:szCs w:val="32"/>
        </w:rPr>
        <w:t>智慧城市项目顶层设计、可研和咨询公司的招标</w:t>
      </w:r>
      <w:r>
        <w:rPr>
          <w:rFonts w:hint="eastAsia" w:ascii="仿宋_GB2312" w:hAnsi="仿宋_GB2312" w:eastAsia="仿宋_GB2312" w:cs="仿宋_GB2312"/>
          <w:sz w:val="32"/>
          <w:szCs w:val="32"/>
          <w:lang w:eastAsia="zh-CN"/>
        </w:rPr>
        <w:t>工作</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华为公司</w:t>
      </w:r>
      <w:r>
        <w:rPr>
          <w:rFonts w:hint="eastAsia" w:ascii="仿宋_GB2312" w:hAnsi="仿宋_GB2312" w:eastAsia="仿宋_GB2312" w:cs="仿宋_GB2312"/>
          <w:sz w:val="32"/>
          <w:szCs w:val="32"/>
          <w:lang w:val="en-US" w:eastAsia="zh-CN"/>
        </w:rPr>
        <w:t>中标</w:t>
      </w:r>
      <w:r>
        <w:rPr>
          <w:rFonts w:hint="eastAsia" w:ascii="仿宋_GB2312" w:hAnsi="仿宋_GB2312" w:eastAsia="仿宋_GB2312" w:cs="仿宋_GB2312"/>
          <w:sz w:val="32"/>
          <w:szCs w:val="32"/>
          <w:lang w:eastAsia="zh-CN"/>
        </w:rPr>
        <w:t>鹿泉区智慧城市顶层设计</w:t>
      </w:r>
      <w:r>
        <w:rPr>
          <w:rFonts w:hint="eastAsia" w:ascii="仿宋_GB2312" w:hAnsi="仿宋_GB2312" w:eastAsia="仿宋_GB2312" w:cs="仿宋_GB2312"/>
          <w:sz w:val="32"/>
          <w:szCs w:val="32"/>
          <w:lang w:val="en-US" w:eastAsia="zh-CN"/>
        </w:rPr>
        <w:t>,中标价192万元</w:t>
      </w:r>
      <w:r>
        <w:rPr>
          <w:rFonts w:hint="eastAsia" w:ascii="仿宋_GB2312" w:hAnsi="仿宋_GB2312" w:eastAsia="仿宋_GB2312" w:cs="仿宋_GB2312"/>
          <w:sz w:val="32"/>
          <w:szCs w:val="32"/>
          <w:lang w:eastAsia="zh-CN"/>
        </w:rPr>
        <w:t>，京延工程咨询有限公司</w:t>
      </w:r>
      <w:r>
        <w:rPr>
          <w:rFonts w:hint="eastAsia" w:ascii="仿宋_GB2312" w:hAnsi="仿宋_GB2312" w:eastAsia="仿宋_GB2312" w:cs="仿宋_GB2312"/>
          <w:sz w:val="32"/>
          <w:szCs w:val="32"/>
          <w:lang w:val="en-US" w:eastAsia="zh-CN"/>
        </w:rPr>
        <w:t>中标项目建议书及可行性研究报告</w:t>
      </w:r>
      <w:r>
        <w:rPr>
          <w:rFonts w:hint="eastAsia" w:ascii="仿宋_GB2312" w:hAnsi="仿宋_GB2312" w:eastAsia="仿宋_GB2312" w:cs="仿宋_GB2312"/>
          <w:sz w:val="32"/>
          <w:szCs w:val="32"/>
          <w:lang w:eastAsia="zh-CN"/>
        </w:rPr>
        <w:t>编制，</w:t>
      </w:r>
      <w:r>
        <w:rPr>
          <w:rFonts w:hint="eastAsia" w:ascii="仿宋_GB2312" w:hAnsi="仿宋_GB2312" w:eastAsia="仿宋_GB2312" w:cs="仿宋_GB2312"/>
          <w:sz w:val="32"/>
          <w:szCs w:val="32"/>
          <w:lang w:val="en-US" w:eastAsia="zh-CN"/>
        </w:rPr>
        <w:t>中标价68万元</w:t>
      </w:r>
      <w:r>
        <w:rPr>
          <w:rFonts w:hint="eastAsia" w:ascii="仿宋_GB2312" w:hAnsi="仿宋_GB2312" w:eastAsia="仿宋_GB2312" w:cs="仿宋_GB2312"/>
          <w:sz w:val="32"/>
          <w:szCs w:val="32"/>
          <w:lang w:eastAsia="zh-CN"/>
        </w:rPr>
        <w:t>，河北润扬项目管理有限公司</w:t>
      </w:r>
      <w:r>
        <w:rPr>
          <w:rFonts w:hint="eastAsia" w:ascii="仿宋_GB2312" w:hAnsi="仿宋_GB2312" w:eastAsia="仿宋_GB2312" w:cs="仿宋_GB2312"/>
          <w:sz w:val="32"/>
          <w:szCs w:val="32"/>
          <w:lang w:val="en-US" w:eastAsia="zh-CN"/>
        </w:rPr>
        <w:t>中标PPP项目咨询服务，中标价110万元，合计370万元，已支付115万元</w:t>
      </w:r>
      <w:r>
        <w:rPr>
          <w:rFonts w:hint="eastAsia" w:hAnsi="仿宋_GB2312" w:cs="仿宋_GB2312"/>
          <w:sz w:val="32"/>
          <w:szCs w:val="32"/>
          <w:lang w:val="en-US" w:eastAsia="zh-CN"/>
        </w:rPr>
        <w:t>。</w:t>
      </w:r>
    </w:p>
    <w:p>
      <w:pPr>
        <w:keepNext w:val="0"/>
        <w:keepLines w:val="0"/>
        <w:pageBreakBefore w:val="0"/>
        <w:widowControl/>
        <w:kinsoku/>
        <w:wordWrap/>
        <w:overflowPunct/>
        <w:topLinePunct w:val="0"/>
        <w:bidi w:val="0"/>
        <w:spacing w:line="578" w:lineRule="exact"/>
        <w:ind w:left="0" w:leftChars="0" w:right="0" w:rightChars="0" w:firstLine="640" w:firstLineChars="200"/>
        <w:textAlignment w:val="auto"/>
        <w:rPr>
          <w:rFonts w:hint="eastAsia" w:ascii="仿宋_GB2312" w:hAnsi="仿宋_GB2312" w:eastAsia="仿宋_GB2312" w:cs="仿宋_GB2312"/>
          <w:snapToGrid w:val="0"/>
          <w:sz w:val="32"/>
          <w:szCs w:val="32"/>
          <w:lang w:val="en-US" w:eastAsia="zh-CN"/>
        </w:rPr>
      </w:pPr>
      <w:r>
        <w:rPr>
          <w:rFonts w:hint="eastAsia" w:ascii="仿宋_GB2312" w:hAnsi="仿宋_GB2312" w:eastAsia="仿宋_GB2312" w:cs="仿宋_GB2312"/>
          <w:snapToGrid w:val="0"/>
          <w:sz w:val="32"/>
          <w:szCs w:val="32"/>
          <w:lang w:val="en-US" w:eastAsia="zh-CN"/>
        </w:rPr>
        <w:t>2018年，为满足第二届石家庄市旅发大会需求，经区政府同意，区发改局作为项目实施单位，使用财政资金招标建设了</w:t>
      </w:r>
      <w:r>
        <w:rPr>
          <w:rFonts w:hint="eastAsia" w:ascii="仿宋_GB2312" w:hAnsi="仿宋_GB2312" w:eastAsia="仿宋_GB2312" w:cs="仿宋_GB2312"/>
          <w:snapToGrid w:val="0"/>
          <w:sz w:val="32"/>
          <w:szCs w:val="32"/>
          <w:lang w:eastAsia="zh-CN"/>
        </w:rPr>
        <w:t>智慧城市IOC指挥中心项目、</w:t>
      </w:r>
      <w:r>
        <w:rPr>
          <w:rFonts w:hint="eastAsia" w:ascii="仿宋_GB2312" w:hAnsi="仿宋_GB2312" w:eastAsia="仿宋_GB2312" w:cs="仿宋_GB2312"/>
          <w:snapToGrid w:val="0"/>
          <w:sz w:val="32"/>
          <w:szCs w:val="32"/>
          <w:lang w:val="en-US" w:eastAsia="zh-CN"/>
        </w:rPr>
        <w:t>智慧旅游分平台（智慧旅游、智慧交通、智慧城管）和集成专用设备采购项目，河北仕丰通信中标IOC指挥中心项目，中标价9187.83953万元，中华通信中标的智慧旅游分平台项目2391.2785万元，京华电子中标的集成显示设备1243万元，共计1.2822亿元。截至</w:t>
      </w:r>
      <w:bookmarkStart w:id="0" w:name="_GoBack"/>
      <w:bookmarkEnd w:id="0"/>
      <w:r>
        <w:rPr>
          <w:rFonts w:hint="eastAsia" w:ascii="仿宋_GB2312" w:hAnsi="仿宋_GB2312" w:eastAsia="仿宋_GB2312" w:cs="仿宋_GB2312"/>
          <w:snapToGrid w:val="0"/>
          <w:sz w:val="32"/>
          <w:szCs w:val="32"/>
          <w:lang w:val="en-US" w:eastAsia="zh-CN"/>
        </w:rPr>
        <w:t>目前，区财政已支付7021万元，剩余约5801万元未支付。</w:t>
      </w:r>
    </w:p>
    <w:p>
      <w:pPr>
        <w:keepNext w:val="0"/>
        <w:keepLines w:val="0"/>
        <w:pageBreakBefore w:val="0"/>
        <w:widowControl w:val="0"/>
        <w:kinsoku/>
        <w:wordWrap/>
        <w:overflowPunct/>
        <w:topLinePunct w:val="0"/>
        <w:autoSpaceDE/>
        <w:bidi w:val="0"/>
        <w:adjustRightInd w:val="0"/>
        <w:snapToGrid w:val="0"/>
        <w:spacing w:line="578" w:lineRule="exact"/>
        <w:ind w:left="0" w:leftChars="0" w:right="0" w:rightChars="0"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pStyle w:val="4"/>
        <w:keepNext w:val="0"/>
        <w:keepLines w:val="0"/>
        <w:pageBreakBefore w:val="0"/>
        <w:kinsoku/>
        <w:wordWrap/>
        <w:overflowPunct/>
        <w:topLinePunct w:val="0"/>
        <w:bidi w:val="0"/>
        <w:spacing w:line="578" w:lineRule="exact"/>
        <w:ind w:left="0" w:leftChars="0" w:right="0" w:rightChars="0" w:firstLine="600"/>
        <w:rPr>
          <w:rFonts w:hint="eastAsia" w:ascii="仿宋_GB2312" w:hAnsi="仿宋_GB2312" w:eastAsia="仿宋_GB2312" w:cs="仿宋_GB2312"/>
          <w:snapToGrid w:val="0"/>
          <w:kern w:val="2"/>
          <w:sz w:val="32"/>
          <w:szCs w:val="32"/>
          <w:lang w:val="en-US" w:eastAsia="zh-CN" w:bidi="ar-SA"/>
        </w:rPr>
      </w:pPr>
      <w:r>
        <w:rPr>
          <w:rFonts w:hint="eastAsia" w:ascii="仿宋_GB2312" w:hAnsi="仿宋_GB2312" w:eastAsia="仿宋_GB2312" w:cs="仿宋_GB2312"/>
          <w:snapToGrid w:val="0"/>
          <w:kern w:val="2"/>
          <w:sz w:val="32"/>
          <w:szCs w:val="32"/>
          <w:lang w:val="en-US" w:eastAsia="zh-CN" w:bidi="ar-SA"/>
        </w:rPr>
        <w:t>1、总体建设目标</w:t>
      </w:r>
    </w:p>
    <w:p>
      <w:pPr>
        <w:pStyle w:val="4"/>
        <w:keepNext w:val="0"/>
        <w:keepLines w:val="0"/>
        <w:pageBreakBefore w:val="0"/>
        <w:kinsoku/>
        <w:wordWrap/>
        <w:overflowPunct/>
        <w:topLinePunct w:val="0"/>
        <w:bidi w:val="0"/>
        <w:spacing w:line="578" w:lineRule="exact"/>
        <w:ind w:left="0" w:leftChars="0" w:right="0" w:rightChars="0" w:firstLine="600"/>
        <w:rPr>
          <w:rFonts w:hint="eastAsia" w:ascii="仿宋_GB2312" w:hAnsi="仿宋_GB2312" w:eastAsia="仿宋_GB2312" w:cs="仿宋_GB2312"/>
          <w:snapToGrid w:val="0"/>
          <w:kern w:val="2"/>
          <w:sz w:val="32"/>
          <w:szCs w:val="32"/>
          <w:lang w:val="en-US" w:eastAsia="zh-CN" w:bidi="ar-SA"/>
        </w:rPr>
      </w:pPr>
      <w:r>
        <w:rPr>
          <w:rFonts w:hint="eastAsia" w:ascii="仿宋_GB2312" w:hAnsi="仿宋_GB2312" w:eastAsia="仿宋_GB2312" w:cs="仿宋_GB2312"/>
          <w:snapToGrid w:val="0"/>
          <w:kern w:val="2"/>
          <w:sz w:val="32"/>
          <w:szCs w:val="32"/>
          <w:lang w:val="en-US" w:eastAsia="zh-CN" w:bidi="ar-SA"/>
        </w:rPr>
        <w:t>通过鹿泉区新型智慧城市的建设，充分发挥鹿泉区的区位、路网和生态优势，拉高标杆补齐短板,全面提高鹿泉区城市资源利用效率、城镇管理水平和百姓生活质量，将鹿泉区打造成为宜居宜业宜游、全国领先的智慧城市样板。</w:t>
      </w:r>
    </w:p>
    <w:p>
      <w:pPr>
        <w:pStyle w:val="4"/>
        <w:keepNext w:val="0"/>
        <w:keepLines w:val="0"/>
        <w:pageBreakBefore w:val="0"/>
        <w:kinsoku/>
        <w:wordWrap/>
        <w:overflowPunct/>
        <w:topLinePunct w:val="0"/>
        <w:bidi w:val="0"/>
        <w:spacing w:line="578" w:lineRule="exact"/>
        <w:ind w:left="0" w:leftChars="0" w:right="0" w:rightChars="0" w:firstLine="600"/>
        <w:rPr>
          <w:rFonts w:hint="eastAsia" w:ascii="仿宋_GB2312" w:hAnsi="仿宋_GB2312" w:eastAsia="仿宋_GB2312" w:cs="仿宋_GB2312"/>
          <w:snapToGrid w:val="0"/>
          <w:kern w:val="2"/>
          <w:sz w:val="32"/>
          <w:szCs w:val="32"/>
          <w:lang w:val="en-US" w:eastAsia="zh-CN" w:bidi="ar-SA"/>
        </w:rPr>
      </w:pPr>
      <w:r>
        <w:rPr>
          <w:rFonts w:hint="eastAsia" w:ascii="仿宋_GB2312" w:hAnsi="仿宋_GB2312" w:eastAsia="仿宋_GB2312" w:cs="仿宋_GB2312"/>
          <w:snapToGrid w:val="0"/>
          <w:kern w:val="2"/>
          <w:sz w:val="32"/>
          <w:szCs w:val="32"/>
          <w:lang w:val="en-US" w:eastAsia="zh-CN" w:bidi="ar-SA"/>
        </w:rPr>
        <w:t>在基础设施建设方面，做到基础扎实，无缝感知；在智慧产业发展方面，实现产业创新融合，生态与产业并重；在智慧民生服务方面，惠民服务升级，增加市民获得感和归属感；在智慧治理方面，辅助科学运营决策，实现精准治理。</w:t>
      </w:r>
    </w:p>
    <w:p>
      <w:pPr>
        <w:keepNext w:val="0"/>
        <w:keepLines w:val="0"/>
        <w:pageBreakBefore w:val="0"/>
        <w:widowControl w:val="0"/>
        <w:kinsoku/>
        <w:wordWrap/>
        <w:overflowPunct/>
        <w:topLinePunct w:val="0"/>
        <w:autoSpaceDE/>
        <w:bidi w:val="0"/>
        <w:adjustRightInd w:val="0"/>
        <w:snapToGrid w:val="0"/>
        <w:spacing w:line="578" w:lineRule="exact"/>
        <w:ind w:left="0" w:leftChars="0" w:right="0" w:rightChars="0"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2、</w:t>
      </w:r>
      <w:r>
        <w:rPr>
          <w:rFonts w:hint="eastAsia" w:ascii="仿宋_GB2312" w:eastAsia="仿宋_GB2312"/>
          <w:sz w:val="32"/>
          <w:szCs w:val="32"/>
          <w:lang w:eastAsia="zh-CN"/>
        </w:rPr>
        <w:t>阶段性（当年）的绩效目标和指标；</w:t>
      </w:r>
    </w:p>
    <w:p>
      <w:pPr>
        <w:keepNext w:val="0"/>
        <w:keepLines w:val="0"/>
        <w:pageBreakBefore w:val="0"/>
        <w:widowControl w:val="0"/>
        <w:kinsoku/>
        <w:wordWrap/>
        <w:overflowPunct/>
        <w:topLinePunct w:val="0"/>
        <w:autoSpaceDE/>
        <w:bidi w:val="0"/>
        <w:adjustRightInd w:val="0"/>
        <w:snapToGrid w:val="0"/>
        <w:spacing w:line="578" w:lineRule="exact"/>
        <w:ind w:left="0" w:leftChars="0" w:right="0" w:rightChars="0"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该项目建设期为 2018 年到 </w:t>
      </w:r>
      <w:r>
        <w:rPr>
          <w:rFonts w:hint="default" w:ascii="仿宋_GB2312" w:eastAsia="仿宋_GB2312"/>
          <w:sz w:val="32"/>
          <w:szCs w:val="32"/>
          <w:lang w:val="en-US" w:eastAsia="zh-CN"/>
        </w:rPr>
        <w:t xml:space="preserve">2020 </w:t>
      </w:r>
      <w:r>
        <w:rPr>
          <w:rFonts w:hint="eastAsia" w:ascii="仿宋_GB2312" w:eastAsia="仿宋_GB2312"/>
          <w:sz w:val="32"/>
          <w:szCs w:val="32"/>
          <w:lang w:val="en-US" w:eastAsia="zh-CN"/>
        </w:rPr>
        <w:t>年。</w:t>
      </w:r>
    </w:p>
    <w:p>
      <w:pPr>
        <w:keepNext w:val="0"/>
        <w:keepLines w:val="0"/>
        <w:pageBreakBefore w:val="0"/>
        <w:widowControl w:val="0"/>
        <w:kinsoku/>
        <w:wordWrap/>
        <w:overflowPunct/>
        <w:topLinePunct w:val="0"/>
        <w:autoSpaceDE/>
        <w:bidi w:val="0"/>
        <w:adjustRightInd w:val="0"/>
        <w:snapToGrid w:val="0"/>
        <w:spacing w:line="578" w:lineRule="exact"/>
        <w:ind w:left="0" w:leftChars="0" w:right="0" w:rightChars="0"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第一阶段：启动阶段，主要完成以下工作：一是建立机构，明确职责；二是编制方案，申报立项。</w:t>
      </w:r>
    </w:p>
    <w:p>
      <w:pPr>
        <w:keepNext w:val="0"/>
        <w:keepLines w:val="0"/>
        <w:pageBreakBefore w:val="0"/>
        <w:widowControl w:val="0"/>
        <w:kinsoku/>
        <w:wordWrap/>
        <w:overflowPunct/>
        <w:topLinePunct w:val="0"/>
        <w:autoSpaceDE/>
        <w:bidi w:val="0"/>
        <w:adjustRightInd w:val="0"/>
        <w:snapToGrid w:val="0"/>
        <w:spacing w:line="578" w:lineRule="exact"/>
        <w:ind w:left="0" w:leftChars="0" w:right="0" w:rightChars="0"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第二阶段：实施阶段，主要完成以下工作：一是组织招标，签订合同；二是数据普查，系统搭建；三是组建队伍，建章立制；四是编制手册，人员培训。</w:t>
      </w:r>
    </w:p>
    <w:p>
      <w:pPr>
        <w:keepNext w:val="0"/>
        <w:keepLines w:val="0"/>
        <w:pageBreakBefore w:val="0"/>
        <w:widowControl w:val="0"/>
        <w:kinsoku/>
        <w:wordWrap/>
        <w:overflowPunct/>
        <w:topLinePunct w:val="0"/>
        <w:autoSpaceDE/>
        <w:bidi w:val="0"/>
        <w:adjustRightInd w:val="0"/>
        <w:snapToGrid w:val="0"/>
        <w:spacing w:line="578" w:lineRule="exact"/>
        <w:ind w:left="0" w:leftChars="0" w:right="0" w:rightChars="0"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第三阶段：试运行阶段，系统测试，投入试运行。</w:t>
      </w:r>
    </w:p>
    <w:p>
      <w:pPr>
        <w:keepNext w:val="0"/>
        <w:keepLines w:val="0"/>
        <w:pageBreakBefore w:val="0"/>
        <w:widowControl w:val="0"/>
        <w:kinsoku/>
        <w:wordWrap/>
        <w:overflowPunct/>
        <w:topLinePunct w:val="0"/>
        <w:autoSpaceDE/>
        <w:bidi w:val="0"/>
        <w:adjustRightInd w:val="0"/>
        <w:snapToGrid w:val="0"/>
        <w:spacing w:line="578" w:lineRule="exact"/>
        <w:ind w:left="0" w:leftChars="0" w:right="0" w:rightChars="0"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第四阶段：验收阶段，主要完成以下工作：一是完善整合，考评整改；二是档案整理，申报验收。</w:t>
      </w:r>
    </w:p>
    <w:p>
      <w:pPr>
        <w:keepNext w:val="0"/>
        <w:keepLines w:val="0"/>
        <w:pageBreakBefore w:val="0"/>
        <w:widowControl w:val="0"/>
        <w:kinsoku/>
        <w:wordWrap/>
        <w:overflowPunct/>
        <w:topLinePunct w:val="0"/>
        <w:autoSpaceDE/>
        <w:bidi w:val="0"/>
        <w:adjustRightInd w:val="0"/>
        <w:snapToGrid w:val="0"/>
        <w:spacing w:line="578" w:lineRule="exact"/>
        <w:ind w:left="0" w:leftChars="0" w:right="0" w:rightChars="0"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bidi w:val="0"/>
        <w:spacing w:line="578" w:lineRule="exact"/>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1、评价目的</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根据</w:t>
      </w:r>
      <w:r>
        <w:rPr>
          <w:rFonts w:hint="eastAsia" w:ascii="仿宋_GB2312" w:eastAsia="仿宋_GB2312"/>
          <w:sz w:val="32"/>
          <w:szCs w:val="32"/>
        </w:rPr>
        <w:t>《</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val="en-US" w:eastAsia="zh-CN"/>
        </w:rPr>
        <w:t>对区智慧城市项目支出的经济性、效率性和效益性进行客观、公正的评价,评价区智慧城市项目2019年度支出绩效目标实现情况,根据评价结果提出改进和提高预算绩效管理的意见和建议,促进部门预算绩效管理水平的提升。</w:t>
      </w:r>
    </w:p>
    <w:p>
      <w:pPr>
        <w:keepNext w:val="0"/>
        <w:keepLines w:val="0"/>
        <w:pageBreakBefore w:val="0"/>
        <w:widowControl w:val="0"/>
        <w:numPr>
          <w:ilvl w:val="0"/>
          <w:numId w:val="1"/>
        </w:numPr>
        <w:kinsoku/>
        <w:wordWrap/>
        <w:overflowPunct/>
        <w:topLinePunct w:val="0"/>
        <w:autoSpaceDE/>
        <w:bidi w:val="0"/>
        <w:spacing w:line="578" w:lineRule="exact"/>
        <w:ind w:left="0" w:leftChars="0" w:right="0" w:rightChars="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评价的原则和方法</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rPr>
          <w:rFonts w:hint="eastAsia" w:ascii="仿宋_GB2312" w:eastAsia="仿宋_GB2312"/>
          <w:sz w:val="32"/>
          <w:szCs w:val="32"/>
          <w:lang w:val="en-US" w:eastAsia="zh-CN"/>
        </w:rPr>
      </w:pPr>
      <w:r>
        <w:rPr>
          <w:rFonts w:hint="eastAsia" w:ascii="仿宋_GB2312" w:eastAsia="仿宋_GB2312"/>
          <w:sz w:val="32"/>
          <w:szCs w:val="32"/>
          <w:lang w:val="en-US" w:eastAsia="zh-CN"/>
        </w:rPr>
        <w:t>本次评价工作坚持“</w:t>
      </w:r>
      <w:r>
        <w:rPr>
          <w:rFonts w:hint="eastAsia" w:ascii="仿宋_GB2312" w:eastAsia="仿宋_GB2312"/>
          <w:sz w:val="32"/>
          <w:szCs w:val="32"/>
        </w:rPr>
        <w:t>科学、规范、客观和公正</w:t>
      </w:r>
      <w:r>
        <w:rPr>
          <w:rFonts w:hint="eastAsia" w:ascii="仿宋_GB2312" w:eastAsia="仿宋_GB2312"/>
          <w:sz w:val="32"/>
          <w:szCs w:val="32"/>
          <w:lang w:val="en-US" w:eastAsia="zh-CN"/>
        </w:rPr>
        <w:t>”的原则,搜集并审核相关绩效材料,运用比较分析、因素分析、成本效益分析、专家评价等方法,综合评价区智慧城市项目的支出绩效。</w:t>
      </w:r>
    </w:p>
    <w:p>
      <w:pPr>
        <w:keepNext w:val="0"/>
        <w:keepLines w:val="0"/>
        <w:pageBreakBefore w:val="0"/>
        <w:widowControl w:val="0"/>
        <w:kinsoku/>
        <w:wordWrap/>
        <w:overflowPunct/>
        <w:topLinePunct w:val="0"/>
        <w:autoSpaceDE/>
        <w:bidi w:val="0"/>
        <w:spacing w:line="578" w:lineRule="exact"/>
        <w:ind w:left="0" w:leftChars="0" w:right="0" w:rightChars="0" w:firstLine="0" w:firstLineChars="0"/>
        <w:jc w:val="both"/>
        <w:rPr>
          <w:rFonts w:hint="eastAsia" w:ascii="楷体_GB2312" w:hAnsi="楷体_GB2312" w:eastAsia="楷体_GB2312" w:cs="楷体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仿宋_GB2312" w:eastAsia="仿宋_GB2312"/>
          <w:sz w:val="32"/>
          <w:szCs w:val="32"/>
          <w:lang w:val="en-US" w:eastAsia="zh-CN"/>
        </w:rPr>
        <w:t>1、前期准备情况。一是成立评价工作组。二是开展前期调研，编制绩效评价工作方案；三是设定并修改支出绩效评价指标体系。</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2、现场核查情况。一是通过查阅相关政策文件以及区智慧城市项目申报资料，了解预期绩效目标设立情况和绩效目标的完成情况。二是根据现场核查计划，评价工作组对区智慧城市项目的基本支出情况进行了现场核查。</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firstLine="640" w:firstLineChars="20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kinsoku/>
        <w:wordWrap/>
        <w:overflowPunct/>
        <w:topLinePunct w:val="0"/>
        <w:autoSpaceDE/>
        <w:bidi w:val="0"/>
        <w:spacing w:line="578" w:lineRule="exact"/>
        <w:ind w:left="0" w:leftChars="0" w:right="0" w:rightChars="0"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评价工作组按照绩效评价指标设定的总体要求，综合考虑区智慧城市项目2019年度总体绩效目标和主要产出、效果指标，以及工作特点及资金使用的具体情况，结合前期对调研情况，评价工作组设定了本次评价指标内容和权重，制定了本次支出绩效评价指标体系。</w:t>
      </w:r>
    </w:p>
    <w:p>
      <w:pPr>
        <w:keepNext w:val="0"/>
        <w:keepLines w:val="0"/>
        <w:pageBreakBefore w:val="0"/>
        <w:widowControl w:val="0"/>
        <w:kinsoku/>
        <w:wordWrap/>
        <w:overflowPunct/>
        <w:topLinePunct w:val="0"/>
        <w:autoSpaceDE/>
        <w:bidi w:val="0"/>
        <w:spacing w:line="578" w:lineRule="exact"/>
        <w:ind w:left="0" w:leftChars="0" w:right="0" w:rightChars="0"/>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keepNext w:val="0"/>
        <w:keepLines w:val="0"/>
        <w:pageBreakBefore w:val="0"/>
        <w:widowControl w:val="0"/>
        <w:kinsoku/>
        <w:wordWrap/>
        <w:overflowPunct/>
        <w:topLinePunct w:val="0"/>
        <w:autoSpaceDE/>
        <w:bidi w:val="0"/>
        <w:spacing w:line="578" w:lineRule="exact"/>
        <w:ind w:left="0" w:leftChars="0" w:right="0" w:righ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keepNext w:val="0"/>
        <w:keepLines w:val="0"/>
        <w:pageBreakBefore w:val="0"/>
        <w:widowControl w:val="0"/>
        <w:kinsoku/>
        <w:wordWrap/>
        <w:overflowPunct/>
        <w:topLinePunct w:val="0"/>
        <w:autoSpaceDE/>
        <w:bidi w:val="0"/>
        <w:spacing w:line="578" w:lineRule="exact"/>
        <w:ind w:left="0" w:leftChars="0" w:right="0" w:rightChars="0"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立项情况分析。经审查该项目</w:t>
      </w:r>
      <w:r>
        <w:rPr>
          <w:rFonts w:hint="default" w:ascii="仿宋_GB2312" w:eastAsia="仿宋_GB2312"/>
          <w:b w:val="0"/>
          <w:bCs w:val="0"/>
          <w:sz w:val="32"/>
          <w:szCs w:val="32"/>
          <w:lang w:val="en-US" w:eastAsia="zh-CN"/>
        </w:rPr>
        <w:t>立项规范性</w:t>
      </w:r>
      <w:r>
        <w:rPr>
          <w:rFonts w:hint="eastAsia" w:ascii="仿宋_GB2312" w:eastAsia="仿宋_GB2312"/>
          <w:b w:val="0"/>
          <w:bCs w:val="0"/>
          <w:sz w:val="32"/>
          <w:szCs w:val="32"/>
          <w:lang w:val="en-US" w:eastAsia="zh-CN"/>
        </w:rPr>
        <w:t>、绩效目标合理性和绩效指标明确。</w:t>
      </w:r>
    </w:p>
    <w:p>
      <w:pPr>
        <w:keepNext w:val="0"/>
        <w:keepLines w:val="0"/>
        <w:pageBreakBefore w:val="0"/>
        <w:widowControl w:val="0"/>
        <w:kinsoku/>
        <w:wordWrap/>
        <w:overflowPunct/>
        <w:topLinePunct w:val="0"/>
        <w:autoSpaceDE/>
        <w:bidi w:val="0"/>
        <w:spacing w:line="578" w:lineRule="exact"/>
        <w:ind w:left="0" w:leftChars="0" w:right="0" w:rightChars="0"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2.资金落实情况分析。该项目为2018年区政府招标建设项目，总投资12822万元，截至目前财政资金只安排支付了7021万元，剩余5801万元未支付。</w:t>
      </w:r>
    </w:p>
    <w:p>
      <w:pPr>
        <w:keepNext w:val="0"/>
        <w:keepLines w:val="0"/>
        <w:pageBreakBefore w:val="0"/>
        <w:widowControl w:val="0"/>
        <w:kinsoku/>
        <w:wordWrap/>
        <w:overflowPunct/>
        <w:topLinePunct w:val="0"/>
        <w:autoSpaceDE/>
        <w:bidi w:val="0"/>
        <w:spacing w:line="578" w:lineRule="exact"/>
        <w:ind w:left="0" w:leftChars="0" w:right="0" w:rightChars="0"/>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1.业务管理情况分析。该项目在设计、立项、可研和PPP实施方案中详细约定了管理制度健全性、制度执行有效性和项目质量可控性等情况。</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2.财务管理。经审查该项目管理制度健全、资金使用合规和财务监控有效。</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经审查，该项目区政府招标部门已按时完工，完工及时率为100%，项目建设已通过专家评审。</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firstLine="640" w:firstLineChars="200"/>
        <w:rPr>
          <w:rFonts w:hint="eastAsia" w:ascii="仿宋_GB2312" w:hAnsi="仿宋_GB2312" w:eastAsia="仿宋_GB2312" w:cs="仿宋_GB2312"/>
          <w:sz w:val="32"/>
          <w:szCs w:val="32"/>
          <w:lang w:eastAsia="zh-CN"/>
        </w:rPr>
      </w:pPr>
      <w:r>
        <w:rPr>
          <w:rFonts w:hint="eastAsia" w:ascii="仿宋_GB2312" w:eastAsia="仿宋_GB2312"/>
          <w:b w:val="0"/>
          <w:bCs w:val="0"/>
          <w:sz w:val="32"/>
          <w:szCs w:val="32"/>
          <w:lang w:val="en-US" w:eastAsia="zh-CN"/>
        </w:rPr>
        <w:t>经审查该项目</w:t>
      </w:r>
      <w:r>
        <w:rPr>
          <w:rFonts w:hint="eastAsia" w:ascii="仿宋_GB2312" w:hAnsi="仿宋_GB2312" w:eastAsia="仿宋_GB2312" w:cs="仿宋_GB2312"/>
          <w:snapToGrid w:val="0"/>
          <w:sz w:val="32"/>
          <w:szCs w:val="32"/>
        </w:rPr>
        <w:t>内部收益率、投资回收期、总投资收益率三项财务评价指标均优于行业基准值</w:t>
      </w:r>
      <w:r>
        <w:rPr>
          <w:rFonts w:hint="eastAsia" w:ascii="仿宋_GB2312" w:hAnsi="仿宋_GB2312" w:eastAsia="仿宋_GB2312" w:cs="仿宋_GB2312"/>
          <w:snapToGrid w:val="0"/>
          <w:sz w:val="32"/>
          <w:szCs w:val="32"/>
          <w:lang w:eastAsia="zh-CN"/>
        </w:rPr>
        <w:t>，</w:t>
      </w:r>
      <w:r>
        <w:rPr>
          <w:rFonts w:hint="eastAsia" w:ascii="仿宋_GB2312" w:hAnsi="仿宋_GB2312" w:eastAsia="仿宋_GB2312" w:cs="仿宋_GB2312"/>
          <w:snapToGrid w:val="0"/>
          <w:sz w:val="32"/>
          <w:szCs w:val="32"/>
        </w:rPr>
        <w:t>项目经济效益良好</w:t>
      </w:r>
      <w:r>
        <w:rPr>
          <w:rFonts w:hint="eastAsia" w:ascii="仿宋_GB2312" w:hAnsi="仿宋_GB2312" w:eastAsia="仿宋_GB2312" w:cs="仿宋_GB2312"/>
          <w:snapToGrid w:val="0"/>
          <w:sz w:val="32"/>
          <w:szCs w:val="32"/>
          <w:lang w:eastAsia="zh-CN"/>
        </w:rPr>
        <w:t>。</w:t>
      </w:r>
      <w:r>
        <w:rPr>
          <w:rFonts w:hint="eastAsia" w:ascii="仿宋_GB2312" w:hAnsi="仿宋_GB2312" w:eastAsia="仿宋_GB2312" w:cs="仿宋_GB2312"/>
          <w:snapToGrid w:val="0"/>
          <w:sz w:val="32"/>
          <w:szCs w:val="32"/>
          <w:lang w:val="en-US" w:eastAsia="zh-CN"/>
        </w:rPr>
        <w:t>在公共服务均等化、整合城市资源和提升城市公共服务管理水平方面，</w:t>
      </w:r>
      <w:r>
        <w:rPr>
          <w:rFonts w:hint="eastAsia" w:ascii="仿宋_GB2312" w:hAnsi="仿宋_GB2312" w:eastAsia="仿宋_GB2312" w:cs="仿宋_GB2312"/>
          <w:sz w:val="32"/>
          <w:szCs w:val="32"/>
        </w:rPr>
        <w:t>具有广泛的社会意义、工程示范效应和推广价值</w:t>
      </w:r>
      <w:r>
        <w:rPr>
          <w:rFonts w:hint="eastAsia" w:ascii="仿宋_GB2312" w:hAnsi="仿宋_GB2312" w:eastAsia="仿宋_GB2312" w:cs="仿宋_GB2312"/>
          <w:sz w:val="32"/>
          <w:szCs w:val="32"/>
          <w:lang w:eastAsia="zh-CN"/>
        </w:rPr>
        <w:t>。</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根据项目执行情况和项目绩效情况，项目综合绩效评价等级为优秀。</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keepNext w:val="0"/>
        <w:keepLines w:val="0"/>
        <w:pageBreakBefore w:val="0"/>
        <w:widowControl w:val="0"/>
        <w:numPr>
          <w:ilvl w:val="0"/>
          <w:numId w:val="0"/>
        </w:numPr>
        <w:kinsoku/>
        <w:wordWrap/>
        <w:overflowPunct/>
        <w:topLinePunct w:val="0"/>
        <w:autoSpaceDE/>
        <w:autoSpaceDN/>
        <w:bidi w:val="0"/>
        <w:adjustRightInd/>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社会资本方尚未到位，导致项目按建设计划推进不快。</w:t>
      </w:r>
    </w:p>
    <w:p>
      <w:pPr>
        <w:keepNext w:val="0"/>
        <w:keepLines w:val="0"/>
        <w:pageBreakBefore w:val="0"/>
        <w:widowControl w:val="0"/>
        <w:numPr>
          <w:ilvl w:val="0"/>
          <w:numId w:val="0"/>
        </w:numPr>
        <w:kinsoku/>
        <w:wordWrap/>
        <w:overflowPunct/>
        <w:topLinePunct w:val="0"/>
        <w:autoSpaceDE/>
        <w:bidi w:val="0"/>
        <w:spacing w:line="578" w:lineRule="exact"/>
        <w:ind w:left="0" w:leftChars="0" w:right="0" w:rightChars="0"/>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p>
    <w:p>
      <w:pPr>
        <w:pStyle w:val="2"/>
        <w:ind w:firstLine="640" w:firstLineChars="200"/>
        <w:rPr>
          <w:rFonts w:hint="eastAsia"/>
          <w:lang w:val="en-US" w:eastAsia="zh-CN"/>
        </w:rPr>
      </w:pPr>
      <w:r>
        <w:rPr>
          <w:rFonts w:hint="eastAsia" w:ascii="仿宋_GB2312" w:hAnsi="仿宋_GB2312" w:eastAsia="仿宋_GB2312" w:cs="仿宋_GB2312"/>
          <w:sz w:val="32"/>
          <w:szCs w:val="32"/>
          <w:lang w:val="en-US" w:eastAsia="zh-CN"/>
        </w:rPr>
        <w:t>加快与社会资本方的谈判，保证项目正常建设</w:t>
      </w:r>
      <w:r>
        <w:rPr>
          <w:rFonts w:hint="eastAsia" w:hAnsi="仿宋_GB2312" w:cs="仿宋_GB2312"/>
          <w:sz w:val="32"/>
          <w:szCs w:val="32"/>
          <w:lang w:val="en-US" w:eastAsia="zh-CN"/>
        </w:rPr>
        <w:t>。</w:t>
      </w:r>
    </w:p>
    <w:p>
      <w:pPr>
        <w:keepNext w:val="0"/>
        <w:keepLines w:val="0"/>
        <w:pageBreakBefore w:val="0"/>
        <w:widowControl w:val="0"/>
        <w:numPr>
          <w:ilvl w:val="0"/>
          <w:numId w:val="2"/>
        </w:numPr>
        <w:kinsoku/>
        <w:wordWrap/>
        <w:overflowPunct/>
        <w:topLinePunct w:val="0"/>
        <w:autoSpaceDE/>
        <w:bidi w:val="0"/>
        <w:adjustRightInd w:val="0"/>
        <w:snapToGrid w:val="0"/>
        <w:spacing w:line="578" w:lineRule="exact"/>
        <w:ind w:left="0" w:leftChars="0" w:right="0" w:rightChars="0"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keepNext w:val="0"/>
        <w:keepLines w:val="0"/>
        <w:pageBreakBefore w:val="0"/>
        <w:widowControl w:val="0"/>
        <w:numPr>
          <w:ilvl w:val="0"/>
          <w:numId w:val="0"/>
        </w:numPr>
        <w:kinsoku/>
        <w:wordWrap/>
        <w:overflowPunct/>
        <w:topLinePunct w:val="0"/>
        <w:autoSpaceDE/>
        <w:bidi w:val="0"/>
        <w:adjustRightInd w:val="0"/>
        <w:snapToGrid w:val="0"/>
        <w:spacing w:line="578" w:lineRule="exact"/>
        <w:ind w:right="0" w:rightChars="0"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齐向前  区发展和改革局书记</w:t>
      </w:r>
    </w:p>
    <w:p>
      <w:pPr>
        <w:pStyle w:val="2"/>
        <w:ind w:firstLine="640" w:firstLineChars="200"/>
        <w:rPr>
          <w:rFonts w:hint="eastAsia"/>
          <w:sz w:val="32"/>
          <w:szCs w:val="32"/>
          <w:lang w:val="en-US" w:eastAsia="zh-CN"/>
        </w:rPr>
      </w:pPr>
      <w:r>
        <w:rPr>
          <w:rFonts w:hint="eastAsia"/>
          <w:sz w:val="32"/>
          <w:szCs w:val="32"/>
          <w:lang w:val="en-US" w:eastAsia="zh-CN"/>
        </w:rPr>
        <w:t>张  辉  区智慧城市指挥部成员</w:t>
      </w:r>
    </w:p>
    <w:p>
      <w:pPr>
        <w:pStyle w:val="2"/>
        <w:ind w:firstLine="640" w:firstLineChars="200"/>
        <w:rPr>
          <w:rFonts w:hint="eastAsia"/>
          <w:sz w:val="32"/>
          <w:szCs w:val="32"/>
          <w:lang w:val="en-US" w:eastAsia="zh-CN"/>
        </w:rPr>
      </w:pPr>
      <w:r>
        <w:rPr>
          <w:rFonts w:hint="eastAsia"/>
          <w:sz w:val="32"/>
          <w:szCs w:val="32"/>
          <w:lang w:val="en-US" w:eastAsia="zh-CN"/>
        </w:rPr>
        <w:t>韩  翠  区智慧城市指挥部成员</w:t>
      </w:r>
    </w:p>
    <w:p>
      <w:pPr>
        <w:keepNext w:val="0"/>
        <w:keepLines w:val="0"/>
        <w:pageBreakBefore w:val="0"/>
        <w:widowControl w:val="0"/>
        <w:kinsoku/>
        <w:wordWrap/>
        <w:overflowPunct/>
        <w:topLinePunct w:val="0"/>
        <w:autoSpaceDE/>
        <w:bidi w:val="0"/>
        <w:spacing w:line="578" w:lineRule="exact"/>
        <w:ind w:left="0" w:leftChars="0" w:right="0" w:rightChars="0"/>
        <w:rPr>
          <w:rFonts w:hint="eastAsia" w:ascii="仿宋_GB2312" w:eastAsia="仿宋_GB2312"/>
          <w:sz w:val="32"/>
          <w:szCs w:val="32"/>
          <w:lang w:val="en-US" w:eastAsia="zh-CN"/>
        </w:rPr>
      </w:pPr>
      <w:r>
        <w:rPr>
          <w:rFonts w:hint="eastAsia" w:ascii="仿宋_GB2312" w:eastAsia="仿宋_GB2312"/>
          <w:sz w:val="32"/>
          <w:szCs w:val="32"/>
          <w:lang w:val="en-US" w:eastAsia="zh-CN"/>
        </w:rPr>
        <w:br w:type="page"/>
      </w:r>
    </w:p>
    <w:p>
      <w:pPr>
        <w:pStyle w:val="2"/>
        <w:rPr>
          <w:rFonts w:hint="eastAsia"/>
          <w:lang w:val="en-US" w:eastAsia="zh-CN"/>
        </w:rPr>
      </w:pPr>
    </w:p>
    <w:p>
      <w:pPr>
        <w:keepNext w:val="0"/>
        <w:keepLines w:val="0"/>
        <w:pageBreakBefore w:val="0"/>
        <w:widowControl w:val="0"/>
        <w:kinsoku/>
        <w:wordWrap/>
        <w:overflowPunct/>
        <w:topLinePunct w:val="0"/>
        <w:autoSpaceDE/>
        <w:autoSpaceDN/>
        <w:bidi w:val="0"/>
        <w:adjustRightInd w:val="0"/>
        <w:snapToGrid/>
        <w:spacing w:line="578"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line="578"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line="578"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line="578"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line="578"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line="578"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line="578" w:lineRule="exact"/>
        <w:ind w:left="0" w:leftChars="0"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line="578" w:lineRule="exact"/>
        <w:ind w:left="0" w:leftChars="0"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line="578" w:lineRule="exact"/>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7"/>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autoSpaceDN w:val="0"/>
              <w:bidi w:val="0"/>
              <w:spacing w:line="578" w:lineRule="exact"/>
              <w:ind w:left="0" w:leftChars="0" w:right="0" w:rightChars="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autoSpaceDN w:val="0"/>
              <w:bidi w:val="0"/>
              <w:spacing w:line="578" w:lineRule="exact"/>
              <w:ind w:left="0" w:leftChars="0" w:right="0" w:rightChars="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autoSpaceDN w:val="0"/>
              <w:bidi w:val="0"/>
              <w:spacing w:line="578" w:lineRule="exact"/>
              <w:ind w:left="0" w:leftChars="0" w:right="0" w:rightChars="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kinsoku/>
              <w:wordWrap/>
              <w:overflowPunct/>
              <w:topLinePunct w:val="0"/>
              <w:autoSpaceDE/>
              <w:bidi w:val="0"/>
              <w:spacing w:line="578" w:lineRule="exact"/>
              <w:ind w:left="0" w:leftChars="0" w:right="0" w:rightChars="0"/>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keepNext w:val="0"/>
              <w:keepLines w:val="0"/>
              <w:pageBreakBefore w:val="0"/>
              <w:widowControl w:val="0"/>
              <w:shd w:val="solid" w:color="FFFFFF" w:fill="auto"/>
              <w:kinsoku/>
              <w:wordWrap/>
              <w:overflowPunct/>
              <w:topLinePunct w:val="0"/>
              <w:autoSpaceDE/>
              <w:autoSpaceDN w:val="0"/>
              <w:bidi w:val="0"/>
              <w:spacing w:line="578" w:lineRule="exact"/>
              <w:ind w:left="0" w:leftChars="0" w:right="0" w:rightChars="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line="578" w:lineRule="exact"/>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line="578" w:lineRule="exact"/>
        <w:ind w:left="0" w:leftChars="0"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bidi w:val="0"/>
        <w:spacing w:line="578" w:lineRule="exact"/>
        <w:ind w:left="0" w:leftChars="0" w:right="0" w:rightChars="0"/>
      </w:pPr>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right" w:y="1"/>
      <w:rPr>
        <w:rStyle w:val="10"/>
      </w:rPr>
    </w:pPr>
    <w:r>
      <w:fldChar w:fldCharType="begin"/>
    </w:r>
    <w:r>
      <w:rPr>
        <w:rStyle w:val="10"/>
      </w:rPr>
      <w:instrText xml:space="preserve">PAGE  </w:instrText>
    </w:r>
    <w:r>
      <w:fldChar w:fldCharType="separate"/>
    </w:r>
    <w:r>
      <w:rPr>
        <w:rStyle w:val="10"/>
      </w:rPr>
      <w:t>4</w:t>
    </w:r>
    <w:r>
      <w:fldChar w:fldCharType="end"/>
    </w:r>
  </w:p>
  <w:p>
    <w:pPr>
      <w:pStyle w:val="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132CA0"/>
    <w:multiLevelType w:val="singleLevel"/>
    <w:tmpl w:val="5E132CA0"/>
    <w:lvl w:ilvl="0" w:tentative="0">
      <w:start w:val="2"/>
      <w:numFmt w:val="decimal"/>
      <w:suff w:val="nothing"/>
      <w:lvlText w:val="%1、"/>
      <w:lvlJc w:val="left"/>
    </w:lvl>
  </w:abstractNum>
  <w:abstractNum w:abstractNumId="1">
    <w:nsid w:val="5E13DBE6"/>
    <w:multiLevelType w:val="singleLevel"/>
    <w:tmpl w:val="5E13DBE6"/>
    <w:lvl w:ilvl="0" w:tentative="0">
      <w:start w:val="6"/>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IzOTBlODI4NjljMzlmZmFlODk2OWI0YTg2MmNlMzgifQ=="/>
  </w:docVars>
  <w:rsids>
    <w:rsidRoot w:val="2A2941B7"/>
    <w:rsid w:val="19930551"/>
    <w:rsid w:val="2A2941B7"/>
    <w:rsid w:val="4BF85864"/>
    <w:rsid w:val="4FB66954"/>
    <w:rsid w:val="61AA75D7"/>
    <w:rsid w:val="750E3EE4"/>
    <w:rsid w:val="7ABD095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eastAsia="宋体" w:asciiTheme="minorHAnsi" w:hAnsiTheme="minorHAnsi" w:cstheme="minorBidi"/>
      <w:kern w:val="2"/>
      <w:sz w:val="21"/>
      <w:szCs w:val="24"/>
      <w:lang w:val="en-US" w:eastAsia="zh-CN" w:bidi="ar-SA"/>
    </w:rPr>
  </w:style>
  <w:style w:type="paragraph" w:styleId="3">
    <w:name w:val="heading 2"/>
    <w:basedOn w:val="1"/>
    <w:next w:val="1"/>
    <w:autoRedefine/>
    <w:unhideWhenUsed/>
    <w:qFormat/>
    <w:uiPriority w:val="0"/>
    <w:pPr>
      <w:keepNext/>
      <w:keepLines/>
      <w:ind w:firstLine="0" w:firstLineChars="0"/>
      <w:jc w:val="center"/>
      <w:outlineLvl w:val="1"/>
    </w:pPr>
    <w:rPr>
      <w:rFonts w:ascii="Cambria" w:hAnsi="Cambria"/>
      <w:b/>
      <w:bCs/>
      <w:sz w:val="36"/>
      <w:szCs w:val="32"/>
    </w:rPr>
  </w:style>
  <w:style w:type="character" w:default="1" w:styleId="8">
    <w:name w:val="Default Paragraph Font"/>
    <w:link w:val="9"/>
    <w:autoRedefine/>
    <w:semiHidden/>
    <w:qFormat/>
    <w:uiPriority w:val="0"/>
  </w:style>
  <w:style w:type="table" w:default="1" w:styleId="7">
    <w:name w:val="Normal Table"/>
    <w:semiHidden/>
    <w:uiPriority w:val="0"/>
    <w:tblPr>
      <w:tblCellMar>
        <w:top w:w="0" w:type="dxa"/>
        <w:left w:w="108" w:type="dxa"/>
        <w:bottom w:w="0" w:type="dxa"/>
        <w:right w:w="108" w:type="dxa"/>
      </w:tblCellMar>
    </w:tblPr>
  </w:style>
  <w:style w:type="paragraph" w:customStyle="1" w:styleId="2">
    <w:name w:val="Default"/>
    <w:autoRedefine/>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styleId="4">
    <w:name w:val="Normal Indent"/>
    <w:basedOn w:val="1"/>
    <w:qFormat/>
    <w:uiPriority w:val="0"/>
    <w:pPr>
      <w:ind w:firstLine="420" w:firstLineChars="200"/>
    </w:pPr>
  </w:style>
  <w:style w:type="paragraph" w:styleId="5">
    <w:name w:val="footer"/>
    <w:basedOn w:val="1"/>
    <w:uiPriority w:val="0"/>
    <w:pPr>
      <w:tabs>
        <w:tab w:val="center" w:pos="4153"/>
        <w:tab w:val="right" w:pos="8306"/>
      </w:tabs>
      <w:snapToGrid w:val="0"/>
      <w:jc w:val="left"/>
    </w:pPr>
    <w:rPr>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9">
    <w:name w:val="默认段落字体 Para Char Char Char Char Char Char Char"/>
    <w:basedOn w:val="1"/>
    <w:link w:val="8"/>
    <w:uiPriority w:val="0"/>
  </w:style>
  <w:style w:type="character" w:styleId="10">
    <w:name w:val="page number"/>
    <w:basedOn w:val="8"/>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2024-03-06T02:19:06Z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F0A13A619D164D2BA25668925E98C8B7_12</vt:lpwstr>
  </property>
</Properties>
</file>