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Times New Roman" w:hAnsi="宋体" w:eastAsia="宋体" w:cs="Times New Roman"/>
          <w:b/>
          <w:sz w:val="44"/>
          <w:szCs w:val="24"/>
        </w:rPr>
      </w:pPr>
      <w:r>
        <w:rPr>
          <w:rFonts w:hint="eastAsia" w:ascii="黑体" w:hAnsi="Times New Roman" w:eastAsia="黑体" w:cs="Times New Roman"/>
          <w:b/>
          <w:sz w:val="44"/>
          <w:szCs w:val="24"/>
        </w:rPr>
        <w:t>2021年部门预算信息公开目录</w:t>
      </w:r>
    </w:p>
    <w:p>
      <w:pPr>
        <w:jc w:val="left"/>
        <w:rPr>
          <w:rFonts w:ascii="方正楷体_GBK" w:hAnsi="Times New Roman" w:eastAsia="方正楷体_GBK" w:cs="Times New Roman"/>
          <w:b/>
          <w:sz w:val="28"/>
          <w:szCs w:val="24"/>
        </w:rPr>
      </w:pPr>
      <w:r>
        <w:rPr>
          <w:rFonts w:hint="eastAsia" w:ascii="方正楷体_GBK" w:hAnsi="Times New Roman" w:eastAsia="方正楷体_GBK" w:cs="Times New Roman"/>
          <w:b/>
          <w:sz w:val="28"/>
          <w:szCs w:val="24"/>
        </w:rPr>
        <w:t>部门预算公开表</w:t>
      </w:r>
    </w:p>
    <w:p>
      <w:pPr>
        <w:tabs>
          <w:tab w:val="right" w:leader="dot" w:pos="14789"/>
        </w:tabs>
        <w:jc w:val="center"/>
        <w:rPr>
          <w:rFonts w:ascii="Times New Roman" w:hAnsi="Times New Roman" w:eastAsia="方正仿宋_GBK" w:cs="Times New Roman"/>
          <w:sz w:val="28"/>
          <w:szCs w:val="24"/>
        </w:rPr>
      </w:pP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TOC \o "2-2" \h \z \u \t "-1" </w:instrText>
      </w:r>
      <w:r>
        <w:rPr>
          <w:rFonts w:ascii="Times New Roman" w:hAnsi="Times New Roman" w:eastAsia="方正仿宋_GBK" w:cs="Times New Roman"/>
          <w:sz w:val="28"/>
          <w:szCs w:val="24"/>
        </w:rPr>
        <w:fldChar w:fldCharType="separate"/>
      </w:r>
      <w:r>
        <w:fldChar w:fldCharType="begin"/>
      </w:r>
      <w:r>
        <w:instrText xml:space="preserve"> HYPERLINK \l "_Toc68781216" </w:instrText>
      </w:r>
      <w:r>
        <w:fldChar w:fldCharType="separate"/>
      </w:r>
      <w:r>
        <w:rPr>
          <w:rFonts w:hint="eastAsia" w:ascii="Times New Roman" w:hAnsi="Times New Roman" w:eastAsia="方正仿宋_GBK" w:cs="Times New Roman"/>
          <w:sz w:val="28"/>
          <w:szCs w:val="24"/>
        </w:rPr>
        <w:t>部门预算收支总表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_Toc68781216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"_Toc68781217" </w:instrText>
      </w:r>
      <w:r>
        <w:fldChar w:fldCharType="separate"/>
      </w:r>
      <w:r>
        <w:rPr>
          <w:rFonts w:hint="eastAsia" w:ascii="Times New Roman" w:hAnsi="Times New Roman" w:eastAsia="方正仿宋_GBK" w:cs="Times New Roman"/>
          <w:sz w:val="28"/>
          <w:szCs w:val="24"/>
        </w:rPr>
        <w:t>部门预算收入总表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_Toc68781217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3</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"_Toc68781218" </w:instrText>
      </w:r>
      <w:r>
        <w:fldChar w:fldCharType="separate"/>
      </w:r>
      <w:r>
        <w:rPr>
          <w:rFonts w:hint="eastAsia" w:ascii="Times New Roman" w:hAnsi="Times New Roman" w:eastAsia="方正仿宋_GBK" w:cs="Times New Roman"/>
          <w:sz w:val="28"/>
          <w:szCs w:val="24"/>
        </w:rPr>
        <w:t>部门预算支出总表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_Toc68781218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5</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"_Toc68781219" </w:instrText>
      </w:r>
      <w:r>
        <w:fldChar w:fldCharType="separate"/>
      </w:r>
      <w:r>
        <w:rPr>
          <w:rFonts w:hint="eastAsia" w:ascii="Times New Roman" w:hAnsi="Times New Roman" w:eastAsia="方正仿宋_GBK" w:cs="Times New Roman"/>
          <w:sz w:val="28"/>
          <w:szCs w:val="24"/>
        </w:rPr>
        <w:t>部门预算财政拨款收支总表</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6</w:t>
      </w:r>
      <w:r>
        <w:rPr>
          <w:rFonts w:hint="eastAsia"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"_Toc68781220" </w:instrText>
      </w:r>
      <w:r>
        <w:fldChar w:fldCharType="separate"/>
      </w:r>
      <w:r>
        <w:rPr>
          <w:rFonts w:hint="eastAsia" w:ascii="Times New Roman" w:hAnsi="Times New Roman" w:eastAsia="方正仿宋_GBK" w:cs="Times New Roman"/>
          <w:sz w:val="28"/>
          <w:szCs w:val="24"/>
        </w:rPr>
        <w:t>部门预算一般公共预算财政拨款支出表</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9</w:t>
      </w:r>
      <w:r>
        <w:rPr>
          <w:rFonts w:hint="eastAsia"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"_Toc68781221" </w:instrText>
      </w:r>
      <w:r>
        <w:fldChar w:fldCharType="separate"/>
      </w:r>
      <w:r>
        <w:rPr>
          <w:rFonts w:hint="eastAsia" w:ascii="Times New Roman" w:hAnsi="Times New Roman" w:eastAsia="方正仿宋_GBK" w:cs="Times New Roman"/>
          <w:sz w:val="28"/>
          <w:szCs w:val="24"/>
        </w:rPr>
        <w:t>部门预算一般公共预算财政拨款基本支出表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_Toc68781221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0</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"_Toc68781222" </w:instrText>
      </w:r>
      <w:r>
        <w:fldChar w:fldCharType="separate"/>
      </w:r>
      <w:r>
        <w:rPr>
          <w:rFonts w:hint="eastAsia" w:ascii="Times New Roman" w:hAnsi="Times New Roman" w:eastAsia="方正仿宋_GBK" w:cs="Times New Roman"/>
          <w:sz w:val="28"/>
          <w:szCs w:val="24"/>
        </w:rPr>
        <w:t>部门预算政府基金预算财政拨款支出表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_Toc68781222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2</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"_Toc68781223" </w:instrText>
      </w:r>
      <w:r>
        <w:fldChar w:fldCharType="separate"/>
      </w:r>
      <w:r>
        <w:rPr>
          <w:rFonts w:hint="eastAsia" w:ascii="Times New Roman" w:hAnsi="Times New Roman" w:eastAsia="方正仿宋_GBK" w:cs="Times New Roman"/>
          <w:sz w:val="28"/>
          <w:szCs w:val="24"/>
        </w:rPr>
        <w:t>部门预算国有资本经营预算财政拨款支出表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_Toc68781223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3</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"_Toc68781224" </w:instrText>
      </w:r>
      <w:r>
        <w:fldChar w:fldCharType="separate"/>
      </w:r>
      <w:r>
        <w:rPr>
          <w:rFonts w:hint="eastAsia" w:ascii="Times New Roman" w:hAnsi="Times New Roman" w:eastAsia="方正仿宋_GBK" w:cs="Times New Roman"/>
          <w:sz w:val="28"/>
          <w:szCs w:val="24"/>
        </w:rPr>
        <w:t>部门预算财政拨款“三公”经费支出表</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_Toc68781224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4</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jc w:val="center"/>
        <w:rPr>
          <w:rFonts w:ascii="Times New Roman" w:hAnsi="宋体" w:eastAsia="宋体" w:cs="Times New Roman"/>
          <w:szCs w:val="24"/>
        </w:rPr>
      </w:pPr>
      <w:r>
        <w:rPr>
          <w:rFonts w:ascii="Times New Roman" w:hAnsi="Times New Roman" w:eastAsia="方正仿宋_GBK" w:cs="Times New Roman"/>
          <w:sz w:val="28"/>
          <w:szCs w:val="24"/>
        </w:rPr>
        <w:fldChar w:fldCharType="end"/>
      </w:r>
    </w:p>
    <w:p>
      <w:pPr>
        <w:jc w:val="left"/>
        <w:rPr>
          <w:rFonts w:ascii="Times New Roman" w:hAnsi="宋体" w:eastAsia="宋体" w:cs="Times New Roman"/>
          <w:b/>
          <w:sz w:val="28"/>
          <w:szCs w:val="24"/>
        </w:rPr>
      </w:pPr>
      <w:r>
        <w:rPr>
          <w:rFonts w:hint="eastAsia" w:ascii="方正楷体_GBK" w:hAnsi="Times New Roman" w:eastAsia="方正楷体_GBK" w:cs="Times New Roman"/>
          <w:b/>
          <w:sz w:val="28"/>
          <w:szCs w:val="24"/>
        </w:rPr>
        <w:t>部门预算信息公开情况说明</w:t>
      </w:r>
    </w:p>
    <w:p>
      <w:pPr>
        <w:tabs>
          <w:tab w:val="right" w:leader="dot" w:pos="14789"/>
        </w:tabs>
        <w:jc w:val="center"/>
        <w:rPr>
          <w:rFonts w:ascii="Times New Roman" w:hAnsi="Times New Roman" w:eastAsia="方正仿宋_GBK" w:cs="Times New Roman"/>
          <w:sz w:val="28"/>
          <w:szCs w:val="24"/>
        </w:rPr>
      </w:pP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TOC \o "3-3" \h \z \u \t "-1" </w:instrText>
      </w:r>
      <w:r>
        <w:rPr>
          <w:rFonts w:ascii="Times New Roman" w:hAnsi="Times New Roman" w:eastAsia="方正仿宋_GBK" w:cs="Times New Roman"/>
          <w:sz w:val="28"/>
          <w:szCs w:val="24"/>
        </w:rPr>
        <w:fldChar w:fldCharType="separate"/>
      </w:r>
      <w:r>
        <w:fldChar w:fldCharType="begin"/>
      </w:r>
      <w:r>
        <w:instrText xml:space="preserve"> HYPERLINK \l "_Toc68781225" </w:instrText>
      </w:r>
      <w:r>
        <w:fldChar w:fldCharType="separate"/>
      </w:r>
      <w:r>
        <w:rPr>
          <w:rFonts w:hint="eastAsia" w:ascii="Times New Roman" w:hAnsi="黑体" w:eastAsia="方正仿宋_GBK" w:cs="Times New Roman"/>
          <w:sz w:val="28"/>
          <w:szCs w:val="24"/>
        </w:rPr>
        <w:t>一、部门职责及机构设置情况</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_Toc68781225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5</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"_Toc68781226" </w:instrText>
      </w:r>
      <w:r>
        <w:fldChar w:fldCharType="separate"/>
      </w:r>
      <w:r>
        <w:rPr>
          <w:rFonts w:hint="eastAsia" w:ascii="Times New Roman" w:hAnsi="黑体" w:eastAsia="方正仿宋_GBK" w:cs="Times New Roman"/>
          <w:sz w:val="28"/>
          <w:szCs w:val="24"/>
        </w:rPr>
        <w:t>二、部门预算安排的总体情况</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_Toc68781226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6</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"_Toc68781227" </w:instrText>
      </w:r>
      <w:r>
        <w:fldChar w:fldCharType="separate"/>
      </w:r>
      <w:r>
        <w:rPr>
          <w:rFonts w:hint="eastAsia" w:ascii="Times New Roman" w:hAnsi="黑体" w:eastAsia="方正仿宋_GBK" w:cs="Times New Roman"/>
          <w:sz w:val="28"/>
          <w:szCs w:val="24"/>
        </w:rPr>
        <w:t>三、机关运行经费安排情况</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_Toc68781227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7</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"_Toc68781228" </w:instrText>
      </w:r>
      <w:r>
        <w:fldChar w:fldCharType="separate"/>
      </w:r>
      <w:r>
        <w:rPr>
          <w:rFonts w:hint="eastAsia" w:ascii="Times New Roman" w:hAnsi="黑体" w:eastAsia="方正仿宋_GBK" w:cs="Times New Roman"/>
          <w:sz w:val="28"/>
          <w:szCs w:val="24"/>
        </w:rPr>
        <w:t>四、财政拨款</w:t>
      </w:r>
      <w:r>
        <w:rPr>
          <w:rFonts w:ascii="Times New Roman" w:hAnsi="黑体" w:eastAsia="方正仿宋_GBK" w:cs="Times New Roman"/>
          <w:sz w:val="28"/>
          <w:szCs w:val="24"/>
        </w:rPr>
        <w:t>“</w:t>
      </w:r>
      <w:r>
        <w:rPr>
          <w:rFonts w:hint="eastAsia" w:ascii="Times New Roman" w:hAnsi="黑体" w:eastAsia="方正仿宋_GBK" w:cs="Times New Roman"/>
          <w:sz w:val="28"/>
          <w:szCs w:val="24"/>
        </w:rPr>
        <w:t>三公</w:t>
      </w:r>
      <w:r>
        <w:rPr>
          <w:rFonts w:ascii="Times New Roman" w:hAnsi="黑体" w:eastAsia="方正仿宋_GBK" w:cs="Times New Roman"/>
          <w:sz w:val="28"/>
          <w:szCs w:val="24"/>
        </w:rPr>
        <w:t>”</w:t>
      </w:r>
      <w:r>
        <w:rPr>
          <w:rFonts w:hint="eastAsia" w:ascii="Times New Roman" w:hAnsi="黑体" w:eastAsia="方正仿宋_GBK" w:cs="Times New Roman"/>
          <w:sz w:val="28"/>
          <w:szCs w:val="24"/>
        </w:rPr>
        <w:t>经费预算情况及增减变化原因</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_Toc68781228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8</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"_Toc68781229" </w:instrText>
      </w:r>
      <w:r>
        <w:fldChar w:fldCharType="separate"/>
      </w:r>
      <w:r>
        <w:rPr>
          <w:rFonts w:hint="eastAsia" w:ascii="Times New Roman" w:hAnsi="黑体" w:eastAsia="方正仿宋_GBK" w:cs="Times New Roman"/>
          <w:sz w:val="28"/>
          <w:szCs w:val="24"/>
        </w:rPr>
        <w:t>五、预算绩效信息</w:t>
      </w:r>
      <w:r>
        <w:rPr>
          <w:rFonts w:ascii="Times New Roman" w:hAnsi="Times New Roman" w:eastAsia="方正仿宋_GBK" w:cs="Times New Roman"/>
          <w:sz w:val="28"/>
          <w:szCs w:val="24"/>
        </w:rPr>
        <w:tab/>
      </w:r>
      <w:r>
        <w:rPr>
          <w:rFonts w:ascii="Times New Roman" w:hAnsi="Times New Roman" w:eastAsia="方正仿宋_GBK" w:cs="Times New Roman"/>
          <w:sz w:val="28"/>
          <w:szCs w:val="24"/>
        </w:rPr>
        <w:fldChar w:fldCharType="begin"/>
      </w:r>
      <w:r>
        <w:rPr>
          <w:rFonts w:ascii="Times New Roman" w:hAnsi="Times New Roman" w:eastAsia="方正仿宋_GBK" w:cs="Times New Roman"/>
          <w:sz w:val="28"/>
          <w:szCs w:val="24"/>
        </w:rPr>
        <w:instrText xml:space="preserve"> PAGEREF _Toc68781229 \h </w:instrText>
      </w:r>
      <w:r>
        <w:rPr>
          <w:rFonts w:ascii="Times New Roman" w:hAnsi="Times New Roman" w:eastAsia="方正仿宋_GBK" w:cs="Times New Roman"/>
          <w:sz w:val="28"/>
          <w:szCs w:val="24"/>
        </w:rPr>
        <w:fldChar w:fldCharType="separate"/>
      </w:r>
      <w:r>
        <w:rPr>
          <w:rFonts w:ascii="Times New Roman" w:hAnsi="Times New Roman" w:eastAsia="方正仿宋_GBK" w:cs="Times New Roman"/>
          <w:sz w:val="28"/>
          <w:szCs w:val="24"/>
        </w:rPr>
        <w:t>1</w:t>
      </w:r>
      <w:r>
        <w:rPr>
          <w:rFonts w:hint="eastAsia" w:ascii="Times New Roman" w:hAnsi="Times New Roman" w:eastAsia="方正仿宋_GBK" w:cs="Times New Roman"/>
          <w:sz w:val="28"/>
          <w:szCs w:val="24"/>
        </w:rPr>
        <w:t>8</w:t>
      </w:r>
      <w:r>
        <w:rPr>
          <w:rFonts w:ascii="Times New Roman" w:hAnsi="Times New Roman" w:eastAsia="方正仿宋_GBK" w:cs="Times New Roman"/>
          <w:sz w:val="28"/>
          <w:szCs w:val="24"/>
        </w:rPr>
        <w:fldChar w:fldCharType="end"/>
      </w:r>
      <w:r>
        <w:rPr>
          <w:rFonts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"_Toc68781230" </w:instrText>
      </w:r>
      <w:r>
        <w:fldChar w:fldCharType="separate"/>
      </w:r>
      <w:r>
        <w:rPr>
          <w:rFonts w:hint="eastAsia" w:ascii="Times New Roman" w:hAnsi="Times New Roman" w:eastAsia="方正仿宋_GBK" w:cs="Times New Roman"/>
          <w:sz w:val="28"/>
          <w:szCs w:val="24"/>
        </w:rPr>
        <w:t>六、政府采购预算情况</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48</w:t>
      </w:r>
      <w:r>
        <w:rPr>
          <w:rFonts w:hint="eastAsia"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"_Toc68781231" </w:instrText>
      </w:r>
      <w:r>
        <w:fldChar w:fldCharType="separate"/>
      </w:r>
      <w:r>
        <w:rPr>
          <w:rFonts w:hint="eastAsia" w:ascii="Times New Roman" w:hAnsi="黑体" w:eastAsia="方正仿宋_GBK" w:cs="Times New Roman"/>
          <w:sz w:val="28"/>
          <w:szCs w:val="24"/>
        </w:rPr>
        <w:t>七、国有资产信息</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49</w:t>
      </w:r>
      <w:r>
        <w:rPr>
          <w:rFonts w:hint="eastAsia"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"_Toc68781232" </w:instrText>
      </w:r>
      <w:r>
        <w:fldChar w:fldCharType="separate"/>
      </w:r>
      <w:r>
        <w:rPr>
          <w:rFonts w:hint="eastAsia" w:ascii="Times New Roman" w:hAnsi="黑体" w:eastAsia="方正仿宋_GBK" w:cs="Times New Roman"/>
          <w:sz w:val="28"/>
          <w:szCs w:val="24"/>
        </w:rPr>
        <w:t>八、名词解释</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50</w:t>
      </w:r>
      <w:r>
        <w:rPr>
          <w:rFonts w:hint="eastAsia" w:ascii="Times New Roman" w:hAnsi="Times New Roman" w:eastAsia="方正仿宋_GBK" w:cs="Times New Roman"/>
          <w:sz w:val="28"/>
          <w:szCs w:val="24"/>
        </w:rPr>
        <w:fldChar w:fldCharType="end"/>
      </w:r>
    </w:p>
    <w:p>
      <w:pPr>
        <w:tabs>
          <w:tab w:val="right" w:leader="dot" w:pos="14789"/>
        </w:tabs>
        <w:jc w:val="center"/>
        <w:rPr>
          <w:rFonts w:ascii="Times New Roman" w:hAnsi="Times New Roman" w:eastAsia="方正仿宋_GBK" w:cs="Times New Roman"/>
          <w:sz w:val="28"/>
          <w:szCs w:val="24"/>
        </w:rPr>
      </w:pPr>
      <w:r>
        <w:fldChar w:fldCharType="begin"/>
      </w:r>
      <w:r>
        <w:instrText xml:space="preserve"> HYPERLINK \l "_Toc68781233" </w:instrText>
      </w:r>
      <w:r>
        <w:fldChar w:fldCharType="separate"/>
      </w:r>
      <w:r>
        <w:rPr>
          <w:rFonts w:hint="eastAsia" w:ascii="Times New Roman" w:hAnsi="黑体" w:eastAsia="方正仿宋_GBK" w:cs="Times New Roman"/>
          <w:sz w:val="28"/>
          <w:szCs w:val="24"/>
        </w:rPr>
        <w:t>九、其他需要说明的事项</w:t>
      </w:r>
      <w:r>
        <w:rPr>
          <w:rFonts w:ascii="Times New Roman" w:hAnsi="Times New Roman" w:eastAsia="方正仿宋_GBK" w:cs="Times New Roman"/>
          <w:sz w:val="28"/>
          <w:szCs w:val="24"/>
        </w:rPr>
        <w:tab/>
      </w:r>
      <w:r>
        <w:rPr>
          <w:rFonts w:hint="eastAsia" w:ascii="Times New Roman" w:hAnsi="Times New Roman" w:eastAsia="方正仿宋_GBK" w:cs="Times New Roman"/>
          <w:sz w:val="28"/>
          <w:szCs w:val="24"/>
        </w:rPr>
        <w:t>50</w:t>
      </w:r>
      <w:r>
        <w:rPr>
          <w:rFonts w:ascii="Times New Roman" w:hAnsi="Times New Roman" w:eastAsia="方正仿宋_GBK" w:cs="Times New Roman"/>
          <w:sz w:val="28"/>
          <w:szCs w:val="24"/>
        </w:rPr>
        <w:fldChar w:fldCharType="end"/>
      </w:r>
    </w:p>
    <w:p>
      <w:pPr>
        <w:jc w:val="center"/>
        <w:rPr>
          <w:rFonts w:ascii="Times New Roman" w:hAnsi="宋体" w:eastAsia="宋体" w:cs="Times New Roman"/>
          <w:szCs w:val="24"/>
        </w:rPr>
      </w:pPr>
      <w:r>
        <w:rPr>
          <w:rFonts w:ascii="Times New Roman" w:hAnsi="Times New Roman" w:eastAsia="方正仿宋_GBK" w:cs="Times New Roman"/>
          <w:sz w:val="28"/>
          <w:szCs w:val="24"/>
        </w:rPr>
        <w:fldChar w:fldCharType="end"/>
      </w:r>
    </w:p>
    <w:p>
      <w:pPr>
        <w:jc w:val="center"/>
        <w:rPr>
          <w:rFonts w:ascii="Times New Roman" w:hAnsi="Times New Roman" w:eastAsia="宋体" w:cs="Times New Roman"/>
          <w:szCs w:val="24"/>
        </w:rPr>
        <w:sectPr>
          <w:headerReference r:id="rId3" w:type="default"/>
          <w:footerReference r:id="rId4" w:type="even"/>
          <w:pgSz w:w="16839" w:h="11907" w:orient="landscape"/>
          <w:pgMar w:top="1587" w:right="1020" w:bottom="1361"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0" w:name="_Toc68781216"/>
      <w:r>
        <w:rPr>
          <w:rFonts w:hint="eastAsia" w:ascii="方正小标宋_GBK" w:hAnsi="Times New Roman" w:eastAsia="方正小标宋_GBK" w:cs="Times New Roman"/>
          <w:sz w:val="36"/>
          <w:szCs w:val="24"/>
        </w:rPr>
        <w:t>部门预算收支总表</w:t>
      </w:r>
      <w:bookmarkEnd w:id="0"/>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126"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666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666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w:t>
            </w:r>
          </w:p>
        </w:tc>
        <w:tc>
          <w:tcPr>
            <w:tcW w:w="666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2126"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2126"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2126"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126"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一、一般公共预算拨款收入</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86.47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一、一般公共服务支出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二、外交支出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三、国防支出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四、财政专户管理资金收入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四、公共安全支出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五、事业收入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五、教育支出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六、事业单位经营收入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六、科学技术支出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七、上级补助收入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七、文化旅游体育与传媒支出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八、附属单位上缴收入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八、社会保障和就业支出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九、其他收入</w:t>
            </w: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九、社会保险基金支出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十、卫生健康支出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十一、节能环保支出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十二、城乡社区支出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十三、农林水支出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十四、交通运输支出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十五、资源勘探工业信息等支出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十六、商业服务业等支出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十七、金融支出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十八、援助其他地区支出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十九、自然资源海洋气象等支出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二十、住房保障支出</w:t>
            </w:r>
          </w:p>
        </w:tc>
        <w:tc>
          <w:tcPr>
            <w:tcW w:w="2126"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二十一、粮油物资储备支出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22</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二十二、国有资本经营预算支出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23</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二十三、灾害防治及应急管理支出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24</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二十四、预备费</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二十五、其他支出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26</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二十六、转移性支出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27</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二十七、债务还本支出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28</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二十八、债务付息支出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29</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二十九、债务发行费用支出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w:t>
            </w:r>
          </w:p>
        </w:tc>
        <w:tc>
          <w:tcPr>
            <w:tcW w:w="4535" w:type="dxa"/>
            <w:vAlign w:val="center"/>
          </w:tcPr>
          <w:p>
            <w:pPr>
              <w:spacing w:line="300" w:lineRule="exact"/>
              <w:jc w:val="left"/>
              <w:rPr>
                <w:rFonts w:ascii="方正书宋_GBK" w:hAnsi="Times New Roman" w:eastAsia="方正书宋_GBK" w:cs="Times New Roman"/>
                <w:szCs w:val="24"/>
              </w:rPr>
            </w:pPr>
          </w:p>
        </w:tc>
        <w:tc>
          <w:tcPr>
            <w:tcW w:w="2126" w:type="dxa"/>
            <w:vAlign w:val="center"/>
          </w:tcPr>
          <w:p>
            <w:pPr>
              <w:spacing w:line="300" w:lineRule="exact"/>
              <w:jc w:val="right"/>
              <w:rPr>
                <w:rFonts w:ascii="方正书宋_GBK" w:hAnsi="Times New Roman" w:eastAsia="方正书宋_GBK" w:cs="Times New Roman"/>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三十、抗疫特别国债安排的支出</w:t>
            </w:r>
          </w:p>
        </w:tc>
        <w:tc>
          <w:tcPr>
            <w:tcW w:w="2126"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31</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本年收入合计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本年支出合计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上年结转结余</w:t>
            </w:r>
          </w:p>
        </w:tc>
        <w:tc>
          <w:tcPr>
            <w:tcW w:w="2126" w:type="dxa"/>
            <w:vAlign w:val="center"/>
          </w:tcPr>
          <w:p>
            <w:pPr>
              <w:spacing w:line="300" w:lineRule="exact"/>
              <w:jc w:val="right"/>
              <w:rPr>
                <w:rFonts w:ascii="方正书宋_GBK" w:hAnsi="Times New Roman" w:eastAsia="方正书宋_GBK" w:cs="Times New Roman"/>
                <w:b/>
                <w:szCs w:val="24"/>
              </w:rPr>
            </w:pP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年终结转结余</w:t>
            </w:r>
          </w:p>
        </w:tc>
        <w:tc>
          <w:tcPr>
            <w:tcW w:w="2126"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33</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收入总计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支出总计</w:t>
            </w:r>
          </w:p>
        </w:tc>
        <w:tc>
          <w:tcPr>
            <w:tcW w:w="2126"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r>
    </w:tbl>
    <w:p>
      <w:pPr>
        <w:spacing w:line="300" w:lineRule="exact"/>
        <w:jc w:val="left"/>
        <w:outlineLvl w:val="1"/>
        <w:rPr>
          <w:rFonts w:ascii="Times New Roman" w:hAnsi="Times New Roman" w:eastAsia="宋体" w:cs="Times New Roman"/>
          <w:szCs w:val="24"/>
        </w:rPr>
        <w:sectPr>
          <w:footerReference r:id="rId5" w:type="default"/>
          <w:pgSz w:w="16839" w:h="11907" w:orient="landscape"/>
          <w:pgMar w:top="1361" w:right="1020" w:bottom="1134" w:left="1020" w:header="851" w:footer="992" w:gutter="0"/>
          <w:pgNumType w:start="1"/>
          <w:cols w:space="720" w:num="1"/>
          <w:docGrid w:type="lines" w:linePitch="312" w:charSpace="0"/>
        </w:sectPr>
      </w:pPr>
    </w:p>
    <w:p>
      <w:pPr>
        <w:jc w:val="center"/>
        <w:outlineLvl w:val="1"/>
        <w:rPr>
          <w:rFonts w:ascii="Times New Roman" w:hAnsi="宋体" w:eastAsia="宋体" w:cs="Times New Roman"/>
          <w:sz w:val="36"/>
          <w:szCs w:val="24"/>
        </w:rPr>
      </w:pPr>
      <w:bookmarkStart w:id="1" w:name="_Toc68781217"/>
      <w:r>
        <w:rPr>
          <w:rFonts w:hint="eastAsia" w:ascii="方正小标宋_GBK" w:hAnsi="Times New Roman" w:eastAsia="方正小标宋_GBK" w:cs="Times New Roman"/>
          <w:sz w:val="36"/>
          <w:szCs w:val="24"/>
        </w:rPr>
        <w:t>部门预算收入总表</w:t>
      </w:r>
      <w:bookmarkEnd w:id="1"/>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3402" w:type="dxa"/>
            <w:gridSpan w:val="3"/>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670" w:type="dxa"/>
            <w:gridSpan w:val="5"/>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2551"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1134"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9072" w:type="dxa"/>
            <w:gridSpan w:val="8"/>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w:t>
            </w:r>
          </w:p>
        </w:tc>
        <w:tc>
          <w:tcPr>
            <w:tcW w:w="1134"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Merge w:val="continue"/>
            <w:vAlign w:val="center"/>
          </w:tcPr>
          <w:p>
            <w:pPr>
              <w:spacing w:line="300" w:lineRule="exact"/>
              <w:jc w:val="left"/>
              <w:outlineLvl w:val="1"/>
              <w:rPr>
                <w:rFonts w:ascii="Times New Roman" w:hAnsi="Times New Roman" w:eastAsia="宋体" w:cs="Times New Roman"/>
                <w:szCs w:val="24"/>
              </w:rPr>
            </w:pPr>
          </w:p>
        </w:tc>
        <w:tc>
          <w:tcPr>
            <w:tcW w:w="99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编码</w:t>
            </w:r>
          </w:p>
        </w:tc>
        <w:tc>
          <w:tcPr>
            <w:tcW w:w="1559"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1134" w:type="dxa"/>
            <w:vMerge w:val="continue"/>
            <w:vAlign w:val="center"/>
          </w:tcPr>
          <w:p>
            <w:pPr>
              <w:spacing w:line="300" w:lineRule="exact"/>
              <w:jc w:val="left"/>
              <w:outlineLvl w:val="1"/>
              <w:rPr>
                <w:rFonts w:ascii="Times New Roman" w:hAnsi="Times New Roman" w:eastAsia="宋体" w:cs="Times New Roman"/>
                <w:szCs w:val="24"/>
              </w:rPr>
            </w:pP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小计</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财政拨款</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财政专户</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事业收入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经营收入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上级补助收入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附属单位上缴收入</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其他收入</w:t>
            </w:r>
          </w:p>
        </w:tc>
        <w:tc>
          <w:tcPr>
            <w:tcW w:w="1134"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8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99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1559"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8</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9</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10</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11</w:t>
            </w:r>
          </w:p>
        </w:tc>
        <w:tc>
          <w:tcPr>
            <w:tcW w:w="113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992" w:type="dxa"/>
            <w:vAlign w:val="center"/>
          </w:tcPr>
          <w:p>
            <w:pPr>
              <w:spacing w:line="300" w:lineRule="exact"/>
              <w:jc w:val="left"/>
              <w:rPr>
                <w:rFonts w:ascii="方正书宋_GBK" w:hAnsi="Times New Roman" w:eastAsia="方正书宋_GBK" w:cs="Times New Roman"/>
                <w:szCs w:val="24"/>
              </w:rPr>
            </w:pPr>
          </w:p>
        </w:tc>
        <w:tc>
          <w:tcPr>
            <w:tcW w:w="1559" w:type="dxa"/>
            <w:vAlign w:val="center"/>
          </w:tcPr>
          <w:p>
            <w:pPr>
              <w:widowControl/>
              <w:spacing w:line="300" w:lineRule="exact"/>
              <w:jc w:val="lef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68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1559"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c>
          <w:tcPr>
            <w:tcW w:w="1134"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2" w:name="_Toc68781218"/>
      <w:r>
        <w:rPr>
          <w:rFonts w:hint="eastAsia" w:ascii="方正小标宋_GBK" w:hAnsi="Times New Roman" w:eastAsia="方正小标宋_GBK" w:cs="Times New Roman"/>
          <w:sz w:val="36"/>
          <w:szCs w:val="24"/>
        </w:rPr>
        <w:t>部门预算支出总表</w:t>
      </w:r>
      <w:bookmarkEnd w:id="2"/>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722" w:type="dxa"/>
            <w:gridSpan w:val="2"/>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444"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527"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经营支出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上解上级</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支出</w:t>
            </w:r>
          </w:p>
        </w:tc>
        <w:tc>
          <w:tcPr>
            <w:tcW w:w="136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99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c>
          <w:tcPr>
            <w:tcW w:w="136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99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c>
          <w:tcPr>
            <w:tcW w:w="136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992"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1361" w:type="dxa"/>
            <w:vAlign w:val="center"/>
          </w:tcPr>
          <w:p>
            <w:pPr>
              <w:widowControl/>
              <w:spacing w:line="300" w:lineRule="exact"/>
              <w:jc w:val="right"/>
              <w:textAlignment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19.00</w:t>
            </w:r>
          </w:p>
        </w:tc>
        <w:tc>
          <w:tcPr>
            <w:tcW w:w="1361" w:type="dxa"/>
            <w:vAlign w:val="center"/>
          </w:tcPr>
          <w:p>
            <w:pPr>
              <w:spacing w:line="300" w:lineRule="exact"/>
              <w:jc w:val="right"/>
              <w:rPr>
                <w:rFonts w:ascii="方正书宋_GBK" w:hAnsi="Times New Roman" w:eastAsia="方正书宋_GBK" w:cs="Times New Roman"/>
                <w:b/>
                <w:szCs w:val="24"/>
              </w:rPr>
            </w:pPr>
          </w:p>
        </w:tc>
        <w:tc>
          <w:tcPr>
            <w:tcW w:w="1361" w:type="dxa"/>
            <w:vAlign w:val="center"/>
          </w:tcPr>
          <w:p>
            <w:pPr>
              <w:spacing w:line="300" w:lineRule="exact"/>
              <w:jc w:val="right"/>
              <w:rPr>
                <w:rFonts w:ascii="方正书宋_GBK" w:hAnsi="Times New Roman" w:eastAsia="方正书宋_GBK" w:cs="Times New Roman"/>
                <w:b/>
                <w:szCs w:val="24"/>
              </w:rPr>
            </w:pPr>
          </w:p>
        </w:tc>
        <w:tc>
          <w:tcPr>
            <w:tcW w:w="1361"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58.11</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99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c>
          <w:tcPr>
            <w:tcW w:w="136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3" w:name="_Toc68781219"/>
      <w:r>
        <w:rPr>
          <w:rFonts w:hint="eastAsia" w:ascii="方正小标宋_GBK" w:hAnsi="Times New Roman" w:eastAsia="方正小标宋_GBK" w:cs="Times New Roman"/>
          <w:sz w:val="36"/>
          <w:szCs w:val="24"/>
        </w:rPr>
        <w:t>部门预算财政拨款收支总表</w:t>
      </w:r>
      <w:bookmarkEnd w:id="3"/>
    </w:p>
    <w:tbl>
      <w:tblPr>
        <w:tblStyle w:val="10"/>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3402"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896"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487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w:t>
            </w:r>
          </w:p>
        </w:tc>
        <w:tc>
          <w:tcPr>
            <w:tcW w:w="9298" w:type="dxa"/>
            <w:gridSpan w:val="5"/>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金额</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一般公共预算财政拨款</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政府性基金预算财政拨款</w:t>
            </w:r>
          </w:p>
        </w:tc>
        <w:tc>
          <w:tcPr>
            <w:tcW w:w="147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340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3402"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6</w:t>
            </w:r>
          </w:p>
        </w:tc>
        <w:tc>
          <w:tcPr>
            <w:tcW w:w="1474"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86.47</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一、一般公共服务支出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二、外交支出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三、国防支出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四、公共安全支出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五、教育支出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六、科学技术支出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七、文化旅游体育与传媒支出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八、社会保障和就业支出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九、社会保险基金支出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十、卫生健康支出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十一、节能环保支出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十二、城乡社区支出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十三、农林水支出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十四、交通运输支出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十五、资源勘探工业信息等支出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十六、商业服务业等支出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十七、金融支出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十八、援助其他地区支出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十九、自然资源海洋气象等支出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二十、住房保障支出</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474"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二十一、粮油物资储备支出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22</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二十二、国有资本经营预算支出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23</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二十三、灾害防治及应急管理支出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24</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二十四、预备费</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25</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二十五、其他支出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26</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二十六、转移性支出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27</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二十七、债务还本支出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28</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二十八、债务付息支出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29</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二十九、债务发行费用支出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30</w:t>
            </w: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三十、抗疫特别国债安排的支出</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31</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本年收入合计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本年支出合计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p>
        </w:tc>
        <w:tc>
          <w:tcPr>
            <w:tcW w:w="1474"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32</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年初财政拨款结转和结余</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年末财政拨款结转和结余</w:t>
            </w: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33</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一、一般公共预算拨款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34</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二、政府性基金预算拨款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35</w:t>
            </w:r>
          </w:p>
        </w:tc>
        <w:tc>
          <w:tcPr>
            <w:tcW w:w="3402"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三、国有资本经营预算拨款</w:t>
            </w:r>
          </w:p>
        </w:tc>
        <w:tc>
          <w:tcPr>
            <w:tcW w:w="1474" w:type="dxa"/>
            <w:vAlign w:val="center"/>
          </w:tcPr>
          <w:p>
            <w:pPr>
              <w:spacing w:line="300" w:lineRule="exact"/>
              <w:jc w:val="right"/>
              <w:rPr>
                <w:rFonts w:ascii="方正书宋_GBK" w:hAnsi="Times New Roman" w:eastAsia="方正书宋_GBK" w:cs="Times New Roman"/>
                <w:szCs w:val="24"/>
              </w:rPr>
            </w:pPr>
          </w:p>
        </w:tc>
        <w:tc>
          <w:tcPr>
            <w:tcW w:w="3402" w:type="dxa"/>
            <w:vAlign w:val="center"/>
          </w:tcPr>
          <w:p>
            <w:pPr>
              <w:spacing w:line="300" w:lineRule="exact"/>
              <w:jc w:val="lef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c>
          <w:tcPr>
            <w:tcW w:w="1474"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36</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收入总计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3402"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支出总计</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1474" w:type="dxa"/>
            <w:vAlign w:val="center"/>
          </w:tcPr>
          <w:p>
            <w:pPr>
              <w:spacing w:line="300" w:lineRule="exact"/>
              <w:jc w:val="right"/>
              <w:rPr>
                <w:rFonts w:ascii="方正书宋_GBK" w:hAnsi="Times New Roman" w:eastAsia="方正书宋_GBK" w:cs="Times New Roman"/>
                <w:b/>
                <w:szCs w:val="24"/>
              </w:rPr>
            </w:pPr>
          </w:p>
        </w:tc>
        <w:tc>
          <w:tcPr>
            <w:tcW w:w="1474" w:type="dxa"/>
            <w:vAlign w:val="center"/>
          </w:tcPr>
          <w:p>
            <w:pPr>
              <w:spacing w:line="300" w:lineRule="exact"/>
              <w:jc w:val="right"/>
              <w:rPr>
                <w:rFonts w:ascii="方正书宋_GBK" w:hAnsi="Times New Roman" w:eastAsia="方正书宋_GBK" w:cs="Times New Roman"/>
                <w:b/>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4" w:name="_Toc68781220"/>
      <w:r>
        <w:rPr>
          <w:rFonts w:hint="eastAsia" w:ascii="方正小标宋_GBK" w:hAnsi="Times New Roman" w:eastAsia="方正小标宋_GBK" w:cs="Times New Roman"/>
          <w:sz w:val="36"/>
          <w:szCs w:val="24"/>
        </w:rPr>
        <w:t>部门预算一般公共预算财政拨款支出表</w:t>
      </w:r>
      <w:bookmarkEnd w:id="4"/>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1191"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86.47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社会保障和就业支出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77.11</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58.11</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行政事业单位养老支出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2080505</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红十字事业</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72.64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行政运行</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53.64</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2081602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一般行政管理事务</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卫生健康支出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行政事业单位医疗</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2101102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事业单位医疗</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住房保障支出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住房改革支出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2210201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5" w:name="_Toc68781221"/>
      <w:r>
        <w:rPr>
          <w:rFonts w:hint="eastAsia" w:ascii="方正小标宋_GBK" w:hAnsi="Times New Roman" w:eastAsia="方正小标宋_GBK" w:cs="Times New Roman"/>
          <w:sz w:val="36"/>
          <w:szCs w:val="24"/>
        </w:rPr>
        <w:t>部门预算一般公共预算财政拨款基本支出表</w:t>
      </w:r>
      <w:bookmarkEnd w:id="5"/>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支出部门经济分类科目</w:t>
            </w:r>
          </w:p>
        </w:tc>
        <w:tc>
          <w:tcPr>
            <w:tcW w:w="7653" w:type="dxa"/>
            <w:gridSpan w:val="3"/>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人员经费</w:t>
            </w:r>
          </w:p>
        </w:tc>
        <w:tc>
          <w:tcPr>
            <w:tcW w:w="255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1191" w:type="dxa"/>
            <w:vAlign w:val="center"/>
          </w:tcPr>
          <w:p>
            <w:pPr>
              <w:spacing w:line="300" w:lineRule="exact"/>
              <w:jc w:val="left"/>
              <w:rPr>
                <w:rFonts w:ascii="方正书宋_GBK" w:hAnsi="Times New Roman" w:eastAsia="方正书宋_GBK" w:cs="Times New Roman"/>
                <w:szCs w:val="24"/>
              </w:rPr>
            </w:pPr>
          </w:p>
        </w:tc>
        <w:tc>
          <w:tcPr>
            <w:tcW w:w="4535" w:type="dxa"/>
            <w:vAlign w:val="center"/>
          </w:tcPr>
          <w:p>
            <w:pPr>
              <w:widowControl/>
              <w:spacing w:line="300" w:lineRule="exact"/>
              <w:jc w:val="left"/>
              <w:textAlignment w:val="center"/>
              <w:rPr>
                <w:rFonts w:ascii="方正书宋_GBK" w:hAnsi="Times New Roman" w:eastAsia="方正书宋_GBK" w:cs="Times New Roman"/>
                <w:szCs w:val="24"/>
              </w:rPr>
            </w:pPr>
            <w:r>
              <w:rPr>
                <w:rFonts w:hint="eastAsia" w:ascii="方正书宋_GBK" w:hAnsi="Times New Roman" w:eastAsia="方正书宋_GBK" w:cs="Times New Roman"/>
                <w:szCs w:val="24"/>
              </w:rPr>
              <w:t>合计</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67.47</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59.26</w:t>
            </w:r>
          </w:p>
        </w:tc>
        <w:tc>
          <w:tcPr>
            <w:tcW w:w="2551" w:type="dxa"/>
            <w:vAlign w:val="center"/>
          </w:tcPr>
          <w:p>
            <w:pPr>
              <w:spacing w:line="300" w:lineRule="exact"/>
              <w:jc w:val="right"/>
              <w:rPr>
                <w:rFonts w:ascii="方正书宋_GBK" w:hAnsi="Times New Roman" w:eastAsia="方正书宋_GBK" w:cs="Times New Roman"/>
                <w:b/>
                <w:szCs w:val="24"/>
              </w:rPr>
            </w:pPr>
            <w:r>
              <w:rPr>
                <w:rFonts w:hint="eastAsia" w:ascii="方正书宋_GBK" w:hAnsi="Times New Roman" w:eastAsia="方正书宋_GBK" w:cs="Times New Roman"/>
                <w:b/>
                <w:szCs w:val="24"/>
              </w:rP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工资福利支出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59.23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59.23</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基本工资</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15.48</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15.48</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津贴补贴</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3.35</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3.35</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绩效工资</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12.47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12.47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30108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机关事业单位基本养老保险缴费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4.47</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30110</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职工基本医疗保险缴费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4.36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其他社会保障缴费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30113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住房公积金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5.00</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30199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其他工资福利支出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13.76</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13.76</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商品和服务支出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8.21</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8.21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12</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30201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办公费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2.00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13</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30207</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邮电费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0.10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14</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30211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差旅费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15</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30228</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工会经费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16</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30229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福利费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0.39</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17</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30231</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公务用车运行维护费</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18</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30239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其他交通费用</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2.34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19</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30299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其他商品和服务支出</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0.04</w:t>
            </w:r>
          </w:p>
        </w:tc>
        <w:tc>
          <w:tcPr>
            <w:tcW w:w="2551" w:type="dxa"/>
            <w:vAlign w:val="center"/>
          </w:tcPr>
          <w:p>
            <w:pPr>
              <w:spacing w:line="300" w:lineRule="exact"/>
              <w:jc w:val="right"/>
              <w:rPr>
                <w:rFonts w:ascii="方正书宋_GBK" w:hAnsi="Times New Roman" w:eastAsia="方正书宋_GBK" w:cs="Times New Roman"/>
                <w:szCs w:val="24"/>
              </w:rPr>
            </w:pP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20</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303</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对个人和家庭的补助</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21</w:t>
            </w:r>
          </w:p>
        </w:tc>
        <w:tc>
          <w:tcPr>
            <w:tcW w:w="1191"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30309</w:t>
            </w:r>
          </w:p>
        </w:tc>
        <w:tc>
          <w:tcPr>
            <w:tcW w:w="4535"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奖励金</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0.03</w:t>
            </w:r>
          </w:p>
        </w:tc>
        <w:tc>
          <w:tcPr>
            <w:tcW w:w="255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6" w:name="_Toc68781222"/>
      <w:r>
        <w:rPr>
          <w:rFonts w:hint="eastAsia" w:ascii="方正小标宋_GBK" w:hAnsi="Times New Roman" w:eastAsia="方正小标宋_GBK" w:cs="Times New Roman"/>
          <w:sz w:val="36"/>
          <w:szCs w:val="24"/>
        </w:rPr>
        <w:t>部门预算政府基金预算财政拨款支出表</w:t>
      </w:r>
      <w:bookmarkEnd w:id="6"/>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p>
        </w:tc>
        <w:tc>
          <w:tcPr>
            <w:tcW w:w="1191" w:type="dxa"/>
            <w:vAlign w:val="center"/>
          </w:tcPr>
          <w:p>
            <w:pPr>
              <w:spacing w:line="300" w:lineRule="exact"/>
              <w:jc w:val="left"/>
              <w:rPr>
                <w:rFonts w:ascii="方正书宋_GBK" w:hAnsi="Times New Roman" w:eastAsia="方正书宋_GBK" w:cs="Times New Roman"/>
                <w:b/>
                <w:szCs w:val="24"/>
              </w:rPr>
            </w:pPr>
          </w:p>
        </w:tc>
        <w:tc>
          <w:tcPr>
            <w:tcW w:w="4535" w:type="dxa"/>
            <w:vAlign w:val="center"/>
          </w:tcPr>
          <w:p>
            <w:pPr>
              <w:spacing w:line="300" w:lineRule="exact"/>
              <w:jc w:val="center"/>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r>
    </w:tbl>
    <w:p>
      <w:pPr>
        <w:jc w:val="left"/>
        <w:rPr>
          <w:rFonts w:ascii="Times New Roman" w:hAnsi="宋体" w:eastAsia="宋体" w:cs="Times New Roman"/>
          <w:szCs w:val="24"/>
        </w:rPr>
      </w:pPr>
      <w:r>
        <w:rPr>
          <w:rFonts w:hint="eastAsia" w:ascii="方正书宋_GBK" w:hAnsi="Times New Roman" w:eastAsia="方正书宋_GBK" w:cs="Times New Roman"/>
          <w:szCs w:val="24"/>
        </w:rPr>
        <w:t>注：无政府基金预算财政拨款预算，空表列示。</w:t>
      </w:r>
    </w:p>
    <w:p>
      <w:pPr>
        <w:jc w:val="left"/>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7" w:name="_Toc68781223"/>
      <w:r>
        <w:rPr>
          <w:rFonts w:hint="eastAsia" w:ascii="方正小标宋_GBK" w:hAnsi="Times New Roman" w:eastAsia="方正小标宋_GBK" w:cs="Times New Roman"/>
          <w:sz w:val="36"/>
          <w:szCs w:val="24"/>
        </w:rPr>
        <w:t>部门预算国有资本经营预算财政拨款支出表</w:t>
      </w:r>
      <w:bookmarkEnd w:id="7"/>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55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510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5726"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功能分类科目</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基本支出</w:t>
            </w:r>
          </w:p>
        </w:tc>
        <w:tc>
          <w:tcPr>
            <w:tcW w:w="255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119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科目编码</w:t>
            </w:r>
          </w:p>
        </w:tc>
        <w:tc>
          <w:tcPr>
            <w:tcW w:w="4535"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科目名称</w:t>
            </w: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c>
          <w:tcPr>
            <w:tcW w:w="2551" w:type="dxa"/>
            <w:vMerge w:val="continue"/>
            <w:vAlign w:val="center"/>
          </w:tcPr>
          <w:p>
            <w:pPr>
              <w:spacing w:line="300" w:lineRule="exact"/>
              <w:jc w:val="left"/>
              <w:outlineLvl w:val="1"/>
              <w:rPr>
                <w:rFonts w:ascii="Times New Roman" w:hAnsi="Times New Roman" w:eastAsia="宋体"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119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4535"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55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850" w:type="dxa"/>
            <w:vAlign w:val="center"/>
          </w:tcPr>
          <w:p>
            <w:pPr>
              <w:spacing w:line="300" w:lineRule="exact"/>
              <w:jc w:val="center"/>
              <w:rPr>
                <w:rFonts w:ascii="方正书宋_GBK" w:hAnsi="Times New Roman" w:eastAsia="方正书宋_GBK" w:cs="Times New Roman"/>
                <w:szCs w:val="24"/>
              </w:rPr>
            </w:pPr>
          </w:p>
        </w:tc>
        <w:tc>
          <w:tcPr>
            <w:tcW w:w="1191" w:type="dxa"/>
            <w:vAlign w:val="center"/>
          </w:tcPr>
          <w:p>
            <w:pPr>
              <w:spacing w:line="300" w:lineRule="exact"/>
              <w:jc w:val="left"/>
              <w:rPr>
                <w:rFonts w:ascii="方正书宋_GBK" w:hAnsi="Times New Roman" w:eastAsia="方正书宋_GBK" w:cs="Times New Roman"/>
                <w:b/>
                <w:szCs w:val="24"/>
              </w:rPr>
            </w:pPr>
          </w:p>
        </w:tc>
        <w:tc>
          <w:tcPr>
            <w:tcW w:w="4535" w:type="dxa"/>
            <w:vAlign w:val="center"/>
          </w:tcPr>
          <w:p>
            <w:pPr>
              <w:spacing w:line="300" w:lineRule="exact"/>
              <w:jc w:val="center"/>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c>
          <w:tcPr>
            <w:tcW w:w="2551" w:type="dxa"/>
            <w:vAlign w:val="center"/>
          </w:tcPr>
          <w:p>
            <w:pPr>
              <w:spacing w:line="300" w:lineRule="exact"/>
              <w:jc w:val="right"/>
              <w:rPr>
                <w:rFonts w:ascii="方正书宋_GBK" w:hAnsi="Times New Roman" w:eastAsia="方正书宋_GBK" w:cs="Times New Roman"/>
                <w:b/>
                <w:szCs w:val="24"/>
              </w:rPr>
            </w:pPr>
          </w:p>
        </w:tc>
      </w:tr>
    </w:tbl>
    <w:p>
      <w:pPr>
        <w:jc w:val="left"/>
        <w:rPr>
          <w:rFonts w:ascii="Times New Roman" w:hAnsi="宋体" w:eastAsia="宋体" w:cs="Times New Roman"/>
          <w:szCs w:val="24"/>
        </w:rPr>
      </w:pPr>
      <w:r>
        <w:rPr>
          <w:rFonts w:hint="eastAsia" w:ascii="方正书宋_GBK" w:hAnsi="Times New Roman" w:eastAsia="方正书宋_GBK" w:cs="Times New Roman"/>
          <w:szCs w:val="24"/>
        </w:rPr>
        <w:t>注：无国有资本经营预算财政拨款预算，空表列示。</w:t>
      </w:r>
    </w:p>
    <w:p>
      <w:pPr>
        <w:jc w:val="left"/>
        <w:rPr>
          <w:rFonts w:ascii="Times New Roman" w:hAnsi="Times New Roman" w:eastAsia="宋体" w:cs="Times New Roman"/>
          <w:szCs w:val="24"/>
        </w:rPr>
        <w:sectPr>
          <w:pgSz w:w="16839" w:h="11907" w:orient="landscape"/>
          <w:pgMar w:top="1361" w:right="1020" w:bottom="1134" w:left="1020" w:header="851" w:footer="992" w:gutter="0"/>
          <w:cols w:space="720" w:num="1"/>
          <w:docGrid w:type="lines" w:linePitch="312" w:charSpace="0"/>
        </w:sectPr>
      </w:pPr>
    </w:p>
    <w:p>
      <w:pPr>
        <w:jc w:val="center"/>
        <w:outlineLvl w:val="1"/>
        <w:rPr>
          <w:rFonts w:ascii="Times New Roman" w:hAnsi="宋体" w:eastAsia="宋体" w:cs="Times New Roman"/>
          <w:sz w:val="36"/>
          <w:szCs w:val="24"/>
        </w:rPr>
      </w:pPr>
      <w:bookmarkStart w:id="8" w:name="_Toc68781224"/>
      <w:r>
        <w:rPr>
          <w:rFonts w:hint="eastAsia" w:ascii="方正小标宋_GBK" w:hAnsi="Times New Roman" w:eastAsia="方正小标宋_GBK" w:cs="Times New Roman"/>
          <w:sz w:val="36"/>
          <w:szCs w:val="24"/>
        </w:rPr>
        <w:t>部门预算财政拨款“三公”经费支出表</w:t>
      </w:r>
      <w:bookmarkEnd w:id="8"/>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[717]石家庄市鹿泉区红十字会</w:t>
            </w:r>
          </w:p>
        </w:tc>
        <w:tc>
          <w:tcPr>
            <w:tcW w:w="2381" w:type="dxa"/>
            <w:tcBorders>
              <w:top w:val="single" w:color="FFFFFF" w:sz="6" w:space="0"/>
              <w:left w:val="single" w:color="FFFFFF" w:sz="6" w:space="0"/>
              <w:right w:val="single" w:color="FFFFFF" w:sz="6" w:space="0"/>
            </w:tcBorders>
            <w:vAlign w:val="center"/>
          </w:tcPr>
          <w:p>
            <w:pPr>
              <w:spacing w:line="300" w:lineRule="exact"/>
              <w:jc w:val="center"/>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预算年度：</w:t>
            </w:r>
            <w:r>
              <w:rPr>
                <w:rFonts w:ascii="方正小标宋_GBK" w:hAnsi="Times New Roman" w:eastAsia="方正小标宋_GBK" w:cs="Times New Roman"/>
                <w:sz w:val="24"/>
                <w:szCs w:val="24"/>
              </w:rPr>
              <w:t>2021</w:t>
            </w:r>
          </w:p>
        </w:tc>
        <w:tc>
          <w:tcPr>
            <w:tcW w:w="476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50"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序号</w:t>
            </w:r>
          </w:p>
        </w:tc>
        <w:tc>
          <w:tcPr>
            <w:tcW w:w="3798"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目</w:t>
            </w:r>
          </w:p>
        </w:tc>
        <w:tc>
          <w:tcPr>
            <w:tcW w:w="9524" w:type="dxa"/>
            <w:gridSpan w:val="4"/>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资</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金</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性</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Merge w:val="continue"/>
            <w:vAlign w:val="center"/>
          </w:tcPr>
          <w:p>
            <w:pPr>
              <w:spacing w:line="300" w:lineRule="exact"/>
              <w:jc w:val="left"/>
              <w:outlineLvl w:val="1"/>
              <w:rPr>
                <w:rFonts w:ascii="Times New Roman" w:hAnsi="Times New Roman" w:eastAsia="宋体" w:cs="Times New Roman"/>
                <w:szCs w:val="24"/>
              </w:rPr>
            </w:pPr>
          </w:p>
        </w:tc>
        <w:tc>
          <w:tcPr>
            <w:tcW w:w="3798" w:type="dxa"/>
            <w:vMerge w:val="continue"/>
            <w:vAlign w:val="center"/>
          </w:tcPr>
          <w:p>
            <w:pPr>
              <w:spacing w:line="300" w:lineRule="exact"/>
              <w:jc w:val="left"/>
              <w:outlineLvl w:val="1"/>
              <w:rPr>
                <w:rFonts w:ascii="Times New Roman" w:hAnsi="Times New Roman" w:eastAsia="宋体" w:cs="Times New Roman"/>
                <w:szCs w:val="24"/>
              </w:rPr>
            </w:pP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财政拨款</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政府性基金</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预算拨款</w:t>
            </w:r>
          </w:p>
        </w:tc>
        <w:tc>
          <w:tcPr>
            <w:tcW w:w="2381"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850"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栏次</w:t>
            </w:r>
          </w:p>
        </w:tc>
        <w:tc>
          <w:tcPr>
            <w:tcW w:w="3798"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1</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2</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3</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4</w:t>
            </w:r>
          </w:p>
        </w:tc>
        <w:tc>
          <w:tcPr>
            <w:tcW w:w="2381" w:type="dxa"/>
            <w:vAlign w:val="center"/>
          </w:tcPr>
          <w:p>
            <w:pPr>
              <w:spacing w:line="300" w:lineRule="exact"/>
              <w:jc w:val="center"/>
              <w:rPr>
                <w:rFonts w:ascii="方正书宋_GBK" w:hAnsi="Times New Roman" w:eastAsia="方正书宋_GBK" w:cs="Times New Roman"/>
                <w:b/>
                <w:szCs w:val="24"/>
              </w:rPr>
            </w:pPr>
            <w:r>
              <w:rPr>
                <w:rFonts w:ascii="方正书宋_GBK" w:hAnsi="Times New Roman" w:eastAsia="方正书宋_GBK" w:cs="Times New Roman"/>
                <w:b/>
                <w:szCs w:val="24"/>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1</w:t>
            </w:r>
          </w:p>
        </w:tc>
        <w:tc>
          <w:tcPr>
            <w:tcW w:w="3798"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b/>
                <w:szCs w:val="24"/>
              </w:rPr>
            </w:pPr>
          </w:p>
        </w:tc>
        <w:tc>
          <w:tcPr>
            <w:tcW w:w="2381" w:type="dxa"/>
            <w:vAlign w:val="center"/>
          </w:tcPr>
          <w:p>
            <w:pPr>
              <w:spacing w:line="300" w:lineRule="exact"/>
              <w:jc w:val="right"/>
              <w:rPr>
                <w:rFonts w:ascii="方正书宋_GBK" w:hAnsi="Times New Roman" w:eastAsia="方正书宋_GBK" w:cs="Times New Roman"/>
                <w:b/>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2</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一、因公出国（境）费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3</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二、公务用车购置及运维费</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4</w:t>
            </w:r>
          </w:p>
        </w:tc>
        <w:tc>
          <w:tcPr>
            <w:tcW w:w="3798" w:type="dxa"/>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其中：公务用车购置费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5</w:t>
            </w:r>
          </w:p>
        </w:tc>
        <w:tc>
          <w:tcPr>
            <w:tcW w:w="3798" w:type="dxa"/>
            <w:vAlign w:val="center"/>
          </w:tcPr>
          <w:p>
            <w:pPr>
              <w:spacing w:line="300" w:lineRule="exact"/>
              <w:jc w:val="left"/>
              <w:rPr>
                <w:rFonts w:ascii="方正书宋_GBK" w:hAnsi="Times New Roman" w:eastAsia="方正书宋_GBK" w:cs="Times New Roman"/>
                <w:szCs w:val="24"/>
              </w:rPr>
            </w:pPr>
            <w:r>
              <w:rPr>
                <w:rFonts w:ascii="方正书宋_GBK" w:hAnsi="Times New Roman" w:eastAsia="方正书宋_GBK" w:cs="Times New Roman"/>
                <w:szCs w:val="24"/>
              </w:rPr>
              <w:t xml:space="preserve">          </w:t>
            </w:r>
            <w:r>
              <w:rPr>
                <w:rFonts w:hint="eastAsia" w:ascii="方正书宋_GBK" w:hAnsi="Times New Roman" w:eastAsia="方正书宋_GBK" w:cs="Times New Roman"/>
                <w:szCs w:val="24"/>
              </w:rPr>
              <w:t>公务用车运行维护费</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r>
              <w:rPr>
                <w:rFonts w:hint="eastAsia" w:ascii="方正书宋_GBK" w:hAnsi="Times New Roman" w:eastAsia="方正书宋_GBK" w:cs="Times New Roman"/>
                <w:szCs w:val="24"/>
              </w:rPr>
              <w:t>2.70</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jc w:val="center"/>
        </w:trPr>
        <w:tc>
          <w:tcPr>
            <w:tcW w:w="850" w:type="dxa"/>
            <w:vAlign w:val="center"/>
          </w:tcPr>
          <w:p>
            <w:pPr>
              <w:spacing w:line="300" w:lineRule="exact"/>
              <w:jc w:val="center"/>
              <w:rPr>
                <w:rFonts w:ascii="方正书宋_GBK" w:hAnsi="Times New Roman" w:eastAsia="方正书宋_GBK" w:cs="Times New Roman"/>
                <w:szCs w:val="24"/>
              </w:rPr>
            </w:pPr>
            <w:r>
              <w:rPr>
                <w:rFonts w:ascii="方正书宋_GBK" w:hAnsi="Times New Roman" w:eastAsia="方正书宋_GBK" w:cs="Times New Roman"/>
                <w:szCs w:val="24"/>
              </w:rPr>
              <w:t>6</w:t>
            </w:r>
          </w:p>
        </w:tc>
        <w:tc>
          <w:tcPr>
            <w:tcW w:w="3798" w:type="dxa"/>
            <w:vAlign w:val="center"/>
          </w:tcPr>
          <w:p>
            <w:pPr>
              <w:spacing w:line="300" w:lineRule="exact"/>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三、公务接待费</w:t>
            </w: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c>
          <w:tcPr>
            <w:tcW w:w="2381" w:type="dxa"/>
            <w:vAlign w:val="center"/>
          </w:tcPr>
          <w:p>
            <w:pPr>
              <w:spacing w:line="300" w:lineRule="exact"/>
              <w:jc w:val="right"/>
              <w:rPr>
                <w:rFonts w:ascii="方正书宋_GBK" w:hAnsi="Times New Roman" w:eastAsia="方正书宋_GBK" w:cs="Times New Roman"/>
                <w:szCs w:val="24"/>
              </w:rPr>
            </w:pPr>
          </w:p>
        </w:tc>
      </w:tr>
    </w:tbl>
    <w:p>
      <w:pPr>
        <w:spacing w:line="300" w:lineRule="exact"/>
        <w:jc w:val="left"/>
        <w:outlineLvl w:val="1"/>
        <w:rPr>
          <w:rFonts w:ascii="Times New Roman" w:hAnsi="Times New Roman" w:eastAsia="宋体" w:cs="Times New Roman"/>
          <w:szCs w:val="24"/>
        </w:rPr>
        <w:sectPr>
          <w:pgSz w:w="16839" w:h="11907" w:orient="landscape"/>
          <w:pgMar w:top="1361" w:right="1020" w:bottom="1361" w:left="1020" w:header="851" w:footer="992" w:gutter="0"/>
          <w:cols w:space="720" w:num="1"/>
          <w:docGrid w:type="lines" w:linePitch="312" w:charSpace="0"/>
        </w:sectPr>
      </w:pPr>
    </w:p>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石家庄市鹿泉区红十字会</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w:t>
      </w:r>
      <w:r>
        <w:rPr>
          <w:rFonts w:ascii="Times New Roman" w:hAnsi="Times New Roman" w:eastAsia="方正小标宋_GBK" w:cs="Times New Roman"/>
          <w:sz w:val="44"/>
          <w:szCs w:val="44"/>
        </w:rPr>
        <w:t>年部门预算信息公开</w:t>
      </w:r>
      <w:r>
        <w:rPr>
          <w:rFonts w:hint="eastAsia" w:ascii="Times New Roman" w:hAnsi="Times New Roman" w:eastAsia="方正小标宋_GBK" w:cs="Times New Roman"/>
          <w:sz w:val="44"/>
          <w:szCs w:val="44"/>
        </w:rPr>
        <w:t>情况说明</w:t>
      </w:r>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》、《地方预决算公开操作规程》和《河北省省级预算公开办法》规定，现将石家庄市鹿泉区红十字会2021年部门预算公开如下：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firstLineChars="20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部门</w:t>
      </w:r>
      <w:r>
        <w:rPr>
          <w:rFonts w:ascii="Times New Roman" w:hAnsi="Times New Roman" w:eastAsia="方正仿宋_GBK" w:cs="Times New Roman"/>
          <w:b/>
          <w:sz w:val="32"/>
          <w:szCs w:val="32"/>
        </w:rPr>
        <w:t>职责：</w:t>
      </w:r>
    </w:p>
    <w:p>
      <w:pPr>
        <w:ind w:firstLine="640" w:firstLineChars="200"/>
        <w:rPr>
          <w:rFonts w:ascii="仿宋" w:hAnsi="仿宋" w:eastAsia="仿宋" w:cs="仿宋"/>
          <w:sz w:val="32"/>
          <w:szCs w:val="32"/>
        </w:rPr>
      </w:pPr>
      <w:r>
        <w:rPr>
          <w:rFonts w:hint="eastAsia" w:ascii="仿宋" w:hAnsi="仿宋" w:eastAsia="仿宋" w:cs="仿宋"/>
          <w:sz w:val="32"/>
          <w:szCs w:val="32"/>
        </w:rP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pPr>
        <w:ind w:firstLine="640" w:firstLineChars="200"/>
        <w:rPr>
          <w:rFonts w:ascii="仿宋" w:hAnsi="仿宋" w:eastAsia="仿宋" w:cs="仿宋"/>
          <w:sz w:val="32"/>
          <w:szCs w:val="32"/>
        </w:rPr>
      </w:pPr>
      <w:r>
        <w:rPr>
          <w:rFonts w:hint="eastAsia" w:ascii="仿宋" w:hAnsi="仿宋" w:eastAsia="仿宋" w:cs="仿宋"/>
          <w:sz w:val="32"/>
          <w:szCs w:val="32"/>
        </w:rPr>
        <w:t>（二）努力推进应急救护知识普及，建立</w:t>
      </w:r>
      <w:r>
        <w:t>红十字</w:t>
      </w:r>
      <w:r>
        <w:rPr>
          <w:rFonts w:hint="eastAsia"/>
          <w:lang w:eastAsia="zh-CN"/>
        </w:rPr>
        <w:t>会</w:t>
      </w:r>
      <w:r>
        <w:rPr>
          <w:rFonts w:hint="eastAsia" w:ascii="仿宋" w:hAnsi="仿宋" w:eastAsia="仿宋" w:cs="仿宋"/>
          <w:sz w:val="32"/>
          <w:szCs w:val="32"/>
        </w:rPr>
        <w:t>应急救护培训长效机制，充分发挥红十字会在公众参与的应急救护培训中的主体作用，积极推动红十字救护培训进社区、进农村、进学校、进企业、进机关。</w:t>
      </w:r>
    </w:p>
    <w:p>
      <w:pPr>
        <w:ind w:firstLine="640" w:firstLineChars="200"/>
        <w:rPr>
          <w:rFonts w:ascii="仿宋" w:hAnsi="仿宋" w:eastAsia="仿宋" w:cs="仿宋"/>
          <w:sz w:val="32"/>
          <w:szCs w:val="32"/>
        </w:rPr>
      </w:pPr>
      <w:r>
        <w:rPr>
          <w:rFonts w:hint="eastAsia" w:ascii="仿宋" w:hAnsi="仿宋" w:eastAsia="仿宋" w:cs="仿宋"/>
          <w:sz w:val="32"/>
          <w:szCs w:val="32"/>
        </w:rPr>
        <w:t>（三）致力关注民生，积极开展弱势群体帮扶，向社会大力募集资金，建立专项救助基金。面向困难群体开展符合其宗旨的人道救助工作，重点救助困难群众及患病儿童。</w:t>
      </w:r>
    </w:p>
    <w:p>
      <w:pPr>
        <w:ind w:firstLine="640" w:firstLineChars="200"/>
        <w:rPr>
          <w:rFonts w:ascii="仿宋" w:hAnsi="仿宋" w:eastAsia="仿宋" w:cs="仿宋"/>
          <w:sz w:val="32"/>
          <w:szCs w:val="32"/>
        </w:rPr>
      </w:pPr>
      <w:r>
        <w:rPr>
          <w:rFonts w:hint="eastAsia" w:ascii="仿宋" w:hAnsi="仿宋" w:eastAsia="仿宋" w:cs="仿宋"/>
          <w:sz w:val="32"/>
          <w:szCs w:val="32"/>
        </w:rPr>
        <w:t>（四）认真贯彻执行《中华人民共和国红十字会法》和《中国红十字会章程》，指导全区</w:t>
      </w:r>
      <w:r>
        <w:t>红十字</w:t>
      </w:r>
      <w:r>
        <w:rPr>
          <w:rFonts w:hint="eastAsia"/>
          <w:lang w:eastAsia="zh-CN"/>
        </w:rPr>
        <w:t>会</w:t>
      </w:r>
      <w:r>
        <w:rPr>
          <w:rFonts w:hint="eastAsia" w:ascii="仿宋" w:hAnsi="仿宋" w:eastAsia="仿宋" w:cs="仿宋"/>
          <w:sz w:val="32"/>
          <w:szCs w:val="32"/>
        </w:rPr>
        <w:t>组织开展活动，推动红十字会各项工作的开展。</w:t>
      </w:r>
    </w:p>
    <w:p>
      <w:pPr>
        <w:ind w:firstLine="640" w:firstLineChars="200"/>
        <w:rPr>
          <w:rFonts w:ascii="仿宋" w:hAnsi="仿宋" w:eastAsia="仿宋" w:cs="仿宋"/>
          <w:sz w:val="32"/>
          <w:szCs w:val="32"/>
        </w:rPr>
      </w:pPr>
      <w:r>
        <w:rPr>
          <w:rFonts w:hint="eastAsia" w:ascii="仿宋" w:hAnsi="仿宋" w:eastAsia="仿宋" w:cs="仿宋"/>
          <w:sz w:val="32"/>
          <w:szCs w:val="32"/>
        </w:rPr>
        <w:t>（五）加强无偿献血、造血干细胞捐献、遗体和人体器官捐献知识宣传普及和捐献工作，大力建设</w:t>
      </w:r>
      <w:r>
        <w:t>红十字</w:t>
      </w:r>
      <w:r>
        <w:rPr>
          <w:rFonts w:hint="eastAsia"/>
          <w:lang w:eastAsia="zh-CN"/>
        </w:rPr>
        <w:t>会</w:t>
      </w:r>
      <w:r>
        <w:rPr>
          <w:rFonts w:hint="eastAsia" w:ascii="仿宋" w:hAnsi="仿宋" w:eastAsia="仿宋" w:cs="仿宋"/>
          <w:sz w:val="32"/>
          <w:szCs w:val="32"/>
        </w:rPr>
        <w:t>博爱家园，不断扩大</w:t>
      </w:r>
      <w:r>
        <w:t>红十字</w:t>
      </w:r>
      <w:r>
        <w:rPr>
          <w:rFonts w:hint="eastAsia"/>
          <w:lang w:eastAsia="zh-CN"/>
        </w:rPr>
        <w:t>会</w:t>
      </w:r>
      <w:r>
        <w:rPr>
          <w:rFonts w:hint="eastAsia" w:ascii="仿宋" w:hAnsi="仿宋" w:eastAsia="仿宋" w:cs="仿宋"/>
          <w:sz w:val="32"/>
          <w:szCs w:val="32"/>
        </w:rPr>
        <w:t>影响。</w:t>
      </w:r>
    </w:p>
    <w:p>
      <w:pPr>
        <w:ind w:firstLine="640" w:firstLineChars="200"/>
        <w:rPr>
          <w:rFonts w:ascii="方正仿宋_GBK" w:hAnsi="Times New Roman" w:eastAsia="方正仿宋_GBK" w:cs="Times New Roman"/>
          <w:b/>
          <w:sz w:val="32"/>
          <w:szCs w:val="32"/>
        </w:rPr>
      </w:pPr>
      <w:r>
        <w:rPr>
          <w:rFonts w:hint="eastAsia" w:ascii="仿宋" w:hAnsi="仿宋" w:eastAsia="仿宋" w:cs="仿宋"/>
          <w:sz w:val="32"/>
          <w:szCs w:val="32"/>
        </w:rPr>
        <w:t>（六）开展红十字青少年和志愿服务活动，广泛宣传</w:t>
      </w:r>
      <w:r>
        <w:rPr>
          <w:rFonts w:hint="eastAsia" w:ascii="仿宋" w:hAnsi="仿宋" w:eastAsia="仿宋" w:cs="仿宋"/>
          <w:sz w:val="32"/>
          <w:szCs w:val="32"/>
          <w:lang w:eastAsia="zh-CN"/>
        </w:rPr>
        <w:t>《中华人民共和国红十字会法》</w:t>
      </w:r>
      <w:r>
        <w:rPr>
          <w:rFonts w:hint="eastAsia" w:ascii="仿宋" w:hAnsi="仿宋" w:eastAsia="仿宋" w:cs="仿宋"/>
          <w:sz w:val="32"/>
          <w:szCs w:val="32"/>
        </w:rPr>
        <w:t>，加强与国际红十字及港澳台组织在人道救援、志愿服务、红十字青少年等方面交流与合作。积极参与国际红十字运动，积极发展志愿者，提升红十字会社会影响力。</w:t>
      </w:r>
    </w:p>
    <w:p>
      <w:pPr>
        <w:ind w:firstLine="640" w:firstLineChars="200"/>
        <w:rPr>
          <w:rFonts w:ascii="方正仿宋_GBK" w:hAnsi="Times New Roman" w:eastAsia="方正仿宋_GBK" w:cs="Times New Roman"/>
          <w:b/>
          <w:sz w:val="32"/>
          <w:szCs w:val="32"/>
        </w:rPr>
      </w:pPr>
      <w:r>
        <w:rPr>
          <w:rFonts w:hint="eastAsia" w:ascii="仿宋" w:hAnsi="仿宋" w:eastAsia="仿宋" w:cs="Times New Roman"/>
          <w:sz w:val="32"/>
          <w:szCs w:val="32"/>
        </w:rPr>
        <w:t>石家庄市鹿泉区红十字会根据工作需要，设有办公室等办事机构和工作机构。</w:t>
      </w:r>
    </w:p>
    <w:p>
      <w:pPr>
        <w:autoSpaceDE w:val="0"/>
        <w:autoSpaceDN w:val="0"/>
        <w:adjustRightInd w:val="0"/>
        <w:ind w:left="198" w:firstLine="640" w:firstLineChars="200"/>
        <w:jc w:val="left"/>
        <w:rPr>
          <w:rFonts w:ascii="方正仿宋_GBK" w:hAnsi="Times New Roman" w:eastAsia="方正仿宋_GBK" w:cs="Times New Roman"/>
          <w:b/>
          <w:sz w:val="32"/>
          <w:szCs w:val="32"/>
        </w:rPr>
      </w:pPr>
      <w:r>
        <w:rPr>
          <w:rFonts w:hint="eastAsia" w:ascii="方正仿宋_GBK" w:hAnsi="Times New Roman" w:eastAsia="方正仿宋_GBK"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0"/>
        <w:tblW w:w="97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59"/>
        <w:gridCol w:w="1134"/>
        <w:gridCol w:w="1276"/>
        <w:gridCol w:w="301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2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3013"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359" w:type="dxa"/>
            <w:vMerge w:val="continue"/>
            <w:shd w:val="clear" w:color="auto" w:fill="auto"/>
            <w:vAlign w:val="center"/>
          </w:tcPr>
          <w:p>
            <w:pPr>
              <w:spacing w:line="300" w:lineRule="exact"/>
              <w:jc w:val="left"/>
              <w:outlineLvl w:val="0"/>
            </w:pPr>
          </w:p>
        </w:tc>
        <w:tc>
          <w:tcPr>
            <w:tcW w:w="1134" w:type="dxa"/>
            <w:vMerge w:val="continue"/>
            <w:shd w:val="clear" w:color="auto" w:fill="auto"/>
            <w:vAlign w:val="center"/>
          </w:tcPr>
          <w:p>
            <w:pPr>
              <w:spacing w:line="300" w:lineRule="exact"/>
              <w:jc w:val="left"/>
              <w:outlineLvl w:val="0"/>
            </w:pPr>
          </w:p>
        </w:tc>
        <w:tc>
          <w:tcPr>
            <w:tcW w:w="1276" w:type="dxa"/>
            <w:vMerge w:val="continue"/>
            <w:shd w:val="clear" w:color="auto" w:fill="auto"/>
            <w:vAlign w:val="center"/>
          </w:tcPr>
          <w:p>
            <w:pPr>
              <w:spacing w:line="300" w:lineRule="exact"/>
              <w:jc w:val="left"/>
              <w:outlineLvl w:val="0"/>
            </w:pPr>
          </w:p>
        </w:tc>
        <w:tc>
          <w:tcPr>
            <w:tcW w:w="3013" w:type="dxa"/>
            <w:vMerge w:val="continue"/>
            <w:shd w:val="clear" w:color="auto" w:fill="auto"/>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center"/>
              <w:rPr>
                <w:rFonts w:ascii="方正书宋_GBK" w:eastAsia="方正书宋_GBK"/>
                <w:b/>
              </w:rPr>
            </w:pPr>
          </w:p>
        </w:tc>
        <w:tc>
          <w:tcPr>
            <w:tcW w:w="1276" w:type="dxa"/>
            <w:shd w:val="clear" w:color="auto" w:fill="auto"/>
            <w:vAlign w:val="center"/>
          </w:tcPr>
          <w:p>
            <w:pPr>
              <w:spacing w:line="300" w:lineRule="exact"/>
              <w:jc w:val="center"/>
              <w:rPr>
                <w:rFonts w:ascii="方正书宋_GBK" w:eastAsia="方正书宋_GBK"/>
                <w:b/>
              </w:rPr>
            </w:pPr>
          </w:p>
        </w:tc>
        <w:tc>
          <w:tcPr>
            <w:tcW w:w="3013" w:type="dxa"/>
            <w:shd w:val="clear" w:color="auto" w:fill="auto"/>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359"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石家庄市鹿泉区红十字会</w:t>
            </w:r>
          </w:p>
        </w:tc>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事业</w:t>
            </w:r>
          </w:p>
        </w:tc>
        <w:tc>
          <w:tcPr>
            <w:tcW w:w="1276"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正科级</w:t>
            </w:r>
          </w:p>
        </w:tc>
        <w:tc>
          <w:tcPr>
            <w:tcW w:w="3013"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ascii="仿宋" w:hAnsi="仿宋" w:eastAsia="仿宋" w:cs="仿宋"/>
          <w:sz w:val="32"/>
          <w:szCs w:val="32"/>
        </w:rPr>
      </w:pPr>
      <w:r>
        <w:rPr>
          <w:rFonts w:hint="eastAsia" w:ascii="仿宋" w:hAnsi="仿宋" w:eastAsia="仿宋" w:cs="仿宋"/>
          <w:sz w:val="32"/>
          <w:szCs w:val="32"/>
        </w:rPr>
        <w:t>按照预算管理有关规定，目前我区部门预算的编制实行综合预算管理，即全部收入和支出都反映在预算中。石家庄市鹿泉区红十字会及所属事业单位的收支包含在部门预算中。</w:t>
      </w:r>
    </w:p>
    <w:p>
      <w:pPr>
        <w:ind w:firstLine="640" w:firstLineChars="200"/>
        <w:rPr>
          <w:rFonts w:ascii="仿宋" w:hAnsi="仿宋" w:eastAsia="仿宋" w:cs="仿宋"/>
          <w:sz w:val="32"/>
          <w:szCs w:val="32"/>
        </w:rPr>
      </w:pPr>
      <w:r>
        <w:rPr>
          <w:rFonts w:hint="eastAsia" w:ascii="仿宋" w:hAnsi="仿宋" w:eastAsia="仿宋" w:cs="仿宋"/>
          <w:sz w:val="32"/>
          <w:szCs w:val="32"/>
        </w:rPr>
        <w:t>1、收入说明</w:t>
      </w:r>
    </w:p>
    <w:p>
      <w:pPr>
        <w:ind w:firstLine="640" w:firstLineChars="200"/>
        <w:rPr>
          <w:rFonts w:ascii="仿宋" w:hAnsi="仿宋" w:eastAsia="仿宋" w:cs="仿宋"/>
          <w:sz w:val="32"/>
          <w:szCs w:val="32"/>
        </w:rPr>
      </w:pPr>
      <w:r>
        <w:rPr>
          <w:rFonts w:hint="eastAsia" w:ascii="仿宋" w:hAnsi="仿宋" w:eastAsia="仿宋" w:cs="仿宋"/>
          <w:sz w:val="32"/>
          <w:szCs w:val="32"/>
        </w:rPr>
        <w:t>反映本部门当年全部收入。2021年预算收入86.47万元，其中：一般公共预算收入86.47万元，基金预算收入0万元，财政专户核拨收入0万元，其他来源收入0万元。</w:t>
      </w:r>
    </w:p>
    <w:p>
      <w:pPr>
        <w:ind w:firstLine="640" w:firstLineChars="200"/>
        <w:rPr>
          <w:rFonts w:ascii="仿宋" w:hAnsi="仿宋" w:eastAsia="仿宋" w:cs="仿宋"/>
          <w:sz w:val="32"/>
          <w:szCs w:val="32"/>
        </w:rPr>
      </w:pPr>
      <w:r>
        <w:rPr>
          <w:rFonts w:hint="eastAsia" w:ascii="仿宋" w:hAnsi="仿宋" w:eastAsia="仿宋" w:cs="仿宋"/>
          <w:sz w:val="32"/>
          <w:szCs w:val="32"/>
        </w:rPr>
        <w:t>2、支出说明</w:t>
      </w:r>
    </w:p>
    <w:p>
      <w:pPr>
        <w:ind w:firstLine="640" w:firstLineChars="200"/>
        <w:rPr>
          <w:rFonts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石家庄市鹿泉区红十字会年度部门预算中支出预算的总体情况。2021年支出预算86.47万元，其中基本支出67.47万元，包括人员经费59.26万元和日常公用经费8.21万元；项目支出19.00万元，包括本级支出，主要为应急救援、应急救护培训、人道救助、三献、国际人道援助和志愿者工作、综合事务工作等。</w:t>
      </w:r>
    </w:p>
    <w:p>
      <w:pPr>
        <w:ind w:firstLine="640" w:firstLineChars="200"/>
        <w:rPr>
          <w:rFonts w:ascii="仿宋" w:hAnsi="仿宋" w:eastAsia="仿宋" w:cs="仿宋"/>
          <w:sz w:val="32"/>
          <w:szCs w:val="32"/>
        </w:rPr>
      </w:pPr>
      <w:r>
        <w:rPr>
          <w:rFonts w:hint="eastAsia" w:ascii="仿宋" w:hAnsi="仿宋" w:eastAsia="仿宋" w:cs="仿宋"/>
          <w:sz w:val="32"/>
          <w:szCs w:val="32"/>
        </w:rPr>
        <w:t>3、比上年增减情况</w:t>
      </w:r>
    </w:p>
    <w:p>
      <w:pPr>
        <w:ind w:firstLine="640" w:firstLineChars="200"/>
        <w:rPr>
          <w:rFonts w:ascii="仿宋" w:hAnsi="仿宋" w:eastAsia="仿宋" w:cs="仿宋"/>
          <w:sz w:val="32"/>
          <w:szCs w:val="32"/>
        </w:rPr>
      </w:pPr>
      <w:r>
        <w:rPr>
          <w:rFonts w:hint="eastAsia" w:ascii="仿宋" w:hAnsi="仿宋" w:eastAsia="仿宋" w:cs="仿宋"/>
          <w:sz w:val="32"/>
          <w:szCs w:val="32"/>
        </w:rPr>
        <w:t>2021年预算收支安排86.47万元，较2020年预算增加10.69万元，其中：基本支出增加1.69万元，主要为增加人员经费支出和日常公用经费支出；项目支出增加9.00万元，主要为增加应急救护培训等项目资金。</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spacing w:line="500" w:lineRule="exact"/>
        <w:ind w:firstLine="640" w:firstLineChars="200"/>
        <w:jc w:val="left"/>
        <w:rPr>
          <w:rFonts w:ascii="仿宋" w:hAnsi="仿宋" w:eastAsia="仿宋" w:cs="仿宋"/>
          <w:sz w:val="32"/>
          <w:szCs w:val="32"/>
        </w:rPr>
      </w:pPr>
      <w:r>
        <w:rPr>
          <w:rFonts w:hint="eastAsia" w:ascii="仿宋" w:hAnsi="仿宋" w:eastAsia="仿宋" w:cs="仿宋"/>
          <w:sz w:val="32"/>
          <w:szCs w:val="32"/>
        </w:rPr>
        <w:t>2021年，我会机关运行经费共计安排8.21万元，主要用于保证机关正常运转的办公及印刷费、邮电费、办公用房取暖费、日常维修费、公务车运行维护费等支出。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rPr>
          <w:rFonts w:ascii="仿宋" w:hAnsi="仿宋" w:eastAsia="仿宋" w:cs="仿宋"/>
          <w:sz w:val="32"/>
          <w:szCs w:val="32"/>
        </w:rPr>
      </w:pPr>
      <w:r>
        <w:rPr>
          <w:rFonts w:hint="eastAsia" w:ascii="仿宋" w:hAnsi="仿宋" w:eastAsia="仿宋" w:cs="仿宋"/>
          <w:sz w:val="32"/>
          <w:szCs w:val="32"/>
        </w:rPr>
        <w:t>2021年，我会财政拨款“三公”经费预算安排2.70万元，其中因公出国（境）费0万元；公务用车购置及运维费2.70万元（其中：公务用车购置费为0万元，公务用车运维费2.70万元)；公务接待费0万元。与2020年相比持平，无增减变化。</w:t>
      </w:r>
    </w:p>
    <w:p>
      <w:pPr>
        <w:ind w:firstLine="640"/>
        <w:rPr>
          <w:rFonts w:ascii="黑体" w:hAnsi="黑体" w:eastAsia="黑体" w:cs="Times New Roman"/>
          <w:sz w:val="32"/>
          <w:szCs w:val="32"/>
        </w:rPr>
      </w:pPr>
      <w:r>
        <w:rPr>
          <w:rFonts w:hint="eastAsia" w:ascii="黑体" w:hAnsi="黑体" w:eastAsia="黑体" w:cs="Times New Roman"/>
          <w:sz w:val="32"/>
          <w:szCs w:val="32"/>
        </w:rPr>
        <w:t>五、绩效预算信息</w:t>
      </w:r>
    </w:p>
    <w:p>
      <w:pPr>
        <w:ind w:firstLine="640"/>
        <w:rPr>
          <w:rFonts w:ascii="黑体" w:hAnsi="黑体" w:eastAsia="黑体" w:cs="Times New Roman"/>
          <w:sz w:val="32"/>
          <w:szCs w:val="32"/>
        </w:rPr>
      </w:pPr>
      <w:r>
        <w:rPr>
          <w:rFonts w:hint="eastAsia" w:ascii="方正楷体_GBK" w:eastAsia="方正楷体_GBK"/>
          <w:b/>
          <w:sz w:val="32"/>
        </w:rPr>
        <w:t>第一部分</w:t>
      </w:r>
      <w:r>
        <w:rPr>
          <w:rFonts w:ascii="方正楷体_GBK" w:eastAsia="方正楷体_GBK"/>
          <w:b/>
          <w:sz w:val="32"/>
        </w:rPr>
        <w:t xml:space="preserve"> </w:t>
      </w:r>
      <w:r>
        <w:rPr>
          <w:rFonts w:hint="eastAsia" w:ascii="方正楷体_GBK" w:eastAsia="方正楷体_GBK"/>
          <w:b/>
          <w:sz w:val="32"/>
        </w:rPr>
        <w:t>部门整体绩效目标</w:t>
      </w:r>
    </w:p>
    <w:p>
      <w:pPr>
        <w:spacing w:line="500" w:lineRule="exact"/>
        <w:ind w:firstLine="560" w:firstLineChars="200"/>
        <w:jc w:val="left"/>
        <w:rPr>
          <w:rFonts w:ascii="Times New Roman" w:hAnsi="宋体" w:eastAsia="宋体" w:cs="Times New Roman"/>
          <w:sz w:val="28"/>
          <w:szCs w:val="24"/>
        </w:rPr>
      </w:pPr>
      <w:bookmarkStart w:id="9" w:name="_Toc471398463"/>
      <w:r>
        <w:rPr>
          <w:rFonts w:hint="eastAsia" w:ascii="Times New Roman" w:hAnsi="Times New Roman" w:eastAsia="方正仿宋_GBK" w:cs="Times New Roman"/>
          <w:sz w:val="28"/>
          <w:szCs w:val="24"/>
        </w:rPr>
        <w:t>一、总体绩效目标</w:t>
      </w:r>
    </w:p>
    <w:p>
      <w:pPr>
        <w:ind w:firstLine="560"/>
        <w:rPr>
          <w:rFonts w:ascii="仿宋" w:hAnsi="仿宋" w:eastAsia="仿宋" w:cs="仿宋"/>
          <w:sz w:val="32"/>
          <w:szCs w:val="32"/>
        </w:rPr>
      </w:pPr>
      <w:r>
        <w:rPr>
          <w:rFonts w:hint="eastAsia" w:ascii="仿宋" w:hAnsi="仿宋" w:eastAsia="仿宋" w:cs="仿宋"/>
          <w:sz w:val="32"/>
          <w:szCs w:val="32"/>
        </w:rPr>
        <w:t>2021年，坚持以习近平新时代中国特色社会主义思想为指导，认真落实中央和省委省政府决策部署，区红十字会总体工作思路是：鹿泉区红十字会是鹿泉区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w:t>
      </w:r>
      <w:r>
        <w:rPr>
          <w:rFonts w:hint="eastAsia" w:ascii="仿宋" w:hAnsi="仿宋" w:eastAsia="仿宋" w:cs="仿宋"/>
          <w:sz w:val="32"/>
          <w:szCs w:val="32"/>
          <w:lang w:eastAsia="zh-CN"/>
        </w:rPr>
        <w:t>会</w:t>
      </w:r>
      <w:r>
        <w:rPr>
          <w:rFonts w:hint="eastAsia" w:ascii="仿宋" w:hAnsi="仿宋" w:eastAsia="仿宋" w:cs="仿宋"/>
          <w:sz w:val="32"/>
          <w:szCs w:val="32"/>
        </w:rPr>
        <w:t>工作的基础；加大募捐和监督力度，提升红十字</w:t>
      </w:r>
      <w:r>
        <w:rPr>
          <w:rFonts w:hint="eastAsia" w:ascii="仿宋" w:hAnsi="仿宋" w:eastAsia="仿宋" w:cs="仿宋"/>
          <w:sz w:val="32"/>
          <w:szCs w:val="32"/>
          <w:lang w:eastAsia="zh-CN"/>
        </w:rPr>
        <w:t>会</w:t>
      </w:r>
      <w:r>
        <w:rPr>
          <w:rFonts w:hint="eastAsia" w:ascii="仿宋" w:hAnsi="仿宋" w:eastAsia="仿宋" w:cs="仿宋"/>
          <w:sz w:val="32"/>
          <w:szCs w:val="32"/>
        </w:rPr>
        <w:t>工作的公信力；关爱生命健康，扩大红十字</w:t>
      </w:r>
      <w:r>
        <w:rPr>
          <w:rFonts w:hint="eastAsia" w:ascii="仿宋" w:hAnsi="仿宋" w:eastAsia="仿宋" w:cs="仿宋"/>
          <w:sz w:val="32"/>
          <w:szCs w:val="32"/>
          <w:lang w:eastAsia="zh-CN"/>
        </w:rPr>
        <w:t>会</w:t>
      </w:r>
      <w:r>
        <w:rPr>
          <w:rFonts w:hint="eastAsia" w:ascii="仿宋" w:hAnsi="仿宋" w:eastAsia="仿宋" w:cs="仿宋"/>
          <w:sz w:val="32"/>
          <w:szCs w:val="32"/>
        </w:rPr>
        <w:t>工作的影响力；打造志愿服务品牌，提升红十字</w:t>
      </w:r>
      <w:r>
        <w:rPr>
          <w:rFonts w:hint="eastAsia" w:ascii="仿宋" w:hAnsi="仿宋" w:eastAsia="仿宋" w:cs="仿宋"/>
          <w:sz w:val="32"/>
          <w:szCs w:val="32"/>
          <w:lang w:eastAsia="zh-CN"/>
        </w:rPr>
        <w:t>会</w:t>
      </w:r>
      <w:r>
        <w:rPr>
          <w:rFonts w:hint="eastAsia" w:ascii="仿宋" w:hAnsi="仿宋" w:eastAsia="仿宋" w:cs="仿宋"/>
          <w:sz w:val="32"/>
          <w:szCs w:val="32"/>
        </w:rPr>
        <w:t>工作的美誉度；广泛深入宣传，营造红十字</w:t>
      </w:r>
      <w:r>
        <w:rPr>
          <w:rFonts w:hint="eastAsia" w:ascii="仿宋" w:hAnsi="仿宋" w:eastAsia="仿宋" w:cs="仿宋"/>
          <w:sz w:val="32"/>
          <w:szCs w:val="32"/>
          <w:lang w:eastAsia="zh-CN"/>
        </w:rPr>
        <w:t>会</w:t>
      </w:r>
      <w:r>
        <w:rPr>
          <w:rFonts w:hint="eastAsia" w:ascii="仿宋" w:hAnsi="仿宋" w:eastAsia="仿宋" w:cs="仿宋"/>
          <w:sz w:val="32"/>
          <w:szCs w:val="32"/>
        </w:rPr>
        <w:t>工作的良好氛围。充分履行政府人道救助领域助手职责，努力推动全区红十字</w:t>
      </w:r>
      <w:r>
        <w:rPr>
          <w:rFonts w:hint="eastAsia" w:ascii="仿宋" w:hAnsi="仿宋" w:eastAsia="仿宋" w:cs="仿宋"/>
          <w:sz w:val="32"/>
          <w:szCs w:val="32"/>
          <w:lang w:eastAsia="zh-CN"/>
        </w:rPr>
        <w:t>会</w:t>
      </w:r>
      <w:r>
        <w:rPr>
          <w:rFonts w:hint="eastAsia" w:ascii="仿宋" w:hAnsi="仿宋" w:eastAsia="仿宋" w:cs="仿宋"/>
          <w:sz w:val="32"/>
          <w:szCs w:val="32"/>
        </w:rPr>
        <w:t>工作再上新台阶。履行以下职能：</w:t>
      </w:r>
    </w:p>
    <w:p>
      <w:pPr>
        <w:ind w:firstLine="560"/>
        <w:rPr>
          <w:rFonts w:ascii="仿宋" w:hAnsi="仿宋" w:eastAsia="仿宋" w:cs="仿宋"/>
          <w:sz w:val="32"/>
          <w:szCs w:val="32"/>
        </w:rPr>
      </w:pPr>
      <w:r>
        <w:rPr>
          <w:rFonts w:hint="eastAsia" w:ascii="仿宋" w:hAnsi="仿宋" w:eastAsia="仿宋" w:cs="仿宋"/>
          <w:sz w:val="32"/>
          <w:szCs w:val="32"/>
        </w:rPr>
        <w:t>1、开展备灾救灾的准备工作，建立完善红十字会应急救援体系，设立备灾救灾仓库，组建应急救援队并演练。开展自然灾害的救助及突发事件的应急救援，参与灾后重建。对从事备灾物资、备灾仓库管理人员进行培训。</w:t>
      </w:r>
    </w:p>
    <w:p>
      <w:pPr>
        <w:ind w:firstLine="560"/>
        <w:rPr>
          <w:rFonts w:ascii="仿宋" w:hAnsi="仿宋" w:eastAsia="仿宋" w:cs="仿宋"/>
          <w:sz w:val="32"/>
          <w:szCs w:val="32"/>
        </w:rPr>
      </w:pPr>
      <w:r>
        <w:rPr>
          <w:rFonts w:hint="eastAsia" w:ascii="仿宋" w:hAnsi="仿宋" w:eastAsia="仿宋" w:cs="仿宋"/>
          <w:sz w:val="32"/>
          <w:szCs w:val="32"/>
        </w:rPr>
        <w:t>2、努力推进应急救护知识普及，建立红十字会应急救护培训长效机制，充分发挥红十字会在公众参与的应急救护培训中的主体作用，积极推动红十字会救护培训进社区、进农村、进学校、进企业、进机关。</w:t>
      </w:r>
    </w:p>
    <w:p>
      <w:pPr>
        <w:ind w:firstLine="560"/>
        <w:rPr>
          <w:rFonts w:ascii="仿宋" w:hAnsi="仿宋" w:eastAsia="仿宋" w:cs="仿宋"/>
          <w:sz w:val="32"/>
          <w:szCs w:val="32"/>
        </w:rPr>
      </w:pPr>
      <w:r>
        <w:rPr>
          <w:rFonts w:hint="eastAsia" w:ascii="仿宋" w:hAnsi="仿宋" w:eastAsia="仿宋" w:cs="仿宋"/>
          <w:sz w:val="32"/>
          <w:szCs w:val="32"/>
        </w:rPr>
        <w:t>3、致力关注民生，积极开展弱势群体帮扶，向社会大力募集资金，建立专项救助基金。面向困难群体开展符合其宗旨的人道救助工作，重点救助困难群众及患病儿童。</w:t>
      </w:r>
    </w:p>
    <w:p>
      <w:pPr>
        <w:ind w:firstLine="560"/>
        <w:rPr>
          <w:rFonts w:ascii="仿宋" w:hAnsi="仿宋" w:eastAsia="仿宋" w:cs="仿宋"/>
          <w:sz w:val="32"/>
          <w:szCs w:val="32"/>
        </w:rPr>
      </w:pPr>
      <w:r>
        <w:rPr>
          <w:rFonts w:hint="eastAsia" w:ascii="仿宋" w:hAnsi="仿宋" w:eastAsia="仿宋" w:cs="仿宋"/>
          <w:sz w:val="32"/>
          <w:szCs w:val="32"/>
        </w:rPr>
        <w:t>4、认真贯彻执行《中华人民共和国红十字会法》和《中国红十字会章程》，指导全区红十字会组织开展活动，推动红十字会各项工作的开展。</w:t>
      </w:r>
    </w:p>
    <w:p>
      <w:pPr>
        <w:ind w:firstLine="560"/>
        <w:rPr>
          <w:rFonts w:ascii="仿宋" w:hAnsi="仿宋" w:eastAsia="仿宋" w:cs="仿宋"/>
          <w:sz w:val="32"/>
          <w:szCs w:val="32"/>
        </w:rPr>
      </w:pPr>
      <w:r>
        <w:rPr>
          <w:rFonts w:hint="eastAsia" w:ascii="仿宋" w:hAnsi="仿宋" w:eastAsia="仿宋" w:cs="仿宋"/>
          <w:sz w:val="32"/>
          <w:szCs w:val="32"/>
        </w:rPr>
        <w:t>5、加强无偿献血、造血干细胞捐献、遗体和人体器官捐献知识宣传普及和捐献工作，大力建设红十字会博爱家园，不断扩大红十字</w:t>
      </w:r>
      <w:r>
        <w:rPr>
          <w:rFonts w:hint="eastAsia" w:ascii="仿宋" w:hAnsi="仿宋" w:eastAsia="仿宋" w:cs="仿宋"/>
          <w:sz w:val="32"/>
          <w:szCs w:val="32"/>
          <w:lang w:eastAsia="zh-CN"/>
        </w:rPr>
        <w:t>会</w:t>
      </w:r>
      <w:r>
        <w:rPr>
          <w:rFonts w:hint="eastAsia" w:ascii="仿宋" w:hAnsi="仿宋" w:eastAsia="仿宋" w:cs="仿宋"/>
          <w:sz w:val="32"/>
          <w:szCs w:val="32"/>
        </w:rPr>
        <w:t>影响。</w:t>
      </w:r>
    </w:p>
    <w:p>
      <w:pPr>
        <w:ind w:firstLine="560"/>
        <w:rPr>
          <w:rFonts w:ascii="Times New Roman" w:hAnsi="Times New Roman" w:eastAsia="方正仿宋_GBK" w:cs="Times New Roman"/>
          <w:sz w:val="32"/>
          <w:szCs w:val="32"/>
        </w:rPr>
      </w:pPr>
      <w:r>
        <w:rPr>
          <w:rFonts w:hint="eastAsia" w:ascii="仿宋" w:hAnsi="仿宋" w:eastAsia="仿宋" w:cs="仿宋"/>
          <w:sz w:val="32"/>
          <w:szCs w:val="32"/>
        </w:rPr>
        <w:t>6、开展红十字青少年和志愿服务活动，广泛宣传</w:t>
      </w:r>
      <w:r>
        <w:rPr>
          <w:rFonts w:hint="eastAsia" w:ascii="仿宋" w:hAnsi="仿宋" w:eastAsia="仿宋" w:cs="仿宋"/>
          <w:sz w:val="32"/>
          <w:szCs w:val="32"/>
          <w:lang w:eastAsia="zh-CN"/>
        </w:rPr>
        <w:t>《中华人民共和国红十字会法》</w:t>
      </w:r>
      <w:r>
        <w:rPr>
          <w:rFonts w:hint="eastAsia" w:ascii="仿宋" w:hAnsi="仿宋" w:eastAsia="仿宋" w:cs="仿宋"/>
          <w:sz w:val="32"/>
          <w:szCs w:val="32"/>
        </w:rPr>
        <w:t>，加强与国际红十字及港澳台组织在人道救援、志愿服务、红十字青少年等方面交流与合作。积极参与国际红十字运动，积极发展志愿者，提升红十字会社会影响力。</w:t>
      </w:r>
    </w:p>
    <w:p>
      <w:pPr>
        <w:spacing w:line="500" w:lineRule="exact"/>
        <w:ind w:firstLine="560" w:firstLineChars="200"/>
        <w:jc w:val="left"/>
        <w:rPr>
          <w:rFonts w:ascii="Times New Roman" w:hAnsi="宋体" w:eastAsia="宋体" w:cs="Times New Roman"/>
          <w:sz w:val="28"/>
          <w:szCs w:val="24"/>
        </w:rPr>
      </w:pPr>
      <w:r>
        <w:rPr>
          <w:rFonts w:hint="eastAsia" w:ascii="Times New Roman" w:hAnsi="Times New Roman" w:eastAsia="方正仿宋_GBK" w:cs="Times New Roman"/>
          <w:sz w:val="28"/>
          <w:szCs w:val="24"/>
        </w:rPr>
        <w:t>二、分项绩效目标</w:t>
      </w:r>
    </w:p>
    <w:p>
      <w:pPr>
        <w:ind w:firstLine="560"/>
        <w:rPr>
          <w:rFonts w:ascii="仿宋" w:hAnsi="仿宋" w:eastAsia="仿宋" w:cs="仿宋"/>
          <w:sz w:val="32"/>
          <w:szCs w:val="32"/>
        </w:rPr>
      </w:pPr>
      <w:r>
        <w:rPr>
          <w:rFonts w:hint="eastAsia" w:ascii="仿宋" w:hAnsi="仿宋" w:eastAsia="仿宋" w:cs="仿宋"/>
          <w:sz w:val="32"/>
          <w:szCs w:val="32"/>
        </w:rPr>
        <w:t>（一）开展应急救援工作。</w:t>
      </w:r>
    </w:p>
    <w:p>
      <w:pPr>
        <w:ind w:firstLine="560"/>
        <w:rPr>
          <w:rFonts w:ascii="仿宋" w:hAnsi="仿宋" w:eastAsia="仿宋" w:cs="仿宋"/>
          <w:sz w:val="32"/>
          <w:szCs w:val="32"/>
        </w:rPr>
      </w:pPr>
      <w:r>
        <w:rPr>
          <w:rFonts w:hint="eastAsia" w:ascii="仿宋" w:hAnsi="仿宋" w:eastAsia="仿宋" w:cs="仿宋"/>
          <w:sz w:val="32"/>
          <w:szCs w:val="32"/>
        </w:rPr>
        <w:t>绩效目标：设立备灾救灾仓库，储备应急救援备灾救灾物资，增强备灾救灾能力；完成救灾及应急救援任务，提高人道救助能力。</w:t>
      </w:r>
    </w:p>
    <w:p>
      <w:pPr>
        <w:ind w:firstLine="560"/>
        <w:rPr>
          <w:rFonts w:ascii="仿宋" w:hAnsi="仿宋" w:eastAsia="仿宋" w:cs="仿宋"/>
          <w:sz w:val="32"/>
          <w:szCs w:val="32"/>
        </w:rPr>
      </w:pPr>
      <w:r>
        <w:rPr>
          <w:rFonts w:hint="eastAsia" w:ascii="仿宋" w:hAnsi="仿宋" w:eastAsia="仿宋" w:cs="仿宋"/>
          <w:sz w:val="32"/>
          <w:szCs w:val="32"/>
        </w:rPr>
        <w:t>绩效指标：全区租赁备灾仓库，面积不低于100平方米；提高社会影响力，得到广大群众的充分认可；群众满意度达到90%以上。</w:t>
      </w:r>
    </w:p>
    <w:p>
      <w:pPr>
        <w:ind w:firstLine="560"/>
        <w:rPr>
          <w:rFonts w:ascii="仿宋" w:hAnsi="仿宋" w:eastAsia="仿宋" w:cs="仿宋"/>
          <w:sz w:val="32"/>
          <w:szCs w:val="32"/>
        </w:rPr>
      </w:pPr>
      <w:r>
        <w:rPr>
          <w:rFonts w:hint="eastAsia" w:ascii="仿宋" w:hAnsi="仿宋" w:eastAsia="仿宋" w:cs="仿宋"/>
          <w:sz w:val="32"/>
          <w:szCs w:val="32"/>
        </w:rPr>
        <w:t>（二）开展应急救护工作。</w:t>
      </w:r>
    </w:p>
    <w:p>
      <w:pPr>
        <w:ind w:firstLine="560"/>
        <w:rPr>
          <w:rFonts w:ascii="仿宋" w:hAnsi="仿宋" w:eastAsia="仿宋" w:cs="仿宋"/>
          <w:sz w:val="32"/>
          <w:szCs w:val="32"/>
        </w:rPr>
      </w:pPr>
      <w:r>
        <w:rPr>
          <w:rFonts w:hint="eastAsia" w:ascii="仿宋" w:hAnsi="仿宋" w:eastAsia="仿宋" w:cs="仿宋"/>
          <w:sz w:val="32"/>
          <w:szCs w:val="32"/>
        </w:rPr>
        <w:t>绩效目标：培训在校学生学生应急救护知识，增强学生应急避险意识，掌握应急救护知识技能；培训学校初级救护员，提高学校意外突发事件应对能力。面向群众开展红十字会应急救护知识宣传，提高群众自救互救能力；参加石家庄市级应急救护大赛，展示我区应急救护培训成果，提高我区应急救护培训实战能力。</w:t>
      </w:r>
    </w:p>
    <w:p>
      <w:pPr>
        <w:ind w:firstLine="560"/>
        <w:rPr>
          <w:rFonts w:ascii="仿宋" w:hAnsi="仿宋" w:eastAsia="仿宋" w:cs="仿宋"/>
          <w:sz w:val="32"/>
          <w:szCs w:val="32"/>
        </w:rPr>
      </w:pPr>
      <w:r>
        <w:rPr>
          <w:rFonts w:hint="eastAsia" w:ascii="仿宋" w:hAnsi="仿宋" w:eastAsia="仿宋" w:cs="仿宋"/>
          <w:sz w:val="32"/>
          <w:szCs w:val="32"/>
        </w:rPr>
        <w:t>绩效指标：培训初级救护员40人，购买应急救护培训盒40个；应急救护知识专题讲座2000人；应急救护知识普及1000人以上；制作与发放对外宣传品1000份以上；参加石家庄市应急救护大赛；按时完成培训工作任务，提高培训宣传普及合格率，得到广大群众的充分认可，满意度达到90%以上；各项任务完成及时率100%。</w:t>
      </w:r>
    </w:p>
    <w:p>
      <w:pPr>
        <w:ind w:firstLine="560"/>
        <w:rPr>
          <w:rFonts w:ascii="仿宋" w:hAnsi="仿宋" w:eastAsia="仿宋" w:cs="仿宋"/>
          <w:sz w:val="32"/>
          <w:szCs w:val="32"/>
        </w:rPr>
      </w:pPr>
      <w:r>
        <w:rPr>
          <w:rFonts w:hint="eastAsia" w:ascii="仿宋" w:hAnsi="仿宋" w:eastAsia="仿宋" w:cs="仿宋"/>
          <w:sz w:val="32"/>
          <w:szCs w:val="32"/>
        </w:rPr>
        <w:t>（三）开展人道救助工作。</w:t>
      </w:r>
    </w:p>
    <w:p>
      <w:pPr>
        <w:ind w:firstLine="560"/>
        <w:rPr>
          <w:rFonts w:ascii="仿宋" w:hAnsi="仿宋" w:eastAsia="仿宋" w:cs="仿宋"/>
          <w:sz w:val="32"/>
          <w:szCs w:val="32"/>
        </w:rPr>
      </w:pPr>
      <w:r>
        <w:rPr>
          <w:rFonts w:hint="eastAsia" w:ascii="仿宋" w:hAnsi="仿宋" w:eastAsia="仿宋" w:cs="仿宋"/>
          <w:sz w:val="32"/>
          <w:szCs w:val="32"/>
        </w:rPr>
        <w:t>绩效目标：在社区建立红十字</w:t>
      </w:r>
      <w:r>
        <w:rPr>
          <w:rFonts w:hint="eastAsia" w:ascii="仿宋" w:hAnsi="仿宋" w:eastAsia="仿宋" w:cs="仿宋"/>
          <w:sz w:val="32"/>
          <w:szCs w:val="32"/>
          <w:lang w:eastAsia="zh-CN"/>
        </w:rPr>
        <w:t>会</w:t>
      </w:r>
      <w:r>
        <w:rPr>
          <w:rFonts w:hint="eastAsia" w:ascii="仿宋" w:hAnsi="仿宋" w:eastAsia="仿宋" w:cs="仿宋"/>
          <w:sz w:val="32"/>
          <w:szCs w:val="32"/>
        </w:rPr>
        <w:t>基层组织；加强公益设施建设，促进社区红十字会基层组织和服务能力建设。</w:t>
      </w:r>
    </w:p>
    <w:p>
      <w:pPr>
        <w:ind w:firstLine="560"/>
        <w:rPr>
          <w:rFonts w:ascii="仿宋" w:hAnsi="仿宋" w:eastAsia="仿宋" w:cs="仿宋"/>
          <w:sz w:val="32"/>
          <w:szCs w:val="32"/>
        </w:rPr>
      </w:pPr>
      <w:r>
        <w:rPr>
          <w:rFonts w:hint="eastAsia" w:ascii="仿宋" w:hAnsi="仿宋" w:eastAsia="仿宋" w:cs="仿宋"/>
          <w:sz w:val="32"/>
          <w:szCs w:val="32"/>
        </w:rPr>
        <w:t>绩效指标：配备调整补充便民工具、设施和器材，购置放置架、急救箱、钢钻、折叠梯、攀登安全绳、轮椅、多功能工具箱等物资；基层组织建设调研考察学习交流；为学校红十字会配备XX学校红十字会牌匾，制作宣传展板、展牌，印发印制相关宣传资料。按照工作计划，按时完成红十字会基层组织建设。在全区产生影响，得到广大群众认可，社区群众满意度达到90%以上。</w:t>
      </w:r>
    </w:p>
    <w:p>
      <w:pPr>
        <w:ind w:firstLine="560"/>
        <w:rPr>
          <w:rFonts w:ascii="仿宋" w:hAnsi="仿宋" w:eastAsia="仿宋" w:cs="仿宋"/>
          <w:sz w:val="32"/>
          <w:szCs w:val="32"/>
        </w:rPr>
      </w:pPr>
      <w:r>
        <w:rPr>
          <w:rFonts w:hint="eastAsia" w:ascii="仿宋" w:hAnsi="仿宋" w:eastAsia="仿宋" w:cs="仿宋"/>
          <w:sz w:val="32"/>
          <w:szCs w:val="32"/>
        </w:rPr>
        <w:t>（四）开展“三献”工作。</w:t>
      </w:r>
    </w:p>
    <w:p>
      <w:pPr>
        <w:ind w:firstLine="560"/>
        <w:rPr>
          <w:rFonts w:ascii="仿宋" w:hAnsi="仿宋" w:eastAsia="仿宋" w:cs="仿宋"/>
          <w:sz w:val="32"/>
          <w:szCs w:val="32"/>
        </w:rPr>
      </w:pPr>
      <w:r>
        <w:rPr>
          <w:rFonts w:hint="eastAsia" w:ascii="仿宋" w:hAnsi="仿宋" w:eastAsia="仿宋" w:cs="仿宋"/>
          <w:sz w:val="32"/>
          <w:szCs w:val="32"/>
        </w:rPr>
        <w:t>绩效目标：加强无偿献血宣传推动，造血干细胞捐献工作，主要是为医疗临床用血、血液病患者检索配型的志愿者，主要工作是招募干细胞入库志愿者以及开展志愿者宣传。向社会公开宣传招募志愿者，邀请上级进行业务培训，让更多人了解无偿献血政策、造血干细胞知识，扩大</w:t>
      </w:r>
      <w:r>
        <w:rPr>
          <w:rFonts w:hint="eastAsia" w:ascii="仿宋" w:hAnsi="仿宋" w:eastAsia="仿宋" w:cs="仿宋"/>
          <w:sz w:val="32"/>
          <w:szCs w:val="32"/>
          <w:lang w:eastAsia="zh-CN"/>
        </w:rPr>
        <w:t>红十字会</w:t>
      </w:r>
      <w:r>
        <w:rPr>
          <w:rFonts w:hint="eastAsia" w:ascii="仿宋" w:hAnsi="仿宋" w:eastAsia="仿宋" w:cs="仿宋"/>
          <w:sz w:val="32"/>
          <w:szCs w:val="32"/>
        </w:rPr>
        <w:t>影响。</w:t>
      </w:r>
    </w:p>
    <w:p>
      <w:pPr>
        <w:ind w:firstLine="560"/>
        <w:rPr>
          <w:rFonts w:ascii="仿宋" w:hAnsi="仿宋" w:eastAsia="仿宋" w:cs="仿宋"/>
          <w:sz w:val="32"/>
          <w:szCs w:val="32"/>
        </w:rPr>
      </w:pPr>
      <w:r>
        <w:rPr>
          <w:rFonts w:hint="eastAsia" w:ascii="仿宋" w:hAnsi="仿宋" w:eastAsia="仿宋" w:cs="仿宋"/>
          <w:sz w:val="32"/>
          <w:szCs w:val="32"/>
        </w:rPr>
        <w:t>绩效指标：开展无偿献血、造血干细胞及人体和器官捐献等活动对外宣传5次，招募志愿者10人，开展宣传活动产生的影响，得到广大受众的认可，社会影响力和工作满意度达到90%以上。</w:t>
      </w:r>
    </w:p>
    <w:p>
      <w:pPr>
        <w:ind w:firstLine="560"/>
        <w:rPr>
          <w:rFonts w:ascii="仿宋" w:hAnsi="仿宋" w:eastAsia="仿宋" w:cs="仿宋"/>
          <w:sz w:val="32"/>
          <w:szCs w:val="32"/>
        </w:rPr>
      </w:pPr>
      <w:r>
        <w:rPr>
          <w:rFonts w:hint="eastAsia" w:ascii="仿宋" w:hAnsi="仿宋" w:eastAsia="仿宋" w:cs="仿宋"/>
          <w:sz w:val="32"/>
          <w:szCs w:val="32"/>
        </w:rPr>
        <w:t>（五）开展国际人道援助和志愿者工作。</w:t>
      </w:r>
    </w:p>
    <w:p>
      <w:pPr>
        <w:ind w:firstLine="560"/>
        <w:rPr>
          <w:rFonts w:ascii="仿宋" w:hAnsi="仿宋" w:eastAsia="仿宋" w:cs="仿宋"/>
          <w:sz w:val="32"/>
          <w:szCs w:val="32"/>
        </w:rPr>
      </w:pPr>
      <w:r>
        <w:rPr>
          <w:rFonts w:hint="eastAsia" w:ascii="仿宋" w:hAnsi="仿宋" w:eastAsia="仿宋" w:cs="仿宋"/>
          <w:sz w:val="32"/>
          <w:szCs w:val="32"/>
        </w:rPr>
        <w:t>绩效目标：建立红十字会青少年工作基层组织，创建学校红十字会，发展红十字青少年会员。开展红十字会青少年工作培训，普及红十字会运动基本知识；加强红十字会志愿服务组织建设，开展志愿服务活动，提升志愿服务水平。</w:t>
      </w:r>
    </w:p>
    <w:p>
      <w:pPr>
        <w:ind w:firstLine="560"/>
        <w:rPr>
          <w:rFonts w:ascii="仿宋" w:hAnsi="仿宋" w:eastAsia="仿宋" w:cs="仿宋"/>
          <w:sz w:val="32"/>
          <w:szCs w:val="32"/>
        </w:rPr>
      </w:pPr>
      <w:r>
        <w:rPr>
          <w:rFonts w:hint="eastAsia" w:ascii="仿宋" w:hAnsi="仿宋" w:eastAsia="仿宋" w:cs="仿宋"/>
          <w:sz w:val="32"/>
          <w:szCs w:val="32"/>
        </w:rPr>
        <w:t>绩效指标：开展常规节日志愿服务活动3次；开展社区红十字会志愿服务活动2次；通过开展红十字青少年防灾避险知识竞赛，对全区红十字会事业发展促进推动作用。对开展红十字会学校创建、社区群众对红十字会志愿服务及参加知识竞赛学生对活动开展情况的满意度达到90%以上。</w:t>
      </w:r>
    </w:p>
    <w:p>
      <w:pPr>
        <w:ind w:firstLine="560"/>
        <w:rPr>
          <w:rFonts w:ascii="仿宋" w:hAnsi="仿宋" w:eastAsia="仿宋" w:cs="仿宋"/>
          <w:sz w:val="32"/>
          <w:szCs w:val="32"/>
        </w:rPr>
      </w:pPr>
      <w:r>
        <w:rPr>
          <w:rFonts w:hint="eastAsia" w:ascii="仿宋" w:hAnsi="仿宋" w:eastAsia="仿宋" w:cs="仿宋"/>
          <w:sz w:val="32"/>
          <w:szCs w:val="32"/>
        </w:rPr>
        <w:t>（六）开展红十字会综合事务工作。</w:t>
      </w:r>
    </w:p>
    <w:p>
      <w:pPr>
        <w:ind w:firstLine="560"/>
        <w:rPr>
          <w:rFonts w:ascii="仿宋" w:hAnsi="仿宋" w:eastAsia="仿宋" w:cs="仿宋"/>
          <w:sz w:val="32"/>
          <w:szCs w:val="32"/>
        </w:rPr>
      </w:pPr>
      <w:r>
        <w:rPr>
          <w:rFonts w:hint="eastAsia" w:ascii="仿宋" w:hAnsi="仿宋" w:eastAsia="仿宋" w:cs="仿宋"/>
          <w:sz w:val="32"/>
          <w:szCs w:val="32"/>
        </w:rPr>
        <w:t>绩效目标：订阅中国红十字报、博爱杂志，提高红十字会工作领导干部及工作人员的服务意识；开展红十字会知识宣传纪念活动，保障红十字会事业健康发展。</w:t>
      </w:r>
    </w:p>
    <w:p>
      <w:pPr>
        <w:ind w:firstLine="560"/>
        <w:rPr>
          <w:rFonts w:ascii="仿宋" w:hAnsi="仿宋" w:eastAsia="仿宋" w:cs="仿宋"/>
          <w:sz w:val="32"/>
          <w:szCs w:val="32"/>
        </w:rPr>
      </w:pPr>
      <w:r>
        <w:rPr>
          <w:rFonts w:hint="eastAsia" w:ascii="仿宋" w:hAnsi="仿宋" w:eastAsia="仿宋" w:cs="仿宋"/>
          <w:sz w:val="32"/>
          <w:szCs w:val="32"/>
        </w:rPr>
        <w:t>绩效指标：订阅红十字报刊杂志不少于6份，开展红十字会宣传纪念活动5次，制作发放外宣品400份，在全区产生影响，得到广大受众的充分认可，系列活动参与者满意度达到90%以上。</w:t>
      </w:r>
    </w:p>
    <w:p>
      <w:pPr>
        <w:ind w:firstLine="560"/>
        <w:rPr>
          <w:rFonts w:ascii="仿宋" w:hAnsi="仿宋" w:eastAsia="仿宋" w:cs="仿宋"/>
          <w:sz w:val="32"/>
          <w:szCs w:val="32"/>
        </w:rPr>
      </w:pPr>
      <w:r>
        <w:rPr>
          <w:rFonts w:ascii="仿宋" w:hAnsi="仿宋" w:eastAsia="仿宋" w:cs="仿宋"/>
          <w:sz w:val="32"/>
          <w:szCs w:val="32"/>
        </w:rPr>
        <w:t>三</w:t>
      </w:r>
      <w:r>
        <w:rPr>
          <w:rFonts w:hint="eastAsia" w:ascii="仿宋" w:hAnsi="仿宋" w:eastAsia="仿宋" w:cs="仿宋"/>
          <w:sz w:val="32"/>
          <w:szCs w:val="32"/>
        </w:rPr>
        <w:t>、</w:t>
      </w:r>
      <w:r>
        <w:rPr>
          <w:rFonts w:ascii="仿宋" w:hAnsi="仿宋" w:eastAsia="仿宋" w:cs="仿宋"/>
          <w:sz w:val="32"/>
          <w:szCs w:val="32"/>
        </w:rPr>
        <w:t>工作保障措施</w:t>
      </w:r>
    </w:p>
    <w:p>
      <w:pPr>
        <w:ind w:firstLine="640" w:firstLineChars="200"/>
        <w:rPr>
          <w:rFonts w:ascii="仿宋" w:hAnsi="仿宋" w:eastAsia="仿宋" w:cs="仿宋"/>
          <w:sz w:val="32"/>
          <w:szCs w:val="32"/>
        </w:rPr>
      </w:pPr>
      <w:r>
        <w:rPr>
          <w:rFonts w:hint="eastAsia" w:ascii="仿宋" w:hAnsi="仿宋" w:eastAsia="仿宋" w:cs="仿宋"/>
          <w:sz w:val="32"/>
          <w:szCs w:val="32"/>
        </w:rPr>
        <w:t>（一）</w:t>
      </w:r>
      <w:r>
        <w:rPr>
          <w:rFonts w:ascii="仿宋" w:hAnsi="仿宋" w:eastAsia="仿宋" w:cs="仿宋"/>
          <w:sz w:val="32"/>
          <w:szCs w:val="32"/>
        </w:rPr>
        <w:t xml:space="preserve">完善制度建设、强化内部监督，规范财务管理、提高预算执行力。进一步加强财务管理，坚持问题导向，注重从严从实，注重发现和总结规律性的措施，完善预算绩效管理制度、资金管理办法、工作保障等制度，建立健全长期管用的制度，从而使各项财务工作有章可循，有章必循；通过优化支出结构、编细编实预算、加快履行政府采购手续、尽快启动项目、及时支付资金、细化预 算编制、为全年预算绩效目标的实现奠定制度基础；规范资产管理，严格审批程序，加强固定资产登记、使用和报废处置管理，做到支出合理，物尽其用；加强内部监督，对绩效运行情况、重大支出决策、对外投资、资产处置及其他重要经济业务事项的决 策和执行进行督导，对会计资料进行内部审计，并配合做好审计、 财政监督等外部监督工作，确保财政资金安全有效。 </w:t>
      </w:r>
    </w:p>
    <w:p>
      <w:pPr>
        <w:ind w:firstLine="560"/>
        <w:rPr>
          <w:rFonts w:ascii="仿宋" w:hAnsi="仿宋" w:eastAsia="仿宋" w:cs="仿宋"/>
          <w:sz w:val="32"/>
          <w:szCs w:val="32"/>
        </w:rPr>
      </w:pPr>
      <w:r>
        <w:rPr>
          <w:rFonts w:hint="eastAsia" w:ascii="仿宋" w:hAnsi="仿宋" w:eastAsia="仿宋" w:cs="仿宋"/>
          <w:sz w:val="32"/>
          <w:szCs w:val="32"/>
        </w:rPr>
        <w:t>（二）</w:t>
      </w:r>
      <w:r>
        <w:rPr>
          <w:rFonts w:ascii="仿宋" w:hAnsi="仿宋" w:eastAsia="仿宋" w:cs="仿宋"/>
          <w:sz w:val="32"/>
          <w:szCs w:val="32"/>
        </w:rPr>
        <w:t xml:space="preserve">加强绩效运行监控、强化绩效管理。 按要求开展绩效运行监控，发现问题及时采取措施，确保绩 效目标如期保质实现。严格按要求开展上年度部门预算绩效自评和重点评价工作，对评价中发现的问题及时整改，调整优化支出 结构，提高财政资金使用效益。强化绩效管理，进一步完善“三重一大”制度审批流程，大额资金的使用，必须经集体讨论做出决定； 引入专业性、客观性评估机制，及时开展第三方审计、绩效评估工作。 </w:t>
      </w:r>
    </w:p>
    <w:p>
      <w:pPr>
        <w:ind w:firstLine="560"/>
        <w:rPr>
          <w:rFonts w:ascii="仿宋" w:hAnsi="仿宋" w:eastAsia="仿宋" w:cs="仿宋"/>
          <w:sz w:val="32"/>
          <w:szCs w:val="32"/>
        </w:rPr>
      </w:pPr>
      <w:r>
        <w:rPr>
          <w:rFonts w:hint="eastAsia" w:ascii="仿宋" w:hAnsi="仿宋" w:eastAsia="仿宋" w:cs="仿宋"/>
          <w:sz w:val="32"/>
          <w:szCs w:val="32"/>
        </w:rPr>
        <w:t>（三）</w:t>
      </w:r>
      <w:r>
        <w:rPr>
          <w:rFonts w:ascii="仿宋" w:hAnsi="仿宋" w:eastAsia="仿宋" w:cs="仿宋"/>
          <w:sz w:val="32"/>
          <w:szCs w:val="32"/>
        </w:rPr>
        <w:t>加强宣传培训，提高综合业务能力。加强人员培训，提高本部门职工业务素质。加大宣传力度，强化全体干部预算绩效管理意识，促进预算绩效管理水平进一步提升。实施干部职工全员绩效管理和项目执行全程绩效管理，及时制定目标绩效管理实施方案，时时对照、事事参照，以目标绩 效管理调动和提升干部职工的工作效率、项目的社会效益。</w:t>
      </w:r>
    </w:p>
    <w:p>
      <w:pPr>
        <w:ind w:firstLine="643" w:firstLineChars="200"/>
        <w:jc w:val="left"/>
        <w:rPr>
          <w:rFonts w:ascii="Times New Roman" w:hAnsi="宋体" w:eastAsia="宋体" w:cs="Times New Roman"/>
          <w:b/>
          <w:sz w:val="32"/>
          <w:szCs w:val="24"/>
        </w:rPr>
      </w:pPr>
      <w:r>
        <w:rPr>
          <w:rFonts w:hint="eastAsia" w:ascii="方正楷体_GBK" w:hAnsi="Times New Roman" w:eastAsia="方正楷体_GBK" w:cs="Times New Roman"/>
          <w:b/>
          <w:sz w:val="32"/>
          <w:szCs w:val="24"/>
        </w:rPr>
        <w:t>第二部分</w:t>
      </w:r>
      <w:r>
        <w:rPr>
          <w:rFonts w:ascii="方正楷体_GBK" w:hAnsi="Times New Roman" w:eastAsia="方正楷体_GBK" w:cs="Times New Roman"/>
          <w:b/>
          <w:sz w:val="32"/>
          <w:szCs w:val="24"/>
        </w:rPr>
        <w:t xml:space="preserve">  </w:t>
      </w:r>
      <w:r>
        <w:rPr>
          <w:rFonts w:hint="eastAsia" w:ascii="方正楷体_GBK" w:hAnsi="Times New Roman" w:eastAsia="方正楷体_GBK" w:cs="Times New Roman"/>
          <w:b/>
          <w:sz w:val="32"/>
          <w:szCs w:val="24"/>
        </w:rPr>
        <w:t>预算项目绩效目标</w:t>
      </w:r>
    </w:p>
    <w:bookmarkEnd w:id="9"/>
    <w:p>
      <w:pPr>
        <w:ind w:firstLine="560" w:firstLineChars="200"/>
        <w:jc w:val="left"/>
        <w:outlineLvl w:val="3"/>
        <w:rPr>
          <w:rFonts w:ascii="Times New Roman" w:hAnsi="宋体"/>
          <w:b/>
          <w:sz w:val="28"/>
        </w:rPr>
      </w:pPr>
      <w:bookmarkStart w:id="10" w:name="_Toc68593195"/>
      <w:r>
        <w:rPr>
          <w:rFonts w:hint="eastAsia" w:ascii="方正仿宋_GBK" w:eastAsia="方正仿宋_GBK"/>
          <w:b/>
          <w:sz w:val="28"/>
        </w:rPr>
        <w:t>1、红十字事业发展-国际人道援助和志愿者工作绩效目标表</w:t>
      </w:r>
      <w:bookmarkEnd w:id="1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1、红十字事业发展-国际人道援助和志愿者工作绩效目标表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130110210WAHOZ8A4YPHD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国际人道援助和志愿者工作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40000.00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学习、宣传红十字</w:t>
            </w:r>
            <w:r>
              <w:rPr>
                <w:rFonts w:hint="eastAsia" w:ascii="方正书宋_GBK" w:eastAsia="方正书宋_GBK"/>
                <w:lang w:eastAsia="zh-CN"/>
              </w:rPr>
              <w:t>会</w:t>
            </w:r>
            <w:r>
              <w:rPr>
                <w:rFonts w:hint="eastAsia" w:ascii="方正书宋_GBK" w:eastAsia="方正书宋_GBK"/>
              </w:rPr>
              <w:t>运动基本知识，配合学校素质教育，培养学生的创新精神和实践能力，使广大红十字</w:t>
            </w:r>
            <w:r>
              <w:rPr>
                <w:rFonts w:hint="eastAsia" w:ascii="方正书宋_GBK" w:eastAsia="方正书宋_GBK"/>
                <w:lang w:eastAsia="zh-CN"/>
              </w:rPr>
              <w:t>会</w:t>
            </w:r>
            <w:r>
              <w:rPr>
                <w:rFonts w:hint="eastAsia" w:ascii="方正书宋_GBK" w:eastAsia="方正书宋_GBK"/>
              </w:rPr>
              <w:t>青少年成为受益者、服务和参与管理者，促进学生德智体美劳全面发展。我单位需申请</w:t>
            </w:r>
            <w:r>
              <w:rPr>
                <w:rFonts w:ascii="方正书宋_GBK" w:eastAsia="方正书宋_GBK"/>
              </w:rPr>
              <w:t>4</w:t>
            </w:r>
          </w:p>
          <w:p>
            <w:pPr>
              <w:spacing w:line="300" w:lineRule="exact"/>
              <w:jc w:val="left"/>
              <w:rPr>
                <w:rFonts w:ascii="方正书宋_GBK" w:eastAsia="方正书宋_GBK"/>
              </w:rPr>
            </w:pPr>
            <w:r>
              <w:rPr>
                <w:rFonts w:hint="eastAsia" w:ascii="方正书宋_GBK" w:eastAsia="方正书宋_GBK"/>
              </w:rPr>
              <w:t>万元用于红十字</w:t>
            </w:r>
            <w:r>
              <w:rPr>
                <w:rFonts w:hint="eastAsia" w:ascii="方正书宋_GBK" w:eastAsia="方正书宋_GBK"/>
                <w:lang w:eastAsia="zh-CN"/>
              </w:rPr>
              <w:t>会</w:t>
            </w:r>
            <w:r>
              <w:rPr>
                <w:rFonts w:hint="eastAsia" w:ascii="方正书宋_GBK" w:eastAsia="方正书宋_GBK"/>
              </w:rPr>
              <w:t>青少年、志愿服务工作。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建立红十字</w:t>
            </w:r>
            <w:r>
              <w:rPr>
                <w:rFonts w:hint="eastAsia" w:ascii="方正书宋_GBK" w:eastAsia="方正书宋_GBK"/>
                <w:lang w:eastAsia="zh-CN"/>
              </w:rPr>
              <w:t>会</w:t>
            </w:r>
            <w:r>
              <w:rPr>
                <w:rFonts w:hint="eastAsia" w:ascii="方正书宋_GBK" w:eastAsia="方正书宋_GBK"/>
              </w:rPr>
              <w:t>青少年工作基层组织，创建学校红十字会，发展红十字</w:t>
            </w:r>
            <w:r>
              <w:rPr>
                <w:rFonts w:hint="eastAsia" w:ascii="方正书宋_GBK" w:eastAsia="方正书宋_GBK"/>
                <w:lang w:eastAsia="zh-CN"/>
              </w:rPr>
              <w:t>会</w:t>
            </w:r>
            <w:r>
              <w:rPr>
                <w:rFonts w:hint="eastAsia" w:ascii="方正书宋_GBK" w:eastAsia="方正书宋_GBK"/>
              </w:rPr>
              <w:t>青少年会员。开展红十字</w:t>
            </w:r>
            <w:r>
              <w:rPr>
                <w:rFonts w:hint="eastAsia" w:ascii="方正书宋_GBK" w:eastAsia="方正书宋_GBK"/>
                <w:lang w:eastAsia="zh-CN"/>
              </w:rPr>
              <w:t>会</w:t>
            </w:r>
            <w:r>
              <w:rPr>
                <w:rFonts w:hint="eastAsia" w:ascii="方正书宋_GBK" w:eastAsia="方正书宋_GBK"/>
              </w:rPr>
              <w:t>青少年工作培训，普及红十字</w:t>
            </w:r>
            <w:r>
              <w:rPr>
                <w:rFonts w:hint="eastAsia" w:ascii="方正书宋_GBK" w:eastAsia="方正书宋_GBK"/>
                <w:lang w:eastAsia="zh-CN"/>
              </w:rPr>
              <w:t>会</w:t>
            </w:r>
            <w:r>
              <w:rPr>
                <w:rFonts w:hint="eastAsia" w:ascii="方正书宋_GBK" w:eastAsia="方正书宋_GBK"/>
              </w:rPr>
              <w:t>运动基本知识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加强红十字</w:t>
            </w:r>
            <w:r>
              <w:rPr>
                <w:rFonts w:hint="eastAsia" w:ascii="方正书宋_GBK" w:eastAsia="方正书宋_GBK"/>
                <w:lang w:eastAsia="zh-CN"/>
              </w:rPr>
              <w:t>会</w:t>
            </w:r>
            <w:r>
              <w:rPr>
                <w:rFonts w:hint="eastAsia" w:ascii="方正书宋_GBK" w:eastAsia="方正书宋_GBK"/>
              </w:rPr>
              <w:t>志愿服务组织建设，开展志愿服务活动，提升志愿服务水平</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开展社区红十字</w:t>
            </w:r>
            <w:r>
              <w:rPr>
                <w:rFonts w:hint="eastAsia" w:ascii="方正书宋_GBK" w:eastAsia="方正书宋_GBK"/>
                <w:lang w:eastAsia="zh-CN"/>
              </w:rPr>
              <w:t>会</w:t>
            </w:r>
            <w:r>
              <w:rPr>
                <w:rFonts w:hint="eastAsia" w:ascii="方正书宋_GBK" w:eastAsia="方正书宋_GBK"/>
              </w:rPr>
              <w:t>志愿服务活动次数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开展社区红十字</w:t>
            </w:r>
            <w:r>
              <w:rPr>
                <w:rFonts w:hint="eastAsia" w:ascii="方正书宋_GBK" w:eastAsia="方正书宋_GBK"/>
                <w:lang w:eastAsia="zh-CN"/>
              </w:rPr>
              <w:t>会</w:t>
            </w:r>
            <w:r>
              <w:rPr>
                <w:rFonts w:hint="eastAsia" w:ascii="方正书宋_GBK" w:eastAsia="方正书宋_GBK"/>
              </w:rPr>
              <w:t>志愿服务活动次数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红十字青少年防灾避险知识竞赛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开展红十字青少年防灾避险知识竞赛份数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开展各项活动完成及时率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通过开展常规节日志愿服务活动，普及红十字运动知识，促进我区红十字事业发展的效果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明显促进</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通过开展红十字社区志愿服务活动，加强红十字工作在社区的宣传力度，促进我区红十字事业发展的效果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对红十字</w:t>
            </w:r>
            <w:r>
              <w:rPr>
                <w:rFonts w:hint="eastAsia" w:ascii="方正书宋_GBK" w:eastAsia="方正书宋_GBK"/>
                <w:lang w:eastAsia="zh-CN"/>
              </w:rPr>
              <w:t>会</w:t>
            </w:r>
            <w:r>
              <w:rPr>
                <w:rFonts w:hint="eastAsia" w:ascii="方正书宋_GBK" w:eastAsia="方正书宋_GBK"/>
              </w:rPr>
              <w:t>事业发展的促进推动作用</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通过开展红十字青少年防灾避险知识竞赛，普及红十字</w:t>
            </w:r>
            <w:r>
              <w:rPr>
                <w:rFonts w:hint="eastAsia" w:ascii="方正书宋_GBK" w:eastAsia="方正书宋_GBK"/>
                <w:lang w:eastAsia="zh-CN"/>
              </w:rPr>
              <w:t>会</w:t>
            </w:r>
            <w:r>
              <w:rPr>
                <w:rFonts w:hint="eastAsia" w:ascii="方正书宋_GBK" w:eastAsia="方正书宋_GBK"/>
              </w:rPr>
              <w:t>运动知识，促进我区红十字</w:t>
            </w:r>
            <w:r>
              <w:rPr>
                <w:rFonts w:hint="eastAsia" w:ascii="方正书宋_GBK" w:eastAsia="方正书宋_GBK"/>
                <w:lang w:eastAsia="zh-CN"/>
              </w:rPr>
              <w:t>会</w:t>
            </w:r>
            <w:r>
              <w:rPr>
                <w:rFonts w:hint="eastAsia" w:ascii="方正书宋_GBK" w:eastAsia="方正书宋_GBK"/>
              </w:rPr>
              <w:t>事业发展的效果</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节日开展志愿服务参与者满意度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常规节日志愿服务活动参与者满意度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红十字社区志愿服务参与者满意度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社区群众对红十字志愿服务活动的满意度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中华人民共和国红十字会法》、《中国红十字会章程》、《河北省人民政府关于加快红十字事业发展的实施意见》、《石家庄市人民政府办公厅关于加快红十字事业发展的通知》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防灾避险知识竞赛参与者满意度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参加防灾避险知识竞赛学生对活动开展情况的满意度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中国红十字会总会关于开展防灾避险知识竞赛活动的通知</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1" w:name="_Toc68593196"/>
      <w:r>
        <w:rPr>
          <w:rFonts w:hint="eastAsia" w:ascii="方正仿宋_GBK" w:eastAsia="方正仿宋_GBK"/>
          <w:b/>
          <w:sz w:val="28"/>
        </w:rPr>
        <w:t>2、社会救助-人道救助绩效目标表</w:t>
      </w:r>
      <w:bookmarkEnd w:id="1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2、社会救助-人道救助绩效目标表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13011021HIK5TNX5HCX7S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人道救助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通过在社区建立红十字</w:t>
            </w:r>
            <w:r>
              <w:rPr>
                <w:rFonts w:hint="eastAsia" w:ascii="方正书宋_GBK" w:eastAsia="方正书宋_GBK"/>
                <w:lang w:eastAsia="zh-CN"/>
              </w:rPr>
              <w:t>会</w:t>
            </w:r>
            <w:r>
              <w:rPr>
                <w:rFonts w:hint="eastAsia" w:ascii="方正书宋_GBK" w:eastAsia="方正书宋_GBK"/>
              </w:rPr>
              <w:t>基层组织，创建红十字</w:t>
            </w:r>
            <w:r>
              <w:rPr>
                <w:rFonts w:hint="eastAsia" w:ascii="方正书宋_GBK" w:eastAsia="方正书宋_GBK"/>
                <w:lang w:eastAsia="zh-CN"/>
              </w:rPr>
              <w:t>会</w:t>
            </w:r>
            <w:r>
              <w:rPr>
                <w:rFonts w:hint="eastAsia" w:ascii="方正书宋_GBK" w:eastAsia="方正书宋_GBK"/>
              </w:rPr>
              <w:t>学校基层组织，加强公益设施建设，促进社区、学校红十字会基层组织和服务能力建设。积极开展对外交流合作，拓展工作思路。需申请工作费用</w:t>
            </w:r>
            <w:r>
              <w:rPr>
                <w:rFonts w:ascii="方正书宋_GBK" w:eastAsia="方正书宋_GBK"/>
              </w:rPr>
              <w:t>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在社区建立红十字</w:t>
            </w:r>
            <w:r>
              <w:rPr>
                <w:rFonts w:hint="eastAsia" w:ascii="方正书宋_GBK" w:eastAsia="方正书宋_GBK"/>
                <w:lang w:eastAsia="zh-CN"/>
              </w:rPr>
              <w:t>会</w:t>
            </w:r>
            <w:r>
              <w:rPr>
                <w:rFonts w:hint="eastAsia" w:ascii="方正书宋_GBK" w:eastAsia="方正书宋_GBK"/>
              </w:rPr>
              <w:t>基层组织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加强公益设施建设，促进社区红十字会基层组织和服务能力建设</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发展巩固支持红十字社区建设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配备调整补充便民工具、设施和器材，购置放置架、急救箱、钢钻、折叠梯、攀登安全绳、轮椅、多功能工具箱等物资</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基层组织建设调研考察</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基层组织建设调研考察学习交流</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创建红十字</w:t>
            </w:r>
            <w:r>
              <w:rPr>
                <w:rFonts w:hint="eastAsia" w:ascii="方正书宋_GBK" w:eastAsia="方正书宋_GBK"/>
                <w:lang w:eastAsia="zh-CN"/>
              </w:rPr>
              <w:t>会</w:t>
            </w:r>
            <w:r>
              <w:rPr>
                <w:rFonts w:hint="eastAsia" w:ascii="方正书宋_GBK" w:eastAsia="方正书宋_GBK"/>
              </w:rPr>
              <w:t>学校基层组织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为学校红十字会配备</w:t>
            </w:r>
            <w:r>
              <w:rPr>
                <w:rFonts w:ascii="方正书宋_GBK" w:eastAsia="方正书宋_GBK"/>
              </w:rPr>
              <w:t>XX</w:t>
            </w:r>
            <w:r>
              <w:rPr>
                <w:rFonts w:hint="eastAsia" w:ascii="方正书宋_GBK" w:eastAsia="方正书宋_GBK"/>
              </w:rPr>
              <w:t>学校红十字会牌匾，制作宣传展板、展牌，印发印制相关宣传资料</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基层组织建设完成率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基层组织建设完成率</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基层组织建设按时完成率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w:t>
            </w:r>
            <w:r>
              <w:rPr>
                <w:rFonts w:hint="eastAsia" w:ascii="方正书宋_GBK" w:eastAsia="方正书宋_GBK"/>
                <w:lang w:eastAsia="zh-CN"/>
              </w:rPr>
              <w:t>会</w:t>
            </w:r>
            <w:r>
              <w:rPr>
                <w:rFonts w:hint="eastAsia" w:ascii="方正书宋_GBK" w:eastAsia="方正书宋_GBK"/>
              </w:rPr>
              <w:t>基层组织完成情况</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接受社区群众对红十字社区为群众所提供服务的满意程度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《中华人民共和国红十字会法》；河北省人民政府《关于支持红十字事业发展的若干意见》；《石家庄市人民政府办公厅关于加快红十字事业发展的通知》（石政办函〔</w:t>
            </w:r>
            <w:r>
              <w:rPr>
                <w:rFonts w:ascii="方正书宋_GBK" w:eastAsia="方正书宋_GBK"/>
              </w:rPr>
              <w:t>2015</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2" w:name="_Toc68593197"/>
      <w:r>
        <w:rPr>
          <w:rFonts w:hint="eastAsia" w:ascii="方正仿宋_GBK" w:eastAsia="方正仿宋_GBK"/>
          <w:b/>
          <w:sz w:val="28"/>
        </w:rPr>
        <w:t>3、社会救助-应急救援绩效目标表</w:t>
      </w:r>
      <w:bookmarkEnd w:id="1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3、社会救助-应急救援绩效目标表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13011021MTZGPURCHOAGH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建立健全红十字</w:t>
            </w:r>
            <w:r>
              <w:rPr>
                <w:rFonts w:hint="eastAsia" w:ascii="方正书宋_GBK" w:eastAsia="方正书宋_GBK"/>
                <w:lang w:eastAsia="zh-CN"/>
              </w:rPr>
              <w:t>会</w:t>
            </w:r>
            <w:r>
              <w:rPr>
                <w:rFonts w:hint="eastAsia" w:ascii="方正书宋_GBK" w:eastAsia="方正书宋_GBK"/>
              </w:rPr>
              <w:t>应急救援体系，设立救灾备灾仓库，储备备灾物资，组建应急救援队。开展自然灾害的救助及突发事件的应急救援，参与灾后重建。我单位需申请</w:t>
            </w:r>
            <w:r>
              <w:rPr>
                <w:rFonts w:ascii="方正书宋_GBK" w:eastAsia="方正书宋_GBK"/>
              </w:rPr>
              <w:t>1</w:t>
            </w:r>
            <w:r>
              <w:rPr>
                <w:rFonts w:hint="eastAsia" w:ascii="方正书宋_GBK" w:eastAsia="方正书宋_GBK"/>
              </w:rPr>
              <w:t>万元用于备灾仓库租赁。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设立备灾救灾仓库，储备应急救援备灾救灾物资，增强备灾救灾能力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完成救灾及应急救援任务，提高人道救助能力</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租赁备灾仓库面积</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租赁备灾仓库面积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平方米</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备灾救灾物资提供率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实际提供数量占采购数量的比例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出具租赁合同、发票等、《中国红十字会自然灾害和突发事件救助规则》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得到广大群众的充分认可。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得到群众认可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《中国红十字会自然灾害和突发事件救助规则》</w:t>
            </w:r>
            <w:r>
              <w:rPr>
                <w:rFonts w:ascii="方正书宋_GBK" w:eastAsia="方正书宋_GBK"/>
              </w:rPr>
              <w:t>;</w:t>
            </w:r>
            <w:r>
              <w:rPr>
                <w:rFonts w:hint="eastAsia" w:ascii="方正书宋_GBK" w:eastAsia="方正书宋_GBK"/>
              </w:rPr>
              <w:t>中红字〔</w:t>
            </w:r>
            <w:r>
              <w:rPr>
                <w:rFonts w:ascii="方正书宋_GBK" w:eastAsia="方正书宋_GBK"/>
              </w:rPr>
              <w:t>2018</w:t>
            </w:r>
            <w:r>
              <w:rPr>
                <w:rFonts w:hint="eastAsia" w:ascii="方正书宋_GBK" w:eastAsia="方正书宋_GBK"/>
              </w:rPr>
              <w:t>〕</w:t>
            </w:r>
            <w:r>
              <w:rPr>
                <w:rFonts w:ascii="方正书宋_GBK" w:eastAsia="方正书宋_GBK"/>
              </w:rPr>
              <w:t>2</w:t>
            </w:r>
            <w:r>
              <w:rPr>
                <w:rFonts w:hint="eastAsia" w:ascii="方正书宋_GBK" w:eastAsia="方正书宋_GBK"/>
              </w:rPr>
              <w:t>号《中国红十字会物资储备库管理工作细则（试行）》、红总字〔</w:t>
            </w:r>
            <w:r>
              <w:rPr>
                <w:rFonts w:ascii="方正书宋_GBK" w:eastAsia="方正书宋_GBK"/>
              </w:rPr>
              <w:t>2010</w:t>
            </w:r>
            <w:r>
              <w:rPr>
                <w:rFonts w:hint="eastAsia" w:ascii="方正书宋_GBK" w:eastAsia="方正书宋_GBK"/>
              </w:rPr>
              <w:t>〕</w:t>
            </w:r>
            <w:r>
              <w:rPr>
                <w:rFonts w:ascii="方正书宋_GBK" w:eastAsia="方正书宋_GBK"/>
              </w:rPr>
              <w:t>100</w:t>
            </w:r>
            <w:r>
              <w:rPr>
                <w:rFonts w:hint="eastAsia" w:ascii="方正书宋_GBK" w:eastAsia="方正书宋_GBK"/>
              </w:rPr>
              <w:t>号《中国红十字会备灾救灾中心（物资库）规划建设管理办法》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《中国红十字会自然灾害和突发事件救助规则》</w:t>
            </w:r>
            <w:r>
              <w:rPr>
                <w:rFonts w:ascii="方正书宋_GBK" w:eastAsia="方正书宋_GBK"/>
              </w:rPr>
              <w:t>;</w:t>
            </w:r>
            <w:r>
              <w:rPr>
                <w:rFonts w:hint="eastAsia" w:ascii="方正书宋_GBK" w:eastAsia="方正书宋_GBK"/>
              </w:rPr>
              <w:t>中红字〔</w:t>
            </w:r>
            <w:r>
              <w:rPr>
                <w:rFonts w:ascii="方正书宋_GBK" w:eastAsia="方正书宋_GBK"/>
              </w:rPr>
              <w:t>2018</w:t>
            </w:r>
            <w:r>
              <w:rPr>
                <w:rFonts w:hint="eastAsia" w:ascii="方正书宋_GBK" w:eastAsia="方正书宋_GBK"/>
              </w:rPr>
              <w:t>〕</w:t>
            </w:r>
            <w:r>
              <w:rPr>
                <w:rFonts w:ascii="方正书宋_GBK" w:eastAsia="方正书宋_GBK"/>
              </w:rPr>
              <w:t>2</w:t>
            </w:r>
            <w:r>
              <w:rPr>
                <w:rFonts w:hint="eastAsia" w:ascii="方正书宋_GBK" w:eastAsia="方正书宋_GBK"/>
              </w:rPr>
              <w:t>号《中国红十字会物资储备库管理工作细则（试行）》、红总字〔</w:t>
            </w:r>
            <w:r>
              <w:rPr>
                <w:rFonts w:ascii="方正书宋_GBK" w:eastAsia="方正书宋_GBK"/>
              </w:rPr>
              <w:t>2010</w:t>
            </w:r>
            <w:r>
              <w:rPr>
                <w:rFonts w:hint="eastAsia" w:ascii="方正书宋_GBK" w:eastAsia="方正书宋_GBK"/>
              </w:rPr>
              <w:t>〕</w:t>
            </w:r>
            <w:r>
              <w:rPr>
                <w:rFonts w:ascii="方正书宋_GBK" w:eastAsia="方正书宋_GBK"/>
              </w:rPr>
              <w:t>100</w:t>
            </w:r>
            <w:r>
              <w:rPr>
                <w:rFonts w:hint="eastAsia" w:ascii="方正书宋_GBK" w:eastAsia="方正书宋_GBK"/>
              </w:rPr>
              <w:t>号《中国红十字会备灾救灾中心（物资库）规划建设管理办法》</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3" w:name="_Toc68593198"/>
      <w:r>
        <w:rPr>
          <w:rFonts w:hint="eastAsia" w:ascii="方正仿宋_GBK" w:eastAsia="方正仿宋_GBK"/>
          <w:b/>
          <w:sz w:val="28"/>
        </w:rPr>
        <w:t>4、红十字事业发展-“三献”工作绩效目标表</w:t>
      </w:r>
      <w:bookmarkEnd w:id="1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4、红十字事业发展-\“三献\”工作绩效目标表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13011021OPFY6LGM06Q6H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三献</w:t>
            </w:r>
            <w:r>
              <w:rPr>
                <w:rFonts w:hint="cs" w:ascii="方正书宋_GBK" w:eastAsia="方正书宋_GBK"/>
              </w:rPr>
              <w:t>”</w:t>
            </w:r>
            <w:r>
              <w:rPr>
                <w:rFonts w:hint="eastAsia" w:ascii="方正书宋_GBK" w:eastAsia="方正书宋_GBK"/>
              </w:rPr>
              <w:t>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加强无偿献血宣传推动，造血干细胞捐献工作，主要是为医疗临床用血、血液病患者检索配型的志愿者，主要工作是招募干细胞入库志愿者以及开展志愿者宣传。我单位需申请</w:t>
            </w:r>
            <w:r>
              <w:rPr>
                <w:rFonts w:ascii="方正书宋_GBK" w:eastAsia="方正书宋_GBK"/>
              </w:rPr>
              <w:t>1</w:t>
            </w:r>
            <w:r>
              <w:rPr>
                <w:rFonts w:hint="eastAsia" w:ascii="方正书宋_GBK" w:eastAsia="方正书宋_GBK"/>
              </w:rPr>
              <w:t>万元用于印制发放宣传材料、志愿者招募及无偿献血宣传。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加强无偿献血宣传推动，造血干细胞捐献工作，主要是为医疗临床用血、血液病患者检索配型的志愿者，主要工作是招募干细胞入库志愿者以及开展志愿者宣传。我单位需申请</w:t>
            </w:r>
            <w:r>
              <w:rPr>
                <w:rFonts w:ascii="方正书宋_GBK" w:eastAsia="方正书宋_GBK"/>
              </w:rPr>
              <w:t>1</w:t>
            </w:r>
            <w:r>
              <w:rPr>
                <w:rFonts w:hint="eastAsia" w:ascii="方正书宋_GBK" w:eastAsia="方正书宋_GBK"/>
              </w:rPr>
              <w:t>万元用于印制发放宣传材料、志愿者招募及无偿献血宣传。</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向社会公开宣传招募</w:t>
            </w:r>
            <w:r>
              <w:rPr>
                <w:rFonts w:hint="eastAsia" w:ascii="方正书宋_GBK" w:eastAsia="方正书宋_GBK"/>
                <w:lang w:eastAsia="zh-CN"/>
              </w:rPr>
              <w:t>红十字会</w:t>
            </w:r>
            <w:r>
              <w:rPr>
                <w:rFonts w:hint="eastAsia" w:ascii="方正书宋_GBK" w:eastAsia="方正书宋_GBK"/>
              </w:rPr>
              <w:t>志愿者，邀请上级进行业务培训，让更多人了解无偿献血政策、造血干细胞知识，扩大</w:t>
            </w:r>
            <w:r>
              <w:rPr>
                <w:rFonts w:hint="eastAsia" w:ascii="方正书宋_GBK" w:eastAsia="方正书宋_GBK"/>
                <w:lang w:eastAsia="zh-CN"/>
              </w:rPr>
              <w:t>红十字会</w:t>
            </w:r>
            <w:r>
              <w:rPr>
                <w:rFonts w:hint="eastAsia" w:ascii="方正书宋_GBK" w:eastAsia="方正书宋_GBK"/>
              </w:rPr>
              <w:t>影响</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反映开展无偿献血、造血干细胞捐献及人体器官捐献等活动对外宣传</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招募志愿者人数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招募志愿者人数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开展外宣及志愿者招募完成率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开展外宣及志愿者招募完成率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工作任务完成及时率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开展宣传活动产生的影响，得到广大受众的充分认可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开展志愿者招募工作的影响，得到广大受众的充分认可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群众对开展无偿献血、造血干细胞及遗体器官捐献宣传工作的满意程度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接受参与志愿者对志愿服务队伍所提供服务的满意程度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《人体器官移植条例》、《中华人民共和国献血法》、《河北省卫生和计划生育委员会、河北省红十字会关于进一步推进人体器官捐献工作的通知》</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4" w:name="_Toc68593199"/>
      <w:r>
        <w:rPr>
          <w:rFonts w:hint="eastAsia" w:ascii="方正仿宋_GBK" w:eastAsia="方正仿宋_GBK"/>
          <w:b/>
          <w:sz w:val="28"/>
        </w:rPr>
        <w:t>5、社会救助-应急救护绩效目标表</w:t>
      </w:r>
      <w:bookmarkEnd w:id="1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5、社会救助-应急救护绩效目标表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13011021QYZAX4KHI88PG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社会救助</w:t>
            </w:r>
            <w:r>
              <w:rPr>
                <w:rFonts w:ascii="方正书宋_GBK" w:eastAsia="方正书宋_GBK"/>
              </w:rPr>
              <w:t>-</w:t>
            </w:r>
            <w:r>
              <w:rPr>
                <w:rFonts w:hint="eastAsia" w:ascii="方正书宋_GBK" w:eastAsia="方正书宋_GBK"/>
              </w:rPr>
              <w:t>应急救护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救护普及和救护员培训任务。在教育、公安、旅游等部门以及交通运输、矿山、建筑、电力等行业培训红十字救护员，进行应急救护知识普及和培训；参加石家庄市第二届应急救护大赛；推动对在校学生、教师开展应急救护培训，向群众宣传普及应急救护知识。我单位需申请</w:t>
            </w:r>
            <w:r>
              <w:rPr>
                <w:rFonts w:ascii="方正书宋_GBK" w:eastAsia="方正书宋_GBK"/>
              </w:rPr>
              <w:t>9</w:t>
            </w:r>
            <w:r>
              <w:rPr>
                <w:rFonts w:hint="eastAsia" w:ascii="方正书宋_GBK" w:eastAsia="方正书宋_GBK"/>
              </w:rPr>
              <w:t>万元用于应急救护培训费用。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培训在校学生学生应急救护知识，增强学生应急避险意识，掌握应急救护知识技能；培训学校初级救护员，提高学校意外突发事件应对能力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面向群众开展红十字应急救护知识宣传，提高群众自救互救能力；参加石家庄市级应急救护大赛，展示我区应急救护培训成果，提高我区应急救护培训实战能力</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初级救护员人数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培训初级救护员人数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购买应急救护培训盒数量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购买应急救护培训盒数量</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个</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应急救护知识专题讲座参加人数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应急救护知识专题讲座参加人数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应急救护知识普及人数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应急救护知识普及人数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《中华人民共和国红十字会法》第三章第十二条中明确规定普及卫生救护和防病知识，进行初级卫生救护培训，组织群众参加现场救护是红十字会职责之一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制作与发放外宣品的数量（份）</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开展宣传普及活动对外宣品的需求情况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1000</w:t>
            </w:r>
            <w:r>
              <w:rPr>
                <w:rFonts w:hint="eastAsia" w:ascii="方正书宋_GBK" w:eastAsia="方正书宋_GBK"/>
              </w:rPr>
              <w:t>本（份）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参加市级应急救护大赛投入标准</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参加市级应急救护大赛投入标准</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中国红十字会应急救护培训标准化工作手册、中国红十字会总会关于举办第五届全国应急救护大赛的预备通知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培训宣传普及合格率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培训宣传普及合格率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各项任务完成及时率（</w:t>
            </w:r>
            <w:r>
              <w:rPr>
                <w:rFonts w:ascii="方正书宋_GBK" w:eastAsia="方正书宋_GBK"/>
              </w:rPr>
              <w:t>%</w:t>
            </w:r>
            <w:r>
              <w:rPr>
                <w:rFonts w:hint="eastAsia" w:ascii="方正书宋_GBK" w:eastAsia="方正书宋_GBK"/>
              </w:rPr>
              <w:t>）</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21.73</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受训初级救护员培训合格率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提高受训初级救护员培训合格率，得到广大受众的充分认可。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应急救护知识宣传普及知晓率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提高应急救护知识宣传普及知晓率，得到广大受众的充分认可。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《中华人民共和国红十字会法》、河北省人民政府《关于加快红十字事业发展的实施意见》冀政发【</w:t>
            </w:r>
            <w:r>
              <w:rPr>
                <w:rFonts w:ascii="方正书宋_GBK" w:eastAsia="方正书宋_GBK"/>
              </w:rPr>
              <w:t>2015</w:t>
            </w:r>
            <w:r>
              <w:rPr>
                <w:rFonts w:hint="eastAsia" w:ascii="方正书宋_GBK" w:eastAsia="方正书宋_GBK"/>
              </w:rPr>
              <w:t>】</w:t>
            </w:r>
            <w:r>
              <w:rPr>
                <w:rFonts w:ascii="方正书宋_GBK" w:eastAsia="方正书宋_GBK"/>
              </w:rPr>
              <w:t>36</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通过参加应急救护大赛，推动我区红十字应急救护工作开展，展示应急救护培训工作成果，得到广大受众的充分认可。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认可</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中国红十字会应急救护培训标准化工作手册、中国红十字会总会关于举办第五届全国应急救护大赛的预备通知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接受服务的对象对提供应急救护培训工作服务的满意程度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《中国红十字会应急救护培训标准化工作手册》。省、市红十字会</w:t>
            </w:r>
            <w:r>
              <w:rPr>
                <w:rFonts w:hint="cs" w:ascii="方正书宋_GBK" w:eastAsia="方正书宋_GBK"/>
              </w:rPr>
              <w:t>“</w:t>
            </w:r>
            <w:r>
              <w:rPr>
                <w:rFonts w:hint="eastAsia" w:ascii="方正书宋_GBK" w:eastAsia="方正书宋_GBK"/>
              </w:rPr>
              <w:t>十三五</w:t>
            </w:r>
            <w:r>
              <w:rPr>
                <w:rFonts w:hint="cs" w:ascii="方正书宋_GBK" w:eastAsia="方正书宋_GBK"/>
              </w:rPr>
              <w:t>”</w:t>
            </w:r>
            <w:r>
              <w:rPr>
                <w:rFonts w:hint="eastAsia" w:ascii="方正书宋_GBK" w:eastAsia="方正书宋_GBK"/>
              </w:rPr>
              <w:t>工作规划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接受服务的对象对参加上级应急救护大赛工作服务的满意程度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中国红十字会应急救护培训标准化工作手册》。省、市红十字会</w:t>
            </w:r>
            <w:r>
              <w:rPr>
                <w:rFonts w:hint="cs" w:ascii="方正书宋_GBK" w:eastAsia="方正书宋_GBK"/>
              </w:rPr>
              <w:t>“</w:t>
            </w:r>
            <w:r>
              <w:rPr>
                <w:rFonts w:hint="eastAsia" w:ascii="方正书宋_GBK" w:eastAsia="方正书宋_GBK"/>
              </w:rPr>
              <w:t>十三五</w:t>
            </w:r>
            <w:r>
              <w:rPr>
                <w:rFonts w:hint="cs" w:ascii="方正书宋_GBK" w:eastAsia="方正书宋_GBK"/>
              </w:rPr>
              <w:t>”</w:t>
            </w:r>
            <w:r>
              <w:rPr>
                <w:rFonts w:hint="eastAsia" w:ascii="方正书宋_GBK" w:eastAsia="方正书宋_GBK"/>
              </w:rPr>
              <w:t>工作规划</w:t>
            </w:r>
          </w:p>
        </w:tc>
      </w:tr>
    </w:tbl>
    <w:p>
      <w:pPr>
        <w:spacing w:line="300" w:lineRule="exact"/>
        <w:jc w:val="left"/>
        <w:sectPr>
          <w:pgSz w:w="16839" w:h="11907" w:orient="landscape"/>
          <w:pgMar w:top="1304" w:right="1984" w:bottom="1304" w:left="1134" w:header="851" w:footer="992" w:gutter="0"/>
          <w:cols w:space="425" w:num="1"/>
          <w:docGrid w:type="lines" w:linePitch="312" w:charSpace="0"/>
        </w:sectPr>
      </w:pPr>
    </w:p>
    <w:p>
      <w:pPr>
        <w:spacing w:line="300" w:lineRule="exact"/>
        <w:jc w:val="left"/>
      </w:pPr>
    </w:p>
    <w:p>
      <w:pPr>
        <w:ind w:firstLine="560" w:firstLineChars="200"/>
        <w:jc w:val="left"/>
        <w:outlineLvl w:val="3"/>
        <w:rPr>
          <w:rFonts w:ascii="Times New Roman" w:hAnsi="宋体"/>
          <w:b/>
          <w:sz w:val="28"/>
        </w:rPr>
      </w:pPr>
      <w:bookmarkStart w:id="15" w:name="_Toc68593200"/>
      <w:r>
        <w:rPr>
          <w:rFonts w:hint="eastAsia" w:ascii="方正仿宋_GBK" w:eastAsia="方正仿宋_GBK"/>
          <w:b/>
          <w:sz w:val="28"/>
        </w:rPr>
        <w:t>6、红十字事业发展-红十字会综合事务工作绩效目标表</w:t>
      </w:r>
      <w:bookmarkEnd w:id="1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6、红十字事业发展-红十字会综合事务工作绩效目标表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717001</w:t>
            </w:r>
            <w:r>
              <w:rPr>
                <w:rFonts w:hint="eastAsia" w:ascii="方正书宋_GBK" w:eastAsia="方正书宋_GBK"/>
                <w:b/>
              </w:rPr>
              <w:t>石家庄市鹿泉区红十字会本级</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13011021SH6YZHQ7V8UMR</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红十字事业发展</w:t>
            </w:r>
            <w:r>
              <w:rPr>
                <w:rFonts w:ascii="方正书宋_GBK" w:eastAsia="方正书宋_GBK"/>
              </w:rPr>
              <w:t>-</w:t>
            </w:r>
            <w:r>
              <w:rPr>
                <w:rFonts w:hint="eastAsia" w:ascii="方正书宋_GBK" w:eastAsia="方正书宋_GBK"/>
              </w:rPr>
              <w:t>红十字会综合事务工作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3"/>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深化宣传理念，传播红十字文化知识，开展纪念活动，不断加强与媒体合作，促进各项业务工作的开展，使</w:t>
            </w:r>
            <w:r>
              <w:rPr>
                <w:rFonts w:hint="eastAsia" w:ascii="方正书宋_GBK" w:eastAsia="方正书宋_GBK"/>
                <w:lang w:eastAsia="zh-CN"/>
              </w:rPr>
              <w:t>中华人民共和国</w:t>
            </w:r>
            <w:r>
              <w:rPr>
                <w:rFonts w:hint="eastAsia" w:ascii="方正书宋_GBK" w:eastAsia="方正书宋_GBK"/>
              </w:rPr>
              <w:t>红十字会法得到贯彻执行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3"/>
            </w:pPr>
          </w:p>
        </w:tc>
        <w:tc>
          <w:tcPr>
            <w:tcW w:w="2410" w:type="dxa"/>
            <w:gridSpan w:val="2"/>
            <w:tcBorders>
              <w:bottom w:val="single" w:color="000000" w:sz="6" w:space="0"/>
            </w:tcBorders>
            <w:shd w:val="clear" w:color="auto" w:fill="auto"/>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25%</w:t>
            </w:r>
          </w:p>
        </w:tc>
        <w:tc>
          <w:tcPr>
            <w:tcW w:w="1587" w:type="dxa"/>
            <w:tcBorders>
              <w:bottom w:val="single" w:color="000000" w:sz="6" w:space="0"/>
            </w:tcBorders>
            <w:shd w:val="clear" w:color="auto" w:fill="auto"/>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50%</w:t>
            </w:r>
          </w:p>
        </w:tc>
        <w:tc>
          <w:tcPr>
            <w:tcW w:w="1304" w:type="dxa"/>
            <w:tcBorders>
              <w:bottom w:val="single" w:color="000000" w:sz="6" w:space="0"/>
            </w:tcBorders>
            <w:shd w:val="clear" w:color="auto" w:fill="auto"/>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75%</w:t>
            </w:r>
          </w:p>
        </w:tc>
        <w:tc>
          <w:tcPr>
            <w:tcW w:w="2977" w:type="dxa"/>
            <w:gridSpan w:val="2"/>
            <w:tcBorders>
              <w:bottom w:val="single" w:color="000000" w:sz="6" w:space="0"/>
            </w:tcBorders>
            <w:shd w:val="clear" w:color="auto" w:fill="auto"/>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订阅中国红十字报、博爱杂志，提高红十字</w:t>
            </w:r>
            <w:r>
              <w:rPr>
                <w:rFonts w:hint="eastAsia" w:ascii="方正书宋_GBK" w:eastAsia="方正书宋_GBK"/>
                <w:lang w:eastAsia="zh-CN"/>
              </w:rPr>
              <w:t>会</w:t>
            </w:r>
            <w:r>
              <w:rPr>
                <w:rFonts w:hint="eastAsia" w:ascii="方正书宋_GBK" w:eastAsia="方正书宋_GBK"/>
              </w:rPr>
              <w:t>工作领导干部及工作人员的服务意识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知识宣传纪念活动，保障红十字</w:t>
            </w:r>
            <w:r>
              <w:rPr>
                <w:rFonts w:hint="eastAsia" w:ascii="方正书宋_GBK" w:eastAsia="方正书宋_GBK"/>
                <w:lang w:eastAsia="zh-CN"/>
              </w:rPr>
              <w:t>会</w:t>
            </w:r>
            <w:r>
              <w:rPr>
                <w:rFonts w:hint="eastAsia" w:ascii="方正书宋_GBK" w:eastAsia="方正书宋_GBK"/>
              </w:rPr>
              <w:t>事业健康发展</w:t>
            </w:r>
          </w:p>
        </w:tc>
      </w:tr>
    </w:tbl>
    <w:p>
      <w:pPr>
        <w:spacing w:line="14" w:lineRule="exact"/>
        <w:jc w:val="center"/>
        <w:rPr>
          <w:rFonts w:ascii="Times New Roman" w:hAnsi="宋体"/>
        </w:rPr>
      </w:pPr>
      <w:r>
        <w:rPr>
          <w:rFonts w:ascii="方正书宋_GBK" w:eastAsia="方正书宋_GBK"/>
        </w:rPr>
        <w:t xml:space="preserve"> </w:t>
      </w:r>
    </w:p>
    <w:tbl>
      <w:tblPr>
        <w:tblStyle w:val="10"/>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订阅红十字报刊杂志数量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订阅红十字报刊杂志数量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《河北省红十字会转发总会报刊社</w:t>
            </w:r>
            <w:r>
              <w:rPr>
                <w:rFonts w:ascii="方正书宋_GBK" w:eastAsia="方正书宋_GBK"/>
              </w:rPr>
              <w:t>&lt;</w:t>
            </w:r>
            <w:r>
              <w:rPr>
                <w:rFonts w:hint="eastAsia" w:ascii="方正书宋_GBK" w:eastAsia="方正书宋_GBK"/>
              </w:rPr>
              <w:t>关于订阅</w:t>
            </w:r>
            <w:r>
              <w:rPr>
                <w:rFonts w:ascii="方正书宋_GBK" w:eastAsia="方正书宋_GBK"/>
              </w:rPr>
              <w:t>2020</w:t>
            </w:r>
            <w:r>
              <w:rPr>
                <w:rFonts w:hint="eastAsia" w:ascii="方正书宋_GBK" w:eastAsia="方正书宋_GBK"/>
              </w:rPr>
              <w:t>年中国红十字报、博爱月刊的通知</w:t>
            </w:r>
            <w:r>
              <w:rPr>
                <w:rFonts w:ascii="方正书宋_GBK" w:eastAsia="方正书宋_GBK"/>
              </w:rPr>
              <w:t>&gt;</w:t>
            </w:r>
            <w:r>
              <w:rPr>
                <w:rFonts w:hint="eastAsia" w:ascii="方正书宋_GBK" w:eastAsia="方正书宋_GBK"/>
              </w:rPr>
              <w: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开展红十字宣</w:t>
            </w:r>
            <w:r>
              <w:rPr>
                <w:rFonts w:hint="eastAsia" w:ascii="方正书宋_GBK" w:eastAsia="方正书宋_GBK"/>
                <w:lang w:eastAsia="zh-CN"/>
              </w:rPr>
              <w:t>会</w:t>
            </w:r>
            <w:bookmarkStart w:id="18" w:name="_GoBack"/>
            <w:bookmarkEnd w:id="18"/>
            <w:r>
              <w:rPr>
                <w:rFonts w:hint="eastAsia" w:ascii="方正书宋_GBK" w:eastAsia="方正书宋_GBK"/>
              </w:rPr>
              <w:t>传纪念活动数量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开展红十字</w:t>
            </w:r>
            <w:r>
              <w:rPr>
                <w:rFonts w:hint="eastAsia" w:ascii="方正书宋_GBK" w:eastAsia="方正书宋_GBK"/>
                <w:lang w:eastAsia="zh-CN"/>
              </w:rPr>
              <w:t>会</w:t>
            </w:r>
            <w:r>
              <w:rPr>
                <w:rFonts w:hint="eastAsia" w:ascii="方正书宋_GBK" w:eastAsia="方正书宋_GBK"/>
              </w:rPr>
              <w:t>宣传纪念活动数量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制作与发放外宣品的数量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本（份）</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系列活动完成情况</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系列活动完成情况</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系列活动按时完成率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系列活动按时完成率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ascii="方正书宋_GBK" w:eastAsia="方正书宋_GBK"/>
              </w:rPr>
            </w:pP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资金成本</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万元</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效益指标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在全区产生的影响，得到广大受众的充分认可。</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系列活动参与者满意度情</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系列活动参与者满意人数占参与人数的比例</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《国务院关于促进红十字事业发展的意见》、《石家庄市政府办公厅关于加快红十字事业发展的通知》</w:t>
            </w:r>
          </w:p>
        </w:tc>
      </w:tr>
    </w:tbl>
    <w:p>
      <w:pPr>
        <w:autoSpaceDE w:val="0"/>
        <w:autoSpaceDN w:val="0"/>
        <w:adjustRightInd w:val="0"/>
        <w:ind w:firstLine="640" w:firstLineChars="200"/>
        <w:jc w:val="left"/>
        <w:rPr>
          <w:rFonts w:ascii="黑体" w:hAnsi="黑体" w:eastAsia="黑体" w:cs="Times New Roman"/>
          <w:sz w:val="32"/>
          <w:szCs w:val="32"/>
        </w:rPr>
      </w:pPr>
    </w:p>
    <w:p>
      <w:pPr>
        <w:spacing w:before="156" w:beforeLines="50" w:after="156" w:afterLines="50"/>
        <w:ind w:firstLine="640" w:firstLineChars="200"/>
        <w:jc w:val="left"/>
        <w:outlineLvl w:val="2"/>
        <w:rPr>
          <w:rFonts w:ascii="Times New Roman" w:hAnsi="宋体" w:eastAsia="宋体" w:cs="Times New Roman"/>
          <w:sz w:val="32"/>
          <w:szCs w:val="24"/>
        </w:rPr>
      </w:pPr>
      <w:bookmarkStart w:id="16" w:name="_Toc68781230"/>
      <w:r>
        <w:rPr>
          <w:rFonts w:hint="eastAsia" w:ascii="黑体" w:hAnsi="Times New Roman" w:eastAsia="黑体" w:cs="Times New Roman"/>
          <w:sz w:val="32"/>
          <w:szCs w:val="24"/>
        </w:rPr>
        <w:t>六、政府采购预算情况</w:t>
      </w:r>
      <w:bookmarkEnd w:id="16"/>
    </w:p>
    <w:p>
      <w:pPr>
        <w:spacing w:line="500" w:lineRule="exact"/>
        <w:ind w:firstLine="560" w:firstLineChars="200"/>
        <w:jc w:val="left"/>
        <w:rPr>
          <w:rFonts w:ascii="Times New Roman" w:hAnsi="宋体" w:eastAsia="宋体" w:cs="Times New Roman"/>
          <w:sz w:val="28"/>
          <w:szCs w:val="24"/>
        </w:rPr>
      </w:pPr>
      <w:r>
        <w:rPr>
          <w:rFonts w:hint="eastAsia" w:ascii="Times New Roman" w:hAnsi="Times New Roman" w:eastAsia="方正仿宋_GBK" w:cs="Times New Roman"/>
          <w:sz w:val="28"/>
          <w:szCs w:val="24"/>
        </w:rPr>
        <w:t>2021年，石家庄市鹿泉区红十字会安排政府采购预算0.00万元</w:t>
      </w:r>
      <w:r>
        <w:rPr>
          <w:rFonts w:hint="eastAsia" w:eastAsia="方正仿宋_GBK"/>
          <w:sz w:val="28"/>
        </w:rPr>
        <w:t>，具体内容见下表</w:t>
      </w:r>
      <w:r>
        <w:rPr>
          <w:rFonts w:hint="eastAsia" w:ascii="Times New Roman" w:eastAsia="方正仿宋_GBK"/>
          <w:sz w:val="28"/>
        </w:rPr>
        <w:t>。</w:t>
      </w:r>
    </w:p>
    <w:p>
      <w:pPr>
        <w:jc w:val="center"/>
        <w:rPr>
          <w:rFonts w:ascii="Times New Roman" w:hAnsi="宋体" w:eastAsia="宋体" w:cs="Times New Roman"/>
          <w:sz w:val="36"/>
          <w:szCs w:val="24"/>
        </w:rPr>
      </w:pPr>
      <w:r>
        <w:rPr>
          <w:rFonts w:hint="eastAsia" w:ascii="方正小标宋_GBK" w:hAnsi="Times New Roman" w:eastAsia="方正小标宋_GBK" w:cs="Times New Roman"/>
          <w:sz w:val="36"/>
          <w:szCs w:val="24"/>
        </w:rPr>
        <w:t>部门政府采购预算</w:t>
      </w: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eastAsia="方正小标宋_GBK"/>
                <w:sz w:val="24"/>
              </w:rPr>
              <w:t>717石家庄市鹿泉区红十字会</w:t>
            </w:r>
          </w:p>
        </w:tc>
        <w:tc>
          <w:tcPr>
            <w:tcW w:w="680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政府采购项目来源</w:t>
            </w:r>
          </w:p>
        </w:tc>
        <w:tc>
          <w:tcPr>
            <w:tcW w:w="153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采购物品名称</w:t>
            </w:r>
          </w:p>
        </w:tc>
        <w:tc>
          <w:tcPr>
            <w:tcW w:w="1531"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政府采购目录序号</w:t>
            </w:r>
          </w:p>
        </w:tc>
        <w:tc>
          <w:tcPr>
            <w:tcW w:w="709"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计量</w:t>
            </w:r>
            <w:r>
              <w:rPr>
                <w:rFonts w:ascii="方正书宋_GBK" w:hAnsi="Times New Roman" w:eastAsia="方正书宋_GBK" w:cs="Times New Roman"/>
                <w:b/>
                <w:szCs w:val="24"/>
              </w:rPr>
              <w:t xml:space="preserve">  </w:t>
            </w:r>
            <w:r>
              <w:rPr>
                <w:rFonts w:hint="eastAsia" w:ascii="方正书宋_GBK" w:hAnsi="Times New Roman" w:eastAsia="方正书宋_GBK" w:cs="Times New Roman"/>
                <w:b/>
                <w:szCs w:val="24"/>
              </w:rPr>
              <w:t>单位</w:t>
            </w:r>
          </w:p>
        </w:tc>
        <w:tc>
          <w:tcPr>
            <w:tcW w:w="907"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数量</w:t>
            </w:r>
          </w:p>
        </w:tc>
        <w:tc>
          <w:tcPr>
            <w:tcW w:w="907" w:type="dxa"/>
            <w:vMerge w:val="restart"/>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单价</w:t>
            </w:r>
          </w:p>
        </w:tc>
        <w:tc>
          <w:tcPr>
            <w:tcW w:w="6804" w:type="dxa"/>
            <w:gridSpan w:val="6"/>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项目名称</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预算资金</w:t>
            </w:r>
          </w:p>
        </w:tc>
        <w:tc>
          <w:tcPr>
            <w:tcW w:w="1531" w:type="dxa"/>
            <w:vMerge w:val="continue"/>
            <w:vAlign w:val="center"/>
          </w:tcPr>
          <w:p>
            <w:pPr>
              <w:spacing w:line="300" w:lineRule="exact"/>
              <w:jc w:val="left"/>
              <w:rPr>
                <w:rFonts w:ascii="Times New Roman" w:hAnsi="Times New Roman" w:eastAsia="宋体" w:cs="Times New Roman"/>
                <w:szCs w:val="24"/>
              </w:rPr>
            </w:pPr>
          </w:p>
        </w:tc>
        <w:tc>
          <w:tcPr>
            <w:tcW w:w="1531" w:type="dxa"/>
            <w:vMerge w:val="continue"/>
            <w:vAlign w:val="center"/>
          </w:tcPr>
          <w:p>
            <w:pPr>
              <w:spacing w:line="300" w:lineRule="exact"/>
              <w:jc w:val="left"/>
              <w:rPr>
                <w:rFonts w:ascii="Times New Roman" w:hAnsi="Times New Roman" w:eastAsia="宋体" w:cs="Times New Roman"/>
                <w:szCs w:val="24"/>
              </w:rPr>
            </w:pPr>
          </w:p>
        </w:tc>
        <w:tc>
          <w:tcPr>
            <w:tcW w:w="709" w:type="dxa"/>
            <w:vMerge w:val="continue"/>
            <w:vAlign w:val="center"/>
          </w:tcPr>
          <w:p>
            <w:pPr>
              <w:spacing w:line="300" w:lineRule="exact"/>
              <w:jc w:val="left"/>
              <w:rPr>
                <w:rFonts w:ascii="Times New Roman" w:hAnsi="Times New Roman" w:eastAsia="宋体" w:cs="Times New Roman"/>
                <w:szCs w:val="24"/>
              </w:rPr>
            </w:pPr>
          </w:p>
        </w:tc>
        <w:tc>
          <w:tcPr>
            <w:tcW w:w="907" w:type="dxa"/>
            <w:vMerge w:val="continue"/>
            <w:vAlign w:val="center"/>
          </w:tcPr>
          <w:p>
            <w:pPr>
              <w:spacing w:line="300" w:lineRule="exact"/>
              <w:jc w:val="left"/>
              <w:rPr>
                <w:rFonts w:ascii="Times New Roman" w:hAnsi="Times New Roman" w:eastAsia="宋体" w:cs="Times New Roman"/>
                <w:szCs w:val="24"/>
              </w:rPr>
            </w:pPr>
          </w:p>
        </w:tc>
        <w:tc>
          <w:tcPr>
            <w:tcW w:w="907" w:type="dxa"/>
            <w:vMerge w:val="continue"/>
            <w:vAlign w:val="center"/>
          </w:tcPr>
          <w:p>
            <w:pPr>
              <w:spacing w:line="300" w:lineRule="exact"/>
              <w:jc w:val="left"/>
              <w:rPr>
                <w:rFonts w:ascii="Times New Roman" w:hAnsi="Times New Roman" w:eastAsia="宋体" w:cs="Times New Roman"/>
                <w:szCs w:val="24"/>
              </w:rPr>
            </w:pP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合计</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一般公共预算拨款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基金预算拨款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国有资本经营预算拨款</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财政专户核拨</w:t>
            </w:r>
          </w:p>
        </w:tc>
        <w:tc>
          <w:tcPr>
            <w:tcW w:w="1134" w:type="dxa"/>
            <w:vAlign w:val="center"/>
          </w:tcPr>
          <w:p>
            <w:pPr>
              <w:spacing w:line="300" w:lineRule="exact"/>
              <w:jc w:val="center"/>
              <w:rPr>
                <w:rFonts w:ascii="方正书宋_GBK" w:hAnsi="Times New Roman" w:eastAsia="方正书宋_GBK" w:cs="Times New Roman"/>
                <w:b/>
                <w:szCs w:val="24"/>
              </w:rPr>
            </w:pPr>
            <w:r>
              <w:rPr>
                <w:rFonts w:hint="eastAsia" w:ascii="方正书宋_GBK" w:hAnsi="Times New Roman" w:eastAsia="方正书宋_GBK" w:cs="Times New Roman"/>
                <w:b/>
                <w:szCs w:val="24"/>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vAlign w:val="center"/>
          </w:tcPr>
          <w:p>
            <w:pPr>
              <w:spacing w:line="300" w:lineRule="exact"/>
              <w:jc w:val="center"/>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531" w:type="dxa"/>
            <w:vAlign w:val="center"/>
          </w:tcPr>
          <w:p>
            <w:pPr>
              <w:spacing w:line="300" w:lineRule="exact"/>
              <w:jc w:val="left"/>
              <w:rPr>
                <w:rFonts w:ascii="方正书宋_GBK" w:hAnsi="Times New Roman" w:eastAsia="方正书宋_GBK" w:cs="Times New Roman"/>
                <w:b/>
                <w:szCs w:val="24"/>
              </w:rPr>
            </w:pPr>
          </w:p>
        </w:tc>
        <w:tc>
          <w:tcPr>
            <w:tcW w:w="1531" w:type="dxa"/>
            <w:vAlign w:val="center"/>
          </w:tcPr>
          <w:p>
            <w:pPr>
              <w:spacing w:line="300" w:lineRule="exact"/>
              <w:jc w:val="left"/>
              <w:rPr>
                <w:rFonts w:ascii="方正书宋_GBK" w:hAnsi="Times New Roman" w:eastAsia="方正书宋_GBK" w:cs="Times New Roman"/>
                <w:b/>
                <w:szCs w:val="24"/>
              </w:rPr>
            </w:pPr>
          </w:p>
        </w:tc>
        <w:tc>
          <w:tcPr>
            <w:tcW w:w="709" w:type="dxa"/>
            <w:vAlign w:val="center"/>
          </w:tcPr>
          <w:p>
            <w:pPr>
              <w:spacing w:line="300" w:lineRule="exact"/>
              <w:jc w:val="center"/>
              <w:rPr>
                <w:rFonts w:ascii="方正书宋_GBK" w:hAnsi="Times New Roman" w:eastAsia="方正书宋_GBK" w:cs="Times New Roman"/>
                <w:b/>
                <w:szCs w:val="24"/>
              </w:rPr>
            </w:pPr>
          </w:p>
        </w:tc>
        <w:tc>
          <w:tcPr>
            <w:tcW w:w="907" w:type="dxa"/>
            <w:vAlign w:val="center"/>
          </w:tcPr>
          <w:p>
            <w:pPr>
              <w:spacing w:line="300" w:lineRule="exact"/>
              <w:jc w:val="right"/>
              <w:rPr>
                <w:rFonts w:ascii="方正书宋_GBK" w:hAnsi="Times New Roman" w:eastAsia="方正书宋_GBK" w:cs="Times New Roman"/>
                <w:b/>
                <w:szCs w:val="24"/>
              </w:rPr>
            </w:pPr>
          </w:p>
        </w:tc>
        <w:tc>
          <w:tcPr>
            <w:tcW w:w="907"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c>
          <w:tcPr>
            <w:tcW w:w="1134" w:type="dxa"/>
            <w:vAlign w:val="center"/>
          </w:tcPr>
          <w:p>
            <w:pPr>
              <w:spacing w:line="300" w:lineRule="exact"/>
              <w:jc w:val="right"/>
              <w:rPr>
                <w:rFonts w:ascii="方正书宋_GBK" w:hAnsi="Times New Roman" w:eastAsia="方正书宋_GBK" w:cs="Times New Roman"/>
                <w:b/>
                <w:szCs w:val="24"/>
              </w:rPr>
            </w:pPr>
          </w:p>
        </w:tc>
      </w:tr>
    </w:tbl>
    <w:p>
      <w:pPr>
        <w:ind w:firstLine="420" w:firstLineChars="200"/>
        <w:jc w:val="left"/>
        <w:rPr>
          <w:rFonts w:ascii="方正书宋_GBK" w:hAnsi="Times New Roman" w:eastAsia="方正书宋_GBK" w:cs="Times New Roman"/>
          <w:szCs w:val="24"/>
        </w:rPr>
      </w:pPr>
      <w:r>
        <w:rPr>
          <w:rFonts w:hint="eastAsia" w:ascii="方正书宋_GBK" w:hAnsi="Times New Roman" w:eastAsia="方正书宋_GBK" w:cs="Times New Roman"/>
          <w:szCs w:val="24"/>
        </w:rPr>
        <w:t>注：无政府采购预算，空表列示。</w:t>
      </w:r>
    </w:p>
    <w:p>
      <w:pPr>
        <w:ind w:firstLine="420" w:firstLineChars="200"/>
        <w:jc w:val="left"/>
        <w:rPr>
          <w:rFonts w:ascii="Times New Roman" w:hAnsi="宋体" w:eastAsia="宋体" w:cs="Times New Roman"/>
          <w:szCs w:val="24"/>
        </w:rPr>
      </w:pPr>
    </w:p>
    <w:p>
      <w:pPr>
        <w:spacing w:before="156" w:beforeLines="50" w:after="156" w:afterLines="50"/>
        <w:ind w:firstLine="640" w:firstLineChars="200"/>
        <w:jc w:val="left"/>
        <w:outlineLvl w:val="2"/>
        <w:rPr>
          <w:rFonts w:ascii="Times New Roman" w:hAnsi="宋体" w:eastAsia="宋体" w:cs="Times New Roman"/>
          <w:sz w:val="32"/>
          <w:szCs w:val="24"/>
        </w:rPr>
      </w:pPr>
      <w:bookmarkStart w:id="17" w:name="_Toc68781231"/>
      <w:r>
        <w:rPr>
          <w:rFonts w:hint="eastAsia" w:ascii="黑体" w:hAnsi="黑体" w:eastAsia="黑体" w:cs="Times New Roman"/>
          <w:sz w:val="32"/>
          <w:szCs w:val="24"/>
        </w:rPr>
        <w:t>七、国有资产信息</w:t>
      </w:r>
      <w:bookmarkEnd w:id="17"/>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石家庄市鹿泉区红十字会（含所属单位）上年末固定资产金额为16.94万元（详见下表）。本年度拟购置固定资产总额为0.00万元，已按要求列入政府采购预算，详见政府采购预算表。</w:t>
      </w:r>
    </w:p>
    <w:p>
      <w:pPr>
        <w:jc w:val="center"/>
        <w:rPr>
          <w:rFonts w:ascii="方正小标宋_GBK" w:hAnsi="Times New Roman" w:eastAsia="方正小标宋_GBK" w:cs="Times New Roman"/>
          <w:sz w:val="36"/>
          <w:szCs w:val="24"/>
        </w:rPr>
      </w:pPr>
      <w:r>
        <w:rPr>
          <w:rFonts w:hint="eastAsia" w:ascii="方正小标宋_GBK" w:hAnsi="Times New Roman" w:eastAsia="方正小标宋_GBK" w:cs="Times New Roman"/>
          <w:sz w:val="36"/>
          <w:szCs w:val="24"/>
        </w:rPr>
        <w:t>部门固定资产占用情况表</w:t>
      </w:r>
    </w:p>
    <w:p>
      <w:pPr>
        <w:jc w:val="center"/>
        <w:rPr>
          <w:rFonts w:ascii="方正小标宋_GBK" w:hAnsi="Times New Roman" w:eastAsia="方正小标宋_GBK" w:cs="Times New Roman"/>
          <w:sz w:val="36"/>
          <w:szCs w:val="24"/>
        </w:rPr>
      </w:pPr>
    </w:p>
    <w:tbl>
      <w:tblPr>
        <w:tblStyle w:val="10"/>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1"/>
        <w:gridCol w:w="3390"/>
        <w:gridCol w:w="37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5921" w:type="dxa"/>
            <w:tcBorders>
              <w:top w:val="single" w:color="FFFFFF" w:sz="6" w:space="0"/>
              <w:left w:val="single" w:color="FFFFFF" w:sz="6" w:space="0"/>
              <w:right w:val="single" w:color="FFFFFF" w:sz="6" w:space="0"/>
            </w:tcBorders>
            <w:vAlign w:val="center"/>
          </w:tcPr>
          <w:p>
            <w:pPr>
              <w:spacing w:line="300" w:lineRule="exact"/>
              <w:jc w:val="left"/>
              <w:rPr>
                <w:rFonts w:ascii="方正小标宋_GBK" w:hAnsi="Times New Roman" w:eastAsia="方正小标宋_GBK" w:cs="Times New Roman"/>
                <w:sz w:val="24"/>
                <w:szCs w:val="24"/>
              </w:rPr>
            </w:pPr>
            <w:r>
              <w:rPr>
                <w:rFonts w:hint="eastAsia" w:ascii="方正小标宋_GBK" w:eastAsia="方正小标宋_GBK"/>
                <w:sz w:val="24"/>
              </w:rPr>
              <w:t>717石家庄市鹿泉区红十字会</w:t>
            </w:r>
          </w:p>
        </w:tc>
        <w:tc>
          <w:tcPr>
            <w:tcW w:w="7119"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小标宋_GBK" w:hAnsi="Times New Roman" w:eastAsia="方正小标宋_GBK" w:cs="Times New Roman"/>
                <w:sz w:val="24"/>
                <w:szCs w:val="24"/>
              </w:rPr>
            </w:pPr>
            <w:r>
              <w:rPr>
                <w:rFonts w:hint="eastAsia" w:ascii="方正小标宋_GBK" w:hAnsi="Times New Roman" w:eastAsia="方正小标宋_GBK" w:cs="Times New Roman"/>
                <w:sz w:val="24"/>
                <w:szCs w:val="24"/>
              </w:rPr>
              <w:t>截止时间：</w:t>
            </w:r>
            <w:r>
              <w:rPr>
                <w:rFonts w:ascii="方正小标宋_GBK" w:hAnsi="Times New Roman" w:eastAsia="方正小标宋_GBK" w:cs="Times New Roman"/>
                <w:sz w:val="24"/>
                <w:szCs w:val="24"/>
              </w:rPr>
              <w:t>202</w:t>
            </w:r>
            <w:r>
              <w:rPr>
                <w:rFonts w:hint="eastAsia" w:ascii="方正小标宋_GBK" w:hAnsi="Times New Roman" w:eastAsia="方正小标宋_GBK" w:cs="Times New Roman"/>
                <w:sz w:val="24"/>
                <w:szCs w:val="24"/>
              </w:rPr>
              <w:t>0</w:t>
            </w:r>
            <w:r>
              <w:rPr>
                <w:rFonts w:ascii="方正小标宋_GBK" w:hAnsi="Times New Roman" w:eastAsia="方正小标宋_GBK" w:cs="Times New Roman"/>
                <w:sz w:val="24"/>
                <w:szCs w:val="24"/>
              </w:rP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30" w:hRule="atLeast"/>
          <w:tblHeader/>
          <w:jc w:val="center"/>
        </w:trPr>
        <w:tc>
          <w:tcPr>
            <w:tcW w:w="5921"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项   目</w:t>
            </w:r>
          </w:p>
        </w:tc>
        <w:tc>
          <w:tcPr>
            <w:tcW w:w="3390"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数量</w:t>
            </w:r>
          </w:p>
        </w:tc>
        <w:tc>
          <w:tcPr>
            <w:tcW w:w="3729" w:type="dxa"/>
            <w:vAlign w:val="center"/>
          </w:tcPr>
          <w:p>
            <w:pPr>
              <w:spacing w:line="300" w:lineRule="exact"/>
              <w:jc w:val="center"/>
              <w:rPr>
                <w:rFonts w:ascii="方正书宋_GBK" w:hAnsi="Times New Roman" w:eastAsia="方正书宋_GBK" w:cs="Times New Roman"/>
                <w:b/>
                <w:szCs w:val="24"/>
              </w:rPr>
            </w:pPr>
            <w:r>
              <w:rPr>
                <w:rFonts w:hint="eastAsia" w:ascii="仿宋_GB2312" w:hAnsi="仿宋_GB2312" w:eastAsia="仿宋_GB2312" w:cs="仿宋_GB2312"/>
                <w:kern w:val="0"/>
                <w:sz w:val="32"/>
                <w:szCs w:val="32"/>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center"/>
              <w:rPr>
                <w:rFonts w:ascii="宋体" w:hAnsi="宋体" w:eastAsia="宋体" w:cs="宋体"/>
                <w:kern w:val="0"/>
                <w:sz w:val="22"/>
              </w:rPr>
            </w:pPr>
            <w:r>
              <w:rPr>
                <w:rFonts w:hint="eastAsia" w:ascii="宋体" w:hAnsi="宋体" w:eastAsia="宋体" w:cs="宋体"/>
                <w:kern w:val="0"/>
                <w:sz w:val="22"/>
              </w:rPr>
              <w:t>资产总额</w:t>
            </w:r>
          </w:p>
        </w:tc>
        <w:tc>
          <w:tcPr>
            <w:tcW w:w="3390" w:type="dxa"/>
            <w:vAlign w:val="center"/>
          </w:tcPr>
          <w:p>
            <w:pPr>
              <w:widowControl/>
              <w:jc w:val="center"/>
              <w:rPr>
                <w:rFonts w:ascii="Times New Roman" w:hAnsi="Times New Roman" w:eastAsia="宋体" w:cs="Times New Roman"/>
                <w:kern w:val="0"/>
                <w:sz w:val="22"/>
              </w:rPr>
            </w:pPr>
            <w:r>
              <w:rPr>
                <w:rFonts w:ascii="Times New Roman" w:hAnsi="Times New Roman" w:eastAsia="宋体" w:cs="Times New Roman"/>
                <w:kern w:val="0"/>
                <w:sz w:val="22"/>
              </w:rPr>
              <w:t>——</w:t>
            </w:r>
          </w:p>
        </w:tc>
        <w:tc>
          <w:tcPr>
            <w:tcW w:w="3729" w:type="dxa"/>
            <w:vAlign w:val="center"/>
          </w:tcPr>
          <w:p>
            <w:pPr>
              <w:widowControl/>
              <w:jc w:val="center"/>
              <w:rPr>
                <w:rFonts w:ascii="Times New Roman" w:hAnsi="Times New Roman" w:eastAsia="宋体" w:cs="Times New Roman"/>
                <w:kern w:val="0"/>
                <w:sz w:val="22"/>
              </w:rPr>
            </w:pPr>
            <w:r>
              <w:rPr>
                <w:rFonts w:hint="eastAsia" w:ascii="Times New Roman" w:hAnsi="Times New Roman" w:eastAsia="宋体" w:cs="Times New Roman"/>
                <w:kern w:val="0"/>
                <w:sz w:val="22"/>
              </w:rPr>
              <w:t>16.94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1、房屋（平方米）</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 xml:space="preserve">   其中：办公用房（平方米）</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2、车辆（台、辆）</w:t>
            </w:r>
          </w:p>
        </w:tc>
        <w:tc>
          <w:tcPr>
            <w:tcW w:w="3390" w:type="dxa"/>
            <w:vAlign w:val="center"/>
          </w:tcPr>
          <w:p>
            <w:pPr>
              <w:jc w:val="center"/>
              <w:rPr>
                <w:rFonts w:ascii="Times New Roman" w:hAnsi="Times New Roman" w:cs="Times New Roman"/>
                <w:sz w:val="22"/>
              </w:rPr>
            </w:pPr>
            <w:r>
              <w:rPr>
                <w:rFonts w:hint="eastAsia" w:ascii="Times New Roman" w:hAnsi="Times New Roman" w:cs="Times New Roman"/>
                <w:sz w:val="22"/>
              </w:rPr>
              <w:t>1</w:t>
            </w:r>
          </w:p>
        </w:tc>
        <w:tc>
          <w:tcPr>
            <w:tcW w:w="3729" w:type="dxa"/>
            <w:vAlign w:val="center"/>
          </w:tcPr>
          <w:p>
            <w:pPr>
              <w:jc w:val="center"/>
              <w:rPr>
                <w:rFonts w:ascii="Times New Roman" w:hAnsi="Times New Roman" w:cs="Times New Roman"/>
                <w:sz w:val="22"/>
              </w:rPr>
            </w:pPr>
            <w:r>
              <w:rPr>
                <w:rFonts w:hint="eastAsia" w:ascii="Times New Roman" w:hAnsi="Times New Roman" w:cs="Times New Roman"/>
                <w:sz w:val="22"/>
              </w:rPr>
              <w:t>6.32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3、单价在20万元以上的设备</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5921" w:type="dxa"/>
            <w:vAlign w:val="center"/>
          </w:tcPr>
          <w:p>
            <w:pPr>
              <w:widowControl/>
              <w:jc w:val="left"/>
              <w:rPr>
                <w:rFonts w:ascii="宋体" w:hAnsi="宋体" w:eastAsia="宋体" w:cs="宋体"/>
                <w:kern w:val="0"/>
                <w:sz w:val="22"/>
              </w:rPr>
            </w:pPr>
            <w:r>
              <w:rPr>
                <w:rFonts w:hint="eastAsia" w:ascii="宋体" w:hAnsi="宋体" w:eastAsia="宋体" w:cs="宋体"/>
                <w:kern w:val="0"/>
                <w:sz w:val="22"/>
              </w:rPr>
              <w:t>4、其他固定资产</w:t>
            </w:r>
          </w:p>
        </w:tc>
        <w:tc>
          <w:tcPr>
            <w:tcW w:w="3390" w:type="dxa"/>
            <w:vAlign w:val="center"/>
          </w:tcPr>
          <w:p>
            <w:pPr>
              <w:jc w:val="center"/>
              <w:rPr>
                <w:rFonts w:ascii="Times New Roman" w:hAnsi="Times New Roman" w:cs="Times New Roman"/>
                <w:sz w:val="22"/>
              </w:rPr>
            </w:pPr>
          </w:p>
        </w:tc>
        <w:tc>
          <w:tcPr>
            <w:tcW w:w="3729" w:type="dxa"/>
            <w:vAlign w:val="center"/>
          </w:tcPr>
          <w:p>
            <w:pPr>
              <w:jc w:val="center"/>
              <w:rPr>
                <w:rFonts w:ascii="Times New Roman" w:hAnsi="Times New Roman" w:cs="Times New Roman"/>
                <w:sz w:val="22"/>
              </w:rPr>
            </w:pPr>
            <w:r>
              <w:rPr>
                <w:rFonts w:hint="eastAsia" w:ascii="Times New Roman" w:hAnsi="Times New Roman" w:cs="Times New Roman"/>
                <w:sz w:val="22"/>
              </w:rPr>
              <w:t>10.62</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1、一般公共预算拨款收入：指区级财政当年拨付的资金。</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2、事业收入：指事业单位开展专业业务活动及辅助活动所取得的收入。</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3、其他收入：指除“一般公共预算拨款收入”、“事业收入”等以外的收入。主要是按规定动用的租房收入、存款利息收入等。</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4、基本支出：指为保障机构正常运转、完成日常工作任务而发生的人员支出和公用支出。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5、项目支出：指在基本支出之外为完成特定行政任务和事业发展目标所发生的支出。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6、上缴上级支出：指下级单位上缴上级的支出。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7、“三公”经费：纳入区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9、上年结转：指以前年度尚未完成、结转到本年仍按原规定用途继续使用的资金。</w:t>
      </w:r>
    </w:p>
    <w:p>
      <w:pPr>
        <w:spacing w:line="500" w:lineRule="exact"/>
        <w:ind w:firstLine="560" w:firstLineChars="200"/>
        <w:jc w:val="left"/>
        <w:rPr>
          <w:rFonts w:ascii="Times New Roman" w:hAnsi="Times New Roman" w:eastAsia="方正仿宋_GBK" w:cs="Times New Roman"/>
          <w:sz w:val="28"/>
          <w:szCs w:val="24"/>
        </w:rPr>
      </w:pPr>
      <w:r>
        <w:rPr>
          <w:rFonts w:hint="eastAsia" w:ascii="Times New Roman" w:hAnsi="Times New Roman" w:eastAsia="方正仿宋_GBK" w:cs="Times New Roman"/>
          <w:sz w:val="28"/>
          <w:szCs w:val="24"/>
        </w:rPr>
        <w:t>10、事业单位经营支出：指事业单位在专业业务活动及其辅助活动之外开展非独立核算经营活动发生的支出。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黑体" w:hAnsi="黑体" w:eastAsia="黑体" w:cs="黑体"/>
          <w:sz w:val="32"/>
          <w:szCs w:val="32"/>
        </w:rPr>
        <w:t>九、其他需要说明的事项</w:t>
      </w:r>
    </w:p>
    <w:p>
      <w:pPr>
        <w:spacing w:line="500" w:lineRule="exact"/>
        <w:ind w:firstLine="560" w:firstLineChars="200"/>
        <w:jc w:val="left"/>
        <w:rPr>
          <w:rFonts w:hAnsi="宋体"/>
          <w:sz w:val="28"/>
        </w:rPr>
        <w:sectPr>
          <w:pgSz w:w="16839" w:h="11907" w:orient="landscape"/>
          <w:pgMar w:top="1361" w:right="1020" w:bottom="1361" w:left="1020" w:header="851" w:footer="992" w:gutter="0"/>
          <w:cols w:space="720" w:num="1"/>
          <w:docGrid w:type="lines" w:linePitch="312" w:charSpace="0"/>
        </w:sectPr>
      </w:pPr>
      <w:r>
        <w:rPr>
          <w:rFonts w:hint="eastAsia" w:eastAsia="方正仿宋_GBK"/>
          <w:sz w:val="28"/>
        </w:rPr>
        <w:t>我部门无其他需要说明的事项。</w:t>
      </w:r>
    </w:p>
    <w:p>
      <w:pPr>
        <w:ind w:firstLine="640" w:firstLineChars="200"/>
        <w:rPr>
          <w:rFonts w:ascii="仿宋" w:hAnsi="仿宋" w:eastAsia="仿宋_GB2312" w:cs="仿宋"/>
          <w:sz w:val="32"/>
          <w:szCs w:val="32"/>
        </w:rPr>
      </w:pPr>
    </w:p>
    <w:sectPr>
      <w:pgSz w:w="16838" w:h="11906" w:orient="landscape"/>
      <w:pgMar w:top="1800" w:right="1440" w:bottom="1800" w:left="1440"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楷体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10" w:usb3="00000000" w:csb0="00040000"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2"/>
      </w:rPr>
    </w:pPr>
    <w:r>
      <w:fldChar w:fldCharType="begin"/>
    </w:r>
    <w:r>
      <w:rPr>
        <w:rStyle w:val="12"/>
      </w:rPr>
      <w:instrText xml:space="preserve">PAGE  </w:instrText>
    </w:r>
    <w:r>
      <w:fldChar w:fldCharType="separate"/>
    </w:r>
    <w:r>
      <w:rPr>
        <w:rStyle w:val="12"/>
      </w:rPr>
      <w:t>1</w:t>
    </w:r>
    <w:r>
      <w:fldChar w:fldCharType="end"/>
    </w:r>
  </w:p>
  <w:p>
    <w:pPr>
      <w:pStyle w:val="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outside" w:y="1"/>
      <w:rPr>
        <w:rStyle w:val="12"/>
      </w:rPr>
    </w:pPr>
    <w:r>
      <w:fldChar w:fldCharType="begin"/>
    </w:r>
    <w:r>
      <w:rPr>
        <w:rStyle w:val="12"/>
      </w:rPr>
      <w:instrText xml:space="preserve">PAGE  </w:instrText>
    </w:r>
    <w:r>
      <w:fldChar w:fldCharType="separate"/>
    </w:r>
    <w:r>
      <w:rPr>
        <w:rStyle w:val="12"/>
      </w:rPr>
      <w:t>2</w:t>
    </w:r>
    <w:r>
      <w:fldChar w:fldCharType="end"/>
    </w:r>
  </w:p>
  <w:p>
    <w:pPr>
      <w:pStyle w:val="4"/>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156"/>
  <w:displayHorizontalDrawingGridEvery w:val="2"/>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TM2NWYxN2I4OWVmMWUzYmE4MGJiZTdiNTczMGVhNjYifQ=="/>
  </w:docVars>
  <w:rsids>
    <w:rsidRoot w:val="00172A27"/>
    <w:rsid w:val="00026DDF"/>
    <w:rsid w:val="00034786"/>
    <w:rsid w:val="00037AF6"/>
    <w:rsid w:val="00042F57"/>
    <w:rsid w:val="0006483E"/>
    <w:rsid w:val="00075D5F"/>
    <w:rsid w:val="0008102F"/>
    <w:rsid w:val="000B529B"/>
    <w:rsid w:val="000C3A19"/>
    <w:rsid w:val="001245BB"/>
    <w:rsid w:val="001251A3"/>
    <w:rsid w:val="00165294"/>
    <w:rsid w:val="00172A27"/>
    <w:rsid w:val="00182E36"/>
    <w:rsid w:val="001B4EF3"/>
    <w:rsid w:val="001F7873"/>
    <w:rsid w:val="00241FD4"/>
    <w:rsid w:val="00251B12"/>
    <w:rsid w:val="00295B60"/>
    <w:rsid w:val="00296113"/>
    <w:rsid w:val="002A673A"/>
    <w:rsid w:val="002C07BE"/>
    <w:rsid w:val="002C5E13"/>
    <w:rsid w:val="002C62BC"/>
    <w:rsid w:val="002E0EB8"/>
    <w:rsid w:val="002F3E58"/>
    <w:rsid w:val="0030542C"/>
    <w:rsid w:val="00311B7A"/>
    <w:rsid w:val="003369A9"/>
    <w:rsid w:val="00341103"/>
    <w:rsid w:val="00352587"/>
    <w:rsid w:val="00372FA3"/>
    <w:rsid w:val="003D417F"/>
    <w:rsid w:val="003E3465"/>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0ED2"/>
    <w:rsid w:val="006E49F5"/>
    <w:rsid w:val="007013C8"/>
    <w:rsid w:val="00717B1E"/>
    <w:rsid w:val="00753836"/>
    <w:rsid w:val="0075393C"/>
    <w:rsid w:val="00754592"/>
    <w:rsid w:val="00776C08"/>
    <w:rsid w:val="007C219A"/>
    <w:rsid w:val="007E0F4C"/>
    <w:rsid w:val="007E1DA8"/>
    <w:rsid w:val="007F6C26"/>
    <w:rsid w:val="00813208"/>
    <w:rsid w:val="008334AE"/>
    <w:rsid w:val="00836FED"/>
    <w:rsid w:val="0083724E"/>
    <w:rsid w:val="00845CD2"/>
    <w:rsid w:val="00852B0D"/>
    <w:rsid w:val="00881692"/>
    <w:rsid w:val="00883D1A"/>
    <w:rsid w:val="008A25C2"/>
    <w:rsid w:val="008A6576"/>
    <w:rsid w:val="008B3CC5"/>
    <w:rsid w:val="008B52CD"/>
    <w:rsid w:val="008C13CA"/>
    <w:rsid w:val="008E4261"/>
    <w:rsid w:val="008F4662"/>
    <w:rsid w:val="008F53FA"/>
    <w:rsid w:val="00905D08"/>
    <w:rsid w:val="00922AEB"/>
    <w:rsid w:val="00925753"/>
    <w:rsid w:val="009425F4"/>
    <w:rsid w:val="00966C5C"/>
    <w:rsid w:val="00973104"/>
    <w:rsid w:val="00995BF0"/>
    <w:rsid w:val="009A16D5"/>
    <w:rsid w:val="009A353D"/>
    <w:rsid w:val="009B0B77"/>
    <w:rsid w:val="009B511E"/>
    <w:rsid w:val="009C181E"/>
    <w:rsid w:val="009C1FF4"/>
    <w:rsid w:val="00A418F1"/>
    <w:rsid w:val="00A44E3D"/>
    <w:rsid w:val="00A72D2E"/>
    <w:rsid w:val="00A74447"/>
    <w:rsid w:val="00A74CE5"/>
    <w:rsid w:val="00A911E7"/>
    <w:rsid w:val="00A939D9"/>
    <w:rsid w:val="00AE606A"/>
    <w:rsid w:val="00B07D9E"/>
    <w:rsid w:val="00B20712"/>
    <w:rsid w:val="00B43238"/>
    <w:rsid w:val="00B45DD3"/>
    <w:rsid w:val="00B52632"/>
    <w:rsid w:val="00B727A9"/>
    <w:rsid w:val="00B75216"/>
    <w:rsid w:val="00B91D52"/>
    <w:rsid w:val="00B9490F"/>
    <w:rsid w:val="00BA1ACD"/>
    <w:rsid w:val="00BD09F8"/>
    <w:rsid w:val="00BF1A7A"/>
    <w:rsid w:val="00C20172"/>
    <w:rsid w:val="00CA7176"/>
    <w:rsid w:val="00CB3D48"/>
    <w:rsid w:val="00CB4665"/>
    <w:rsid w:val="00CC75B0"/>
    <w:rsid w:val="00CD2773"/>
    <w:rsid w:val="00CE143B"/>
    <w:rsid w:val="00D0024A"/>
    <w:rsid w:val="00D27003"/>
    <w:rsid w:val="00DB1583"/>
    <w:rsid w:val="00DB4A9B"/>
    <w:rsid w:val="00DD64DA"/>
    <w:rsid w:val="00E167C7"/>
    <w:rsid w:val="00E17B0A"/>
    <w:rsid w:val="00E2482E"/>
    <w:rsid w:val="00E73D47"/>
    <w:rsid w:val="00E95F1E"/>
    <w:rsid w:val="00EA5173"/>
    <w:rsid w:val="00EC47F6"/>
    <w:rsid w:val="00EE156D"/>
    <w:rsid w:val="00EE65B8"/>
    <w:rsid w:val="00F149E2"/>
    <w:rsid w:val="00F376A7"/>
    <w:rsid w:val="00F66032"/>
    <w:rsid w:val="00F87C1E"/>
    <w:rsid w:val="00F958C2"/>
    <w:rsid w:val="02732879"/>
    <w:rsid w:val="02D944BB"/>
    <w:rsid w:val="035924B5"/>
    <w:rsid w:val="05613117"/>
    <w:rsid w:val="05871A15"/>
    <w:rsid w:val="07BA28D2"/>
    <w:rsid w:val="07C21DA1"/>
    <w:rsid w:val="09A25201"/>
    <w:rsid w:val="0A8B1571"/>
    <w:rsid w:val="0B3C5C9C"/>
    <w:rsid w:val="0B570169"/>
    <w:rsid w:val="0B7E1194"/>
    <w:rsid w:val="0BCA2F7C"/>
    <w:rsid w:val="0C0B7A2A"/>
    <w:rsid w:val="0C4A6CD6"/>
    <w:rsid w:val="0DB528AB"/>
    <w:rsid w:val="0E390D6C"/>
    <w:rsid w:val="0EAC58DB"/>
    <w:rsid w:val="0EB63C89"/>
    <w:rsid w:val="0F2B617A"/>
    <w:rsid w:val="100A43A6"/>
    <w:rsid w:val="10C61939"/>
    <w:rsid w:val="10D34BF2"/>
    <w:rsid w:val="11ED1EA6"/>
    <w:rsid w:val="127D479D"/>
    <w:rsid w:val="13E670DA"/>
    <w:rsid w:val="15722007"/>
    <w:rsid w:val="15C84085"/>
    <w:rsid w:val="16302B54"/>
    <w:rsid w:val="16474597"/>
    <w:rsid w:val="165F1059"/>
    <w:rsid w:val="16B24D23"/>
    <w:rsid w:val="17090292"/>
    <w:rsid w:val="17FF6313"/>
    <w:rsid w:val="18BA09B0"/>
    <w:rsid w:val="193D5CAC"/>
    <w:rsid w:val="19495B8A"/>
    <w:rsid w:val="195314DB"/>
    <w:rsid w:val="19676CE4"/>
    <w:rsid w:val="196F041F"/>
    <w:rsid w:val="1C8538ED"/>
    <w:rsid w:val="1C8655AD"/>
    <w:rsid w:val="1C91111D"/>
    <w:rsid w:val="1CF631E4"/>
    <w:rsid w:val="1D5F60DA"/>
    <w:rsid w:val="1E666007"/>
    <w:rsid w:val="20417E25"/>
    <w:rsid w:val="20836316"/>
    <w:rsid w:val="20E046CE"/>
    <w:rsid w:val="212267DE"/>
    <w:rsid w:val="219E0640"/>
    <w:rsid w:val="21E82BAB"/>
    <w:rsid w:val="220934C5"/>
    <w:rsid w:val="228A017B"/>
    <w:rsid w:val="23201C70"/>
    <w:rsid w:val="23220731"/>
    <w:rsid w:val="23550B0A"/>
    <w:rsid w:val="247E10BD"/>
    <w:rsid w:val="2521706D"/>
    <w:rsid w:val="25E31CDC"/>
    <w:rsid w:val="266E6B76"/>
    <w:rsid w:val="26B70EC3"/>
    <w:rsid w:val="26DB75F2"/>
    <w:rsid w:val="27A24238"/>
    <w:rsid w:val="282C12AD"/>
    <w:rsid w:val="289B2BA4"/>
    <w:rsid w:val="28DA630C"/>
    <w:rsid w:val="296B218D"/>
    <w:rsid w:val="2AD71290"/>
    <w:rsid w:val="2B31465E"/>
    <w:rsid w:val="2B4F6594"/>
    <w:rsid w:val="2B5A1820"/>
    <w:rsid w:val="2B9D45B1"/>
    <w:rsid w:val="2D043C27"/>
    <w:rsid w:val="2D1C7470"/>
    <w:rsid w:val="2D2607CE"/>
    <w:rsid w:val="2D2A1A88"/>
    <w:rsid w:val="2DF31A76"/>
    <w:rsid w:val="2E1A1DF7"/>
    <w:rsid w:val="30247D84"/>
    <w:rsid w:val="305D6A86"/>
    <w:rsid w:val="30F83A57"/>
    <w:rsid w:val="31444CA9"/>
    <w:rsid w:val="315141D6"/>
    <w:rsid w:val="31B00EE3"/>
    <w:rsid w:val="31E01CB1"/>
    <w:rsid w:val="322D3D6A"/>
    <w:rsid w:val="34726DF7"/>
    <w:rsid w:val="35213658"/>
    <w:rsid w:val="36142231"/>
    <w:rsid w:val="36371A8D"/>
    <w:rsid w:val="36801CC7"/>
    <w:rsid w:val="37626135"/>
    <w:rsid w:val="37E84A5F"/>
    <w:rsid w:val="382725A2"/>
    <w:rsid w:val="385178A7"/>
    <w:rsid w:val="38AD0DBD"/>
    <w:rsid w:val="39D1586A"/>
    <w:rsid w:val="3B18586E"/>
    <w:rsid w:val="3B4B7745"/>
    <w:rsid w:val="3BD77022"/>
    <w:rsid w:val="3D3B245B"/>
    <w:rsid w:val="3E3006E5"/>
    <w:rsid w:val="3E760EBB"/>
    <w:rsid w:val="3F235E0C"/>
    <w:rsid w:val="40CA6425"/>
    <w:rsid w:val="41B9725A"/>
    <w:rsid w:val="421E2621"/>
    <w:rsid w:val="42605D47"/>
    <w:rsid w:val="42DC4800"/>
    <w:rsid w:val="43140359"/>
    <w:rsid w:val="43947E4A"/>
    <w:rsid w:val="44451DF5"/>
    <w:rsid w:val="44882599"/>
    <w:rsid w:val="45706A3C"/>
    <w:rsid w:val="460C412B"/>
    <w:rsid w:val="46241098"/>
    <w:rsid w:val="464940F6"/>
    <w:rsid w:val="485458B8"/>
    <w:rsid w:val="488A0CA3"/>
    <w:rsid w:val="4A037B13"/>
    <w:rsid w:val="4AE852AA"/>
    <w:rsid w:val="4B5B3AE0"/>
    <w:rsid w:val="4B675DB7"/>
    <w:rsid w:val="4C6E1FB9"/>
    <w:rsid w:val="4C7F28CA"/>
    <w:rsid w:val="4C91638B"/>
    <w:rsid w:val="4CEF6D6B"/>
    <w:rsid w:val="4D993254"/>
    <w:rsid w:val="4F3E4435"/>
    <w:rsid w:val="4F5B3927"/>
    <w:rsid w:val="4F8243F0"/>
    <w:rsid w:val="4FFF2D7B"/>
    <w:rsid w:val="50993B34"/>
    <w:rsid w:val="50D1080A"/>
    <w:rsid w:val="50FC1C8F"/>
    <w:rsid w:val="510D2AA8"/>
    <w:rsid w:val="53A6481E"/>
    <w:rsid w:val="54343E57"/>
    <w:rsid w:val="543B761B"/>
    <w:rsid w:val="546033AD"/>
    <w:rsid w:val="54FE0AD6"/>
    <w:rsid w:val="55625B8E"/>
    <w:rsid w:val="556A5192"/>
    <w:rsid w:val="56114643"/>
    <w:rsid w:val="56636A9E"/>
    <w:rsid w:val="56D35932"/>
    <w:rsid w:val="56D8067C"/>
    <w:rsid w:val="56FF4267"/>
    <w:rsid w:val="57457B39"/>
    <w:rsid w:val="58DB167F"/>
    <w:rsid w:val="599D4970"/>
    <w:rsid w:val="59E96214"/>
    <w:rsid w:val="5B036F63"/>
    <w:rsid w:val="5BA03CBE"/>
    <w:rsid w:val="5BAA661F"/>
    <w:rsid w:val="5BE14FC7"/>
    <w:rsid w:val="5BFC29DC"/>
    <w:rsid w:val="5C343687"/>
    <w:rsid w:val="5D1A6893"/>
    <w:rsid w:val="5D4B1BD6"/>
    <w:rsid w:val="5D651957"/>
    <w:rsid w:val="5D79437D"/>
    <w:rsid w:val="5D9F40E8"/>
    <w:rsid w:val="5DC0236F"/>
    <w:rsid w:val="5EAA1AAF"/>
    <w:rsid w:val="5F0A367E"/>
    <w:rsid w:val="5F0E4EA4"/>
    <w:rsid w:val="5FEC51C7"/>
    <w:rsid w:val="615F255D"/>
    <w:rsid w:val="618172C6"/>
    <w:rsid w:val="61DE15B3"/>
    <w:rsid w:val="61EE1789"/>
    <w:rsid w:val="626B41EF"/>
    <w:rsid w:val="62D540FF"/>
    <w:rsid w:val="6485079D"/>
    <w:rsid w:val="64B65823"/>
    <w:rsid w:val="64EA7D01"/>
    <w:rsid w:val="665750DE"/>
    <w:rsid w:val="667908B2"/>
    <w:rsid w:val="66D01162"/>
    <w:rsid w:val="671A1A1B"/>
    <w:rsid w:val="67516E4A"/>
    <w:rsid w:val="69010AEC"/>
    <w:rsid w:val="69026139"/>
    <w:rsid w:val="692A51B4"/>
    <w:rsid w:val="6AB70ACF"/>
    <w:rsid w:val="6AB84F9D"/>
    <w:rsid w:val="6AED3DAF"/>
    <w:rsid w:val="6C2B2197"/>
    <w:rsid w:val="6C8F7214"/>
    <w:rsid w:val="6D9504C8"/>
    <w:rsid w:val="6E441592"/>
    <w:rsid w:val="6FFD4D9E"/>
    <w:rsid w:val="7040179B"/>
    <w:rsid w:val="70A3184F"/>
    <w:rsid w:val="72410815"/>
    <w:rsid w:val="72555160"/>
    <w:rsid w:val="725E663B"/>
    <w:rsid w:val="7298763E"/>
    <w:rsid w:val="72BF5C0B"/>
    <w:rsid w:val="744A1E6E"/>
    <w:rsid w:val="74A13C31"/>
    <w:rsid w:val="74C34084"/>
    <w:rsid w:val="74CF5B9C"/>
    <w:rsid w:val="7579607C"/>
    <w:rsid w:val="75B76C36"/>
    <w:rsid w:val="7607416F"/>
    <w:rsid w:val="762C3C08"/>
    <w:rsid w:val="774D0DB6"/>
    <w:rsid w:val="77814682"/>
    <w:rsid w:val="78996F2C"/>
    <w:rsid w:val="79217B3D"/>
    <w:rsid w:val="799314ED"/>
    <w:rsid w:val="7B875273"/>
    <w:rsid w:val="7BC23737"/>
    <w:rsid w:val="7C3E3619"/>
    <w:rsid w:val="7D6763F3"/>
    <w:rsid w:val="7DBA777C"/>
    <w:rsid w:val="7F3373FA"/>
    <w:rsid w:val="7FBB4F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name="toc 3"/>
    <w:lsdException w:unhideWhenUsed="0" w:uiPriority="0"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autoRedefine/>
    <w:semiHidden/>
    <w:unhideWhenUsed/>
    <w:qFormat/>
    <w:uiPriority w:val="1"/>
  </w:style>
  <w:style w:type="table" w:default="1" w:styleId="10">
    <w:name w:val="Normal Table"/>
    <w:autoRedefine/>
    <w:semiHidden/>
    <w:unhideWhenUsed/>
    <w:uiPriority w:val="99"/>
    <w:tblPr>
      <w:tblCellMar>
        <w:top w:w="0" w:type="dxa"/>
        <w:left w:w="108" w:type="dxa"/>
        <w:bottom w:w="0" w:type="dxa"/>
        <w:right w:w="108" w:type="dxa"/>
      </w:tblCellMar>
    </w:tblPr>
  </w:style>
  <w:style w:type="paragraph" w:styleId="2">
    <w:name w:val="toc 3"/>
    <w:basedOn w:val="1"/>
    <w:next w:val="1"/>
    <w:autoRedefine/>
    <w:semiHidden/>
    <w:qFormat/>
    <w:uiPriority w:val="0"/>
    <w:pPr>
      <w:ind w:left="840" w:leftChars="400"/>
    </w:pPr>
    <w:rPr>
      <w:rFonts w:ascii="Times New Roman" w:hAnsi="Times New Roman" w:eastAsia="宋体" w:cs="Times New Roman"/>
      <w:szCs w:val="24"/>
    </w:rPr>
  </w:style>
  <w:style w:type="paragraph" w:styleId="3">
    <w:name w:val="Balloon Text"/>
    <w:basedOn w:val="1"/>
    <w:link w:val="17"/>
    <w:autoRedefine/>
    <w:unhideWhenUsed/>
    <w:qFormat/>
    <w:uiPriority w:val="99"/>
    <w:rPr>
      <w:sz w:val="18"/>
      <w:szCs w:val="18"/>
    </w:rPr>
  </w:style>
  <w:style w:type="paragraph" w:styleId="4">
    <w:name w:val="footer"/>
    <w:basedOn w:val="1"/>
    <w:link w:val="16"/>
    <w:autoRedefine/>
    <w:qFormat/>
    <w:uiPriority w:val="0"/>
    <w:pPr>
      <w:tabs>
        <w:tab w:val="center" w:pos="4153"/>
        <w:tab w:val="right" w:pos="8306"/>
      </w:tabs>
      <w:snapToGrid w:val="0"/>
      <w:jc w:val="left"/>
    </w:pPr>
    <w:rPr>
      <w:rFonts w:ascii="Times New Roman" w:hAnsi="Times New Roman" w:eastAsia="宋体" w:cs="Times New Roman"/>
      <w:sz w:val="18"/>
      <w:szCs w:val="18"/>
    </w:rPr>
  </w:style>
  <w:style w:type="paragraph" w:styleId="5">
    <w:name w:val="header"/>
    <w:basedOn w:val="1"/>
    <w:link w:val="15"/>
    <w:autoRedefine/>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6">
    <w:name w:val="toc 1"/>
    <w:basedOn w:val="1"/>
    <w:next w:val="1"/>
    <w:qFormat/>
    <w:uiPriority w:val="39"/>
    <w:rPr>
      <w:rFonts w:ascii="Times New Roman" w:hAnsi="Times New Roman" w:eastAsia="宋体" w:cs="Times New Roman"/>
      <w:szCs w:val="24"/>
    </w:rPr>
  </w:style>
  <w:style w:type="paragraph" w:styleId="7">
    <w:name w:val="toc 4"/>
    <w:basedOn w:val="1"/>
    <w:next w:val="1"/>
    <w:autoRedefine/>
    <w:semiHidden/>
    <w:uiPriority w:val="0"/>
    <w:pPr>
      <w:ind w:left="1260" w:leftChars="600"/>
    </w:pPr>
    <w:rPr>
      <w:rFonts w:ascii="Times New Roman" w:hAnsi="Times New Roman" w:eastAsia="宋体" w:cs="Times New Roman"/>
      <w:szCs w:val="24"/>
    </w:rPr>
  </w:style>
  <w:style w:type="paragraph" w:styleId="8">
    <w:name w:val="footnote text"/>
    <w:basedOn w:val="1"/>
    <w:link w:val="19"/>
    <w:autoRedefine/>
    <w:unhideWhenUsed/>
    <w:qFormat/>
    <w:uiPriority w:val="99"/>
    <w:pPr>
      <w:snapToGrid w:val="0"/>
      <w:jc w:val="left"/>
    </w:pPr>
    <w:rPr>
      <w:rFonts w:ascii="Calibri" w:hAnsi="Calibri" w:eastAsia="宋体" w:cs="Times New Roman"/>
      <w:sz w:val="18"/>
      <w:szCs w:val="18"/>
    </w:rPr>
  </w:style>
  <w:style w:type="paragraph" w:styleId="9">
    <w:name w:val="toc 2"/>
    <w:basedOn w:val="1"/>
    <w:next w:val="1"/>
    <w:qFormat/>
    <w:uiPriority w:val="0"/>
    <w:pPr>
      <w:ind w:left="420" w:leftChars="200"/>
    </w:pPr>
    <w:rPr>
      <w:rFonts w:ascii="Times New Roman" w:hAnsi="Times New Roman" w:eastAsia="宋体" w:cs="Times New Roman"/>
      <w:szCs w:val="24"/>
    </w:rPr>
  </w:style>
  <w:style w:type="character" w:styleId="12">
    <w:name w:val="page number"/>
    <w:autoRedefine/>
    <w:unhideWhenUsed/>
    <w:qFormat/>
    <w:uiPriority w:val="0"/>
  </w:style>
  <w:style w:type="character" w:styleId="13">
    <w:name w:val="Hyperlink"/>
    <w:autoRedefine/>
    <w:unhideWhenUsed/>
    <w:qFormat/>
    <w:uiPriority w:val="0"/>
    <w:rPr>
      <w:color w:val="0000FF"/>
      <w:u w:val="single"/>
    </w:rPr>
  </w:style>
  <w:style w:type="character" w:styleId="14">
    <w:name w:val="footnote reference"/>
    <w:unhideWhenUsed/>
    <w:qFormat/>
    <w:uiPriority w:val="99"/>
    <w:rPr>
      <w:vertAlign w:val="superscript"/>
    </w:rPr>
  </w:style>
  <w:style w:type="character" w:customStyle="1" w:styleId="15">
    <w:name w:val="页眉 Char"/>
    <w:basedOn w:val="11"/>
    <w:link w:val="5"/>
    <w:autoRedefine/>
    <w:qFormat/>
    <w:uiPriority w:val="99"/>
    <w:rPr>
      <w:rFonts w:ascii="Times New Roman" w:hAnsi="Times New Roman" w:eastAsia="宋体" w:cs="Times New Roman"/>
      <w:sz w:val="18"/>
      <w:szCs w:val="18"/>
    </w:rPr>
  </w:style>
  <w:style w:type="character" w:customStyle="1" w:styleId="16">
    <w:name w:val="页脚 Char"/>
    <w:basedOn w:val="11"/>
    <w:link w:val="4"/>
    <w:autoRedefine/>
    <w:qFormat/>
    <w:uiPriority w:val="99"/>
    <w:rPr>
      <w:rFonts w:ascii="Times New Roman" w:hAnsi="Times New Roman" w:eastAsia="宋体" w:cs="Times New Roman"/>
      <w:sz w:val="18"/>
      <w:szCs w:val="18"/>
    </w:rPr>
  </w:style>
  <w:style w:type="character" w:customStyle="1" w:styleId="17">
    <w:name w:val="批注框文本 Char"/>
    <w:basedOn w:val="11"/>
    <w:link w:val="3"/>
    <w:autoRedefine/>
    <w:semiHidden/>
    <w:qFormat/>
    <w:uiPriority w:val="99"/>
    <w:rPr>
      <w:sz w:val="18"/>
      <w:szCs w:val="18"/>
    </w:rPr>
  </w:style>
  <w:style w:type="paragraph" w:customStyle="1" w:styleId="18">
    <w:name w:val="Default"/>
    <w:autoRedefine/>
    <w:qFormat/>
    <w:uiPriority w:val="0"/>
    <w:pPr>
      <w:widowControl w:val="0"/>
      <w:autoSpaceDE w:val="0"/>
      <w:autoSpaceDN w:val="0"/>
      <w:adjustRightInd w:val="0"/>
    </w:pPr>
    <w:rPr>
      <w:rFonts w:ascii="Times New Roman" w:hAnsi="Times New Roman" w:cs="Times New Roman" w:eastAsiaTheme="minorEastAsia"/>
      <w:color w:val="000000"/>
      <w:sz w:val="24"/>
      <w:szCs w:val="24"/>
      <w:lang w:val="en-US" w:eastAsia="zh-CN" w:bidi="ar-SA"/>
    </w:rPr>
  </w:style>
  <w:style w:type="character" w:customStyle="1" w:styleId="19">
    <w:name w:val="脚注文本 Char"/>
    <w:basedOn w:val="11"/>
    <w:link w:val="8"/>
    <w:autoRedefine/>
    <w:semiHidden/>
    <w:qFormat/>
    <w:uiPriority w:val="99"/>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C6CCF-3ECF-4FDD-981D-FEFE07B5A75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54</Pages>
  <Words>15032</Words>
  <Characters>5154</Characters>
  <Lines>42</Lines>
  <Paragraphs>40</Paragraphs>
  <TotalTime>2</TotalTime>
  <ScaleCrop>false</ScaleCrop>
  <LinksUpToDate>false</LinksUpToDate>
  <CharactersWithSpaces>20146</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Administrator</cp:lastModifiedBy>
  <cp:lastPrinted>2017-11-09T01:12:00Z</cp:lastPrinted>
  <dcterms:modified xsi:type="dcterms:W3CDTF">2024-03-06T01:57:09Z</dcterms:modified>
  <dc:title>河北省财政厅2019年部门预算信息公开情况说明</dc:title>
  <cp:revision>46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19886A760E434E948B76CD390F6F0F48</vt:lpwstr>
  </property>
</Properties>
</file>