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ind w:firstLine="723" w:firstLineChars="200"/>
        <w:jc w:val="center"/>
        <w:rPr>
          <w:rFonts w:hint="eastAsia"/>
          <w:b/>
          <w:sz w:val="36"/>
          <w:szCs w:val="36"/>
        </w:rPr>
      </w:pPr>
      <w:r>
        <w:rPr>
          <w:rFonts w:hint="eastAsia"/>
          <w:b/>
          <w:sz w:val="36"/>
          <w:szCs w:val="36"/>
        </w:rPr>
        <w:t>离残人员医疗保障金项目绩效评价报告</w:t>
      </w:r>
    </w:p>
    <w:p>
      <w:pPr>
        <w:spacing w:line="360" w:lineRule="auto"/>
        <w:ind w:firstLine="420" w:firstLineChars="200"/>
        <w:rPr>
          <w:rFonts w:hint="eastAsia"/>
        </w:rPr>
      </w:pPr>
      <w:r>
        <w:rPr>
          <w:rFonts w:hint="eastAsia"/>
        </w:rPr>
        <w:t>根据《石家庄市鹿泉区区级部门预算绩效管理办法》（鹿政财字【2019】65号）</w:t>
      </w:r>
      <w:r>
        <w:t>，遵循“科学性、规范性、客观性和公正性”的原则，  对</w:t>
      </w:r>
      <w:r>
        <w:rPr>
          <w:rFonts w:hint="eastAsia"/>
        </w:rPr>
        <w:t>离残人员医疗保障金</w:t>
      </w:r>
      <w:r>
        <w:t>项目实施了绩效评价，形成本评价报告</w:t>
      </w:r>
      <w:r>
        <w:rPr>
          <w:rFonts w:hint="eastAsia"/>
        </w:rPr>
        <w:t>。</w:t>
      </w:r>
    </w:p>
    <w:p>
      <w:pPr>
        <w:pStyle w:val="6"/>
        <w:numPr>
          <w:ilvl w:val="0"/>
          <w:numId w:val="1"/>
        </w:numPr>
        <w:spacing w:line="360" w:lineRule="auto"/>
        <w:ind w:firstLineChars="0"/>
        <w:rPr>
          <w:rFonts w:hint="eastAsia"/>
        </w:rPr>
      </w:pPr>
      <w:r>
        <w:rPr>
          <w:rFonts w:hint="eastAsia"/>
        </w:rPr>
        <w:t>项目基本情况</w:t>
      </w:r>
    </w:p>
    <w:p>
      <w:pPr>
        <w:pStyle w:val="6"/>
        <w:spacing w:line="360" w:lineRule="auto"/>
        <w:ind w:left="840" w:firstLine="0" w:firstLineChars="0"/>
        <w:rPr>
          <w:rFonts w:hint="eastAsia"/>
        </w:rPr>
      </w:pPr>
      <w:r>
        <w:rPr>
          <w:rFonts w:hint="eastAsia"/>
        </w:rPr>
        <w:t>（一）项目概况</w:t>
      </w:r>
    </w:p>
    <w:p>
      <w:pPr>
        <w:pStyle w:val="6"/>
        <w:numPr>
          <w:ilvl w:val="0"/>
          <w:numId w:val="2"/>
        </w:numPr>
        <w:spacing w:line="360" w:lineRule="auto"/>
        <w:ind w:firstLine="420"/>
        <w:rPr>
          <w:rFonts w:hint="eastAsia"/>
        </w:rPr>
      </w:pPr>
      <w:r>
        <w:rPr>
          <w:rFonts w:hint="eastAsia"/>
        </w:rPr>
        <w:t>项目实施单位及项目立项等基本情况</w:t>
      </w:r>
    </w:p>
    <w:p>
      <w:pPr>
        <w:spacing w:line="360" w:lineRule="auto"/>
        <w:ind w:left="1140" w:firstLine="420" w:firstLineChars="200"/>
        <w:rPr>
          <w:rFonts w:hint="eastAsia"/>
        </w:rPr>
      </w:pPr>
      <w:r>
        <w:rPr>
          <w:rFonts w:hint="eastAsia"/>
        </w:rPr>
        <w:t>鹿泉区医疗保险管理中心作为项目单位，于2014年9月撤销鹿泉市，设立鹿泉区，为全额拨款副科级事业单位，隶属于鹿泉区医疗保障局管理。根据任务工作部署，离残人员医疗保障由鹿泉区医疗保险管理中心整体负责，统筹实施。</w:t>
      </w:r>
    </w:p>
    <w:p>
      <w:pPr>
        <w:pStyle w:val="6"/>
        <w:numPr>
          <w:ilvl w:val="0"/>
          <w:numId w:val="2"/>
        </w:numPr>
        <w:spacing w:line="360" w:lineRule="auto"/>
        <w:ind w:firstLine="420"/>
        <w:rPr>
          <w:rFonts w:hint="eastAsia"/>
        </w:rPr>
      </w:pPr>
      <w:r>
        <w:rPr>
          <w:rFonts w:hint="eastAsia"/>
        </w:rPr>
        <w:t>项目主要实施内容和范围</w:t>
      </w:r>
    </w:p>
    <w:p>
      <w:pPr>
        <w:pStyle w:val="6"/>
        <w:spacing w:line="360" w:lineRule="auto"/>
        <w:ind w:left="1500"/>
        <w:rPr>
          <w:rFonts w:hint="eastAsia"/>
        </w:rPr>
      </w:pPr>
      <w:r>
        <w:rPr>
          <w:rFonts w:hint="eastAsia"/>
        </w:rPr>
        <w:t>做好辖区内离休干部、新中国成立前参加工作人员及1—6及残疾军人离残人员医疗服务管理工作；按规定保障离残人员的医疗待遇；对医疗费用进行管理。</w:t>
      </w:r>
    </w:p>
    <w:p>
      <w:pPr>
        <w:pStyle w:val="6"/>
        <w:spacing w:line="360" w:lineRule="auto"/>
        <w:ind w:left="1500"/>
        <w:rPr>
          <w:rFonts w:hint="eastAsia"/>
        </w:rPr>
      </w:pPr>
      <w:r>
        <w:rPr>
          <w:rFonts w:hint="eastAsia"/>
        </w:rPr>
        <w:t>截止2019年12月按照工作任务已按规定兑现了离残人员的医疗待遇。</w:t>
      </w:r>
    </w:p>
    <w:p>
      <w:pPr>
        <w:pStyle w:val="6"/>
        <w:numPr>
          <w:ilvl w:val="0"/>
          <w:numId w:val="2"/>
        </w:numPr>
        <w:spacing w:line="360" w:lineRule="auto"/>
        <w:ind w:firstLine="420"/>
        <w:rPr>
          <w:rFonts w:hint="eastAsia"/>
        </w:rPr>
      </w:pPr>
      <w:r>
        <w:rPr>
          <w:rFonts w:hint="eastAsia"/>
        </w:rPr>
        <w:t>项目资金投入情况</w:t>
      </w:r>
    </w:p>
    <w:p>
      <w:pPr>
        <w:spacing w:line="360" w:lineRule="auto"/>
        <w:ind w:firstLine="420" w:firstLineChars="200"/>
        <w:rPr>
          <w:rFonts w:hint="eastAsia"/>
        </w:rPr>
      </w:pPr>
    </w:p>
    <w:p>
      <w:pPr>
        <w:spacing w:line="360" w:lineRule="auto"/>
        <w:ind w:firstLine="420" w:firstLineChars="200"/>
        <w:rPr>
          <w:rFonts w:hint="eastAsia"/>
        </w:rPr>
      </w:pPr>
    </w:p>
    <w:p>
      <w:pPr>
        <w:spacing w:line="360" w:lineRule="auto"/>
        <w:ind w:firstLine="420" w:firstLineChars="200"/>
        <w:rPr>
          <w:rFonts w:hint="eastAsia"/>
        </w:rPr>
      </w:pPr>
    </w:p>
    <w:p>
      <w:pPr>
        <w:spacing w:line="360" w:lineRule="auto"/>
        <w:ind w:left="1418"/>
        <w:rPr>
          <w:rFonts w:hint="eastAsia"/>
        </w:rPr>
      </w:pPr>
      <w:r>
        <w:rPr>
          <w:rFonts w:hint="eastAsia"/>
        </w:rPr>
        <w:t>（二）项目预期绩效目标</w:t>
      </w:r>
    </w:p>
    <w:p>
      <w:pPr>
        <w:pStyle w:val="6"/>
        <w:spacing w:line="360" w:lineRule="auto"/>
        <w:ind w:left="1140"/>
        <w:rPr>
          <w:rFonts w:hint="eastAsia"/>
        </w:rPr>
      </w:pPr>
      <w:r>
        <w:rPr>
          <w:rFonts w:hint="eastAsia"/>
        </w:rPr>
        <w:t>按规定兑现离残人员2019年度医疗待遇。</w:t>
      </w:r>
    </w:p>
    <w:p>
      <w:pPr>
        <w:pStyle w:val="6"/>
        <w:numPr>
          <w:ilvl w:val="0"/>
          <w:numId w:val="1"/>
        </w:numPr>
        <w:spacing w:line="360" w:lineRule="auto"/>
        <w:ind w:firstLineChars="0"/>
        <w:rPr>
          <w:rFonts w:hint="eastAsia"/>
        </w:rPr>
      </w:pPr>
      <w:r>
        <w:rPr>
          <w:rFonts w:hint="eastAsia"/>
        </w:rPr>
        <w:t>绩效评价工作</w:t>
      </w:r>
      <w:r>
        <w:rPr>
          <w:rFonts w:hint="eastAsia"/>
          <w:lang w:eastAsia="zh-CN"/>
        </w:rPr>
        <w:t>情况</w:t>
      </w:r>
    </w:p>
    <w:p>
      <w:pPr>
        <w:pStyle w:val="6"/>
        <w:numPr>
          <w:ilvl w:val="0"/>
          <w:numId w:val="1"/>
        </w:numPr>
        <w:spacing w:line="360" w:lineRule="auto"/>
        <w:ind w:firstLineChars="0"/>
        <w:rPr>
          <w:rFonts w:hint="eastAsia"/>
        </w:rPr>
      </w:pPr>
      <w:r>
        <w:rPr>
          <w:rFonts w:hint="eastAsia"/>
        </w:rPr>
        <w:t>项目执行及绩效实现情况</w:t>
      </w:r>
    </w:p>
    <w:p>
      <w:pPr>
        <w:pStyle w:val="6"/>
        <w:numPr>
          <w:ilvl w:val="0"/>
          <w:numId w:val="3"/>
        </w:numPr>
        <w:spacing w:line="360" w:lineRule="auto"/>
        <w:ind w:firstLine="420"/>
        <w:rPr>
          <w:rFonts w:hint="eastAsia"/>
        </w:rPr>
      </w:pPr>
      <w:r>
        <w:rPr>
          <w:rFonts w:hint="eastAsia"/>
        </w:rPr>
        <w:t>项目投入</w:t>
      </w:r>
    </w:p>
    <w:p>
      <w:pPr>
        <w:spacing w:line="360" w:lineRule="auto"/>
        <w:ind w:left="420" w:firstLine="420" w:firstLineChars="200"/>
        <w:rPr>
          <w:rFonts w:hint="eastAsia"/>
        </w:rPr>
      </w:pPr>
      <w:r>
        <w:rPr>
          <w:rFonts w:hint="eastAsia"/>
        </w:rPr>
        <w:t>1、项目立项情况分析</w:t>
      </w:r>
    </w:p>
    <w:p>
      <w:pPr>
        <w:spacing w:line="360" w:lineRule="auto"/>
        <w:ind w:firstLine="420" w:firstLineChars="200"/>
        <w:rPr>
          <w:rFonts w:hint="eastAsia"/>
        </w:rPr>
      </w:pPr>
      <w:r>
        <w:rPr>
          <w:rFonts w:hint="eastAsia"/>
        </w:rPr>
        <w:t>（1）、项目立项规范性分析</w:t>
      </w:r>
    </w:p>
    <w:p>
      <w:pPr>
        <w:spacing w:line="360" w:lineRule="auto"/>
        <w:ind w:firstLine="420" w:firstLineChars="200"/>
        <w:rPr>
          <w:rFonts w:hint="eastAsia"/>
        </w:rPr>
      </w:pPr>
      <w:r>
        <w:rPr>
          <w:rFonts w:hint="eastAsia"/>
        </w:rPr>
        <w:t>项目自立项开始完全按照规定的程序申请设立。</w:t>
      </w:r>
    </w:p>
    <w:p>
      <w:pPr>
        <w:spacing w:line="360" w:lineRule="auto"/>
        <w:ind w:firstLine="420" w:firstLineChars="200"/>
        <w:rPr>
          <w:rFonts w:hint="eastAsia"/>
        </w:rPr>
      </w:pPr>
      <w:r>
        <w:rPr>
          <w:rFonts w:hint="eastAsia"/>
        </w:rPr>
        <w:t>（2）、绩效目标的合理性</w:t>
      </w:r>
    </w:p>
    <w:p>
      <w:pPr>
        <w:spacing w:line="360" w:lineRule="auto"/>
        <w:ind w:firstLine="420" w:firstLineChars="200"/>
        <w:rPr>
          <w:rFonts w:hint="eastAsia"/>
        </w:rPr>
      </w:pPr>
      <w:r>
        <w:rPr>
          <w:rFonts w:hint="eastAsia"/>
        </w:rPr>
        <w:t>此项目立项时对于延续离休干部、</w:t>
      </w:r>
      <w:r>
        <w:rPr>
          <w:rFonts w:hint="eastAsia"/>
          <w:lang w:eastAsia="zh-CN"/>
        </w:rPr>
        <w:t>新中国成立前</w:t>
      </w:r>
      <w:r>
        <w:rPr>
          <w:rFonts w:hint="eastAsia"/>
        </w:rPr>
        <w:t>参</w:t>
      </w:r>
      <w:bookmarkStart w:id="0" w:name="_GoBack"/>
      <w:bookmarkEnd w:id="0"/>
      <w:r>
        <w:rPr>
          <w:rFonts w:hint="eastAsia"/>
        </w:rPr>
        <w:t>加工作人员卫计字（89）第138号文管理执行；1-6级伤残军人根据鹿政函【2009】17号文，符合国家相关法律法规和地方政府决策；为促进事业发展具有积极作用；具有明显社会效益。</w:t>
      </w:r>
    </w:p>
    <w:p>
      <w:pPr>
        <w:spacing w:line="360" w:lineRule="auto"/>
        <w:ind w:firstLine="420" w:firstLineChars="200"/>
        <w:rPr>
          <w:rFonts w:hint="eastAsia"/>
        </w:rPr>
      </w:pPr>
      <w:r>
        <w:rPr>
          <w:rFonts w:hint="eastAsia"/>
        </w:rPr>
        <w:t>（3）绩效指标明确性</w:t>
      </w:r>
    </w:p>
    <w:p>
      <w:pPr>
        <w:spacing w:line="360" w:lineRule="auto"/>
        <w:ind w:firstLine="420" w:firstLineChars="200"/>
        <w:rPr>
          <w:rFonts w:hint="eastAsia"/>
        </w:rPr>
      </w:pPr>
      <w:r>
        <w:rPr>
          <w:rFonts w:hint="eastAsia"/>
        </w:rPr>
        <w:t>对辖区内离休干部、</w:t>
      </w:r>
      <w:r>
        <w:rPr>
          <w:rFonts w:hint="eastAsia"/>
          <w:lang w:eastAsia="zh-CN"/>
        </w:rPr>
        <w:t>新中国成立前</w:t>
      </w:r>
      <w:r>
        <w:rPr>
          <w:rFonts w:hint="eastAsia"/>
        </w:rPr>
        <w:t>参加工作人员及1—6及残疾军人离残人员医疗服务管理工作；按规定保障离残人员的医疗待遇；对医疗费用进行管理。项目与年度任务计划数对应，与预算确定的项目投资额匹配。</w:t>
      </w:r>
    </w:p>
    <w:p>
      <w:pPr>
        <w:spacing w:line="360" w:lineRule="auto"/>
        <w:ind w:left="420" w:firstLine="420" w:firstLineChars="200"/>
        <w:rPr>
          <w:rFonts w:hint="eastAsia"/>
        </w:rPr>
      </w:pPr>
      <w:r>
        <w:rPr>
          <w:rFonts w:hint="eastAsia"/>
        </w:rPr>
        <w:t>2、资金落实情况分析</w:t>
      </w:r>
    </w:p>
    <w:p>
      <w:pPr>
        <w:spacing w:line="360" w:lineRule="auto"/>
        <w:ind w:firstLine="420" w:firstLineChars="200"/>
        <w:rPr>
          <w:rFonts w:hint="eastAsia"/>
        </w:rPr>
      </w:pPr>
      <w:r>
        <w:rPr>
          <w:rFonts w:hint="eastAsia"/>
        </w:rPr>
        <w:t>项目资金到位及时，到位率100%。</w:t>
      </w:r>
    </w:p>
    <w:p>
      <w:pPr>
        <w:pStyle w:val="6"/>
        <w:numPr>
          <w:ilvl w:val="0"/>
          <w:numId w:val="3"/>
        </w:numPr>
        <w:spacing w:line="360" w:lineRule="auto"/>
        <w:ind w:firstLine="420"/>
        <w:rPr>
          <w:rFonts w:hint="eastAsia"/>
        </w:rPr>
      </w:pPr>
      <w:r>
        <w:rPr>
          <w:rFonts w:hint="eastAsia"/>
        </w:rPr>
        <w:t>项目实施过程</w:t>
      </w:r>
    </w:p>
    <w:p>
      <w:pPr>
        <w:pStyle w:val="6"/>
        <w:numPr>
          <w:ilvl w:val="0"/>
          <w:numId w:val="4"/>
        </w:numPr>
        <w:spacing w:line="360" w:lineRule="auto"/>
        <w:ind w:firstLine="420"/>
        <w:rPr>
          <w:rFonts w:hint="eastAsia"/>
        </w:rPr>
      </w:pPr>
      <w:r>
        <w:rPr>
          <w:rFonts w:hint="eastAsia"/>
        </w:rPr>
        <w:t>业务管理情况分析</w:t>
      </w:r>
    </w:p>
    <w:p>
      <w:pPr>
        <w:pStyle w:val="6"/>
        <w:spacing w:line="360" w:lineRule="auto"/>
        <w:ind w:left="1500"/>
        <w:rPr>
          <w:rFonts w:hint="eastAsia"/>
        </w:rPr>
      </w:pPr>
      <w:r>
        <w:rPr>
          <w:rFonts w:hint="eastAsia"/>
        </w:rPr>
        <w:t>（1）、管理制度健全性    项目实施单位的业务管理制度健全，管理制度合法、合规、完整。保障了项目的顺利实施。</w:t>
      </w:r>
    </w:p>
    <w:p>
      <w:pPr>
        <w:pStyle w:val="6"/>
        <w:spacing w:line="360" w:lineRule="auto"/>
        <w:ind w:left="1500"/>
        <w:rPr>
          <w:rFonts w:hint="eastAsia"/>
        </w:rPr>
      </w:pPr>
      <w:r>
        <w:rPr>
          <w:rFonts w:hint="eastAsia"/>
        </w:rPr>
        <w:t>（2）制度执行的有效性  项目实施过程中严格遵守相关的法律法规和业务管理规定。</w:t>
      </w:r>
    </w:p>
    <w:p>
      <w:pPr>
        <w:pStyle w:val="6"/>
        <w:spacing w:line="360" w:lineRule="auto"/>
        <w:ind w:left="1500"/>
        <w:rPr>
          <w:rFonts w:hint="eastAsia"/>
        </w:rPr>
      </w:pPr>
      <w:r>
        <w:rPr>
          <w:rFonts w:hint="eastAsia"/>
        </w:rPr>
        <w:t>（3）项目质量可控性  严格遵守相关的法律法规和业务管理规定，控制了项目质量。</w:t>
      </w:r>
    </w:p>
    <w:p>
      <w:pPr>
        <w:pStyle w:val="6"/>
        <w:spacing w:line="360" w:lineRule="auto"/>
        <w:ind w:left="1500"/>
        <w:rPr>
          <w:rFonts w:hint="eastAsia"/>
        </w:rPr>
      </w:pPr>
      <w:r>
        <w:rPr>
          <w:rFonts w:hint="eastAsia"/>
        </w:rPr>
        <w:t>2、财务管理</w:t>
      </w:r>
    </w:p>
    <w:p>
      <w:pPr>
        <w:pStyle w:val="6"/>
        <w:spacing w:line="360" w:lineRule="auto"/>
        <w:ind w:left="1500"/>
        <w:rPr>
          <w:rFonts w:hint="eastAsia"/>
        </w:rPr>
      </w:pPr>
      <w:r>
        <w:rPr>
          <w:rFonts w:hint="eastAsia"/>
        </w:rPr>
        <w:t>（三）项目产出</w:t>
      </w:r>
    </w:p>
    <w:p>
      <w:pPr>
        <w:pStyle w:val="6"/>
        <w:spacing w:line="360" w:lineRule="auto"/>
        <w:ind w:left="1500"/>
        <w:rPr>
          <w:rFonts w:hint="eastAsia"/>
        </w:rPr>
      </w:pPr>
      <w:r>
        <w:rPr>
          <w:rFonts w:hint="eastAsia"/>
        </w:rPr>
        <w:t>按规定及时兑现待遇，实际完成率100%；</w:t>
      </w:r>
    </w:p>
    <w:p>
      <w:pPr>
        <w:pStyle w:val="6"/>
        <w:spacing w:line="360" w:lineRule="auto"/>
        <w:ind w:left="1500"/>
        <w:rPr>
          <w:rFonts w:hint="eastAsia"/>
        </w:rPr>
      </w:pPr>
      <w:r>
        <w:rPr>
          <w:rFonts w:hint="eastAsia"/>
        </w:rPr>
        <w:t>2019年度实际完成医药费金额     元，及时率100%；</w:t>
      </w:r>
    </w:p>
    <w:p>
      <w:pPr>
        <w:pStyle w:val="6"/>
        <w:spacing w:line="360" w:lineRule="auto"/>
        <w:ind w:left="1500"/>
        <w:rPr>
          <w:rFonts w:hint="eastAsia"/>
        </w:rPr>
      </w:pPr>
      <w:r>
        <w:rPr>
          <w:rFonts w:hint="eastAsia"/>
        </w:rPr>
        <w:t>严格按照相关规定给予兑现医疗待遇，保证了项目质量，质量达标率100%；</w:t>
      </w:r>
    </w:p>
    <w:p>
      <w:pPr>
        <w:pStyle w:val="6"/>
        <w:spacing w:line="360" w:lineRule="auto"/>
        <w:ind w:left="1500"/>
        <w:rPr>
          <w:rFonts w:hint="eastAsia"/>
        </w:rPr>
      </w:pPr>
      <w:r>
        <w:rPr>
          <w:rFonts w:hint="eastAsia"/>
        </w:rPr>
        <w:t>完全按照相关规定给予兑现医疗待遇，保证了项目的实施，2019年度财政批复金额      元，截止2019年12月31日实际支出     元，成本节约率100%。未出现超支现象。</w:t>
      </w:r>
    </w:p>
    <w:p>
      <w:pPr>
        <w:pStyle w:val="6"/>
        <w:spacing w:line="360" w:lineRule="auto"/>
        <w:ind w:left="1140"/>
        <w:rPr>
          <w:rFonts w:hint="eastAsia"/>
        </w:rPr>
      </w:pPr>
      <w:r>
        <w:rPr>
          <w:rFonts w:hint="eastAsia"/>
        </w:rPr>
        <w:t>（四）项目效果</w:t>
      </w:r>
    </w:p>
    <w:p>
      <w:pPr>
        <w:pStyle w:val="6"/>
        <w:spacing w:line="360" w:lineRule="auto"/>
        <w:ind w:left="1429"/>
        <w:rPr>
          <w:rFonts w:hint="eastAsia"/>
        </w:rPr>
      </w:pPr>
      <w:r>
        <w:rPr>
          <w:rFonts w:hint="eastAsia"/>
        </w:rPr>
        <w:t>社会效益事现情况</w:t>
      </w:r>
    </w:p>
    <w:p>
      <w:pPr>
        <w:pStyle w:val="6"/>
        <w:numPr>
          <w:ilvl w:val="0"/>
          <w:numId w:val="5"/>
        </w:numPr>
        <w:spacing w:line="360" w:lineRule="auto"/>
        <w:ind w:firstLine="420"/>
        <w:rPr>
          <w:rFonts w:hint="eastAsia"/>
        </w:rPr>
      </w:pPr>
      <w:r>
        <w:rPr>
          <w:rFonts w:hint="eastAsia"/>
        </w:rPr>
        <w:t>项目实施后，保障了离残人员的医疗就医，使其幸福指数显著提高。同时也为保证鹿泉区的社会安定起到了一定的积极作用。</w:t>
      </w:r>
    </w:p>
    <w:p>
      <w:pPr>
        <w:pStyle w:val="6"/>
        <w:numPr>
          <w:ilvl w:val="0"/>
          <w:numId w:val="5"/>
        </w:numPr>
        <w:spacing w:line="360" w:lineRule="auto"/>
        <w:ind w:firstLine="420"/>
        <w:rPr>
          <w:rFonts w:hint="eastAsia"/>
        </w:rPr>
      </w:pPr>
      <w:r>
        <w:rPr>
          <w:rFonts w:hint="eastAsia"/>
        </w:rPr>
        <w:t>可持续影响实现情况</w:t>
      </w:r>
    </w:p>
    <w:p>
      <w:pPr>
        <w:pStyle w:val="6"/>
        <w:spacing w:line="360" w:lineRule="auto"/>
        <w:ind w:left="1500"/>
        <w:rPr>
          <w:rFonts w:hint="eastAsia"/>
        </w:rPr>
      </w:pPr>
      <w:r>
        <w:rPr>
          <w:rFonts w:hint="eastAsia"/>
        </w:rPr>
        <w:t>此项目是基于人体健康，疾病的形成是不可预知、不可抑制的。而且随着这部分群体年龄的不断增长，多种疾病并存现象会普遍存在，因此通过此项目的持续实施，将保障此类人群的健康状态，总之，此项目实施具有良好的社会效益产生可持续的影响。</w:t>
      </w:r>
    </w:p>
    <w:p>
      <w:pPr>
        <w:pStyle w:val="6"/>
        <w:numPr>
          <w:ilvl w:val="0"/>
          <w:numId w:val="5"/>
        </w:numPr>
        <w:spacing w:line="360" w:lineRule="auto"/>
        <w:ind w:firstLine="420"/>
        <w:rPr>
          <w:rFonts w:hint="eastAsia"/>
        </w:rPr>
      </w:pPr>
      <w:r>
        <w:rPr>
          <w:rFonts w:hint="eastAsia"/>
        </w:rPr>
        <w:t>服务对象满意度实现情况</w:t>
      </w:r>
    </w:p>
    <w:p>
      <w:pPr>
        <w:pStyle w:val="6"/>
        <w:spacing w:line="360" w:lineRule="auto"/>
        <w:ind w:left="1500"/>
        <w:rPr>
          <w:rFonts w:hint="eastAsia"/>
        </w:rPr>
      </w:pPr>
      <w:r>
        <w:rPr>
          <w:rFonts w:hint="eastAsia"/>
        </w:rPr>
        <w:t>根据2019年9月份对离残人员医药费报销政策满意度调查结果显示，离残人员满意度100%，服务对象对项目实施的满意度评价极高。</w:t>
      </w:r>
    </w:p>
    <w:p>
      <w:pPr>
        <w:pStyle w:val="6"/>
        <w:numPr>
          <w:ilvl w:val="0"/>
          <w:numId w:val="1"/>
        </w:numPr>
        <w:spacing w:line="360" w:lineRule="auto"/>
        <w:ind w:firstLine="420"/>
        <w:rPr>
          <w:rFonts w:hint="eastAsia"/>
        </w:rPr>
      </w:pPr>
      <w:r>
        <w:rPr>
          <w:rFonts w:hint="eastAsia"/>
        </w:rPr>
        <w:t>项目综合评价结论和评价等级</w:t>
      </w:r>
    </w:p>
    <w:p>
      <w:pPr>
        <w:pStyle w:val="6"/>
        <w:spacing w:line="360" w:lineRule="auto"/>
        <w:ind w:left="420"/>
        <w:rPr>
          <w:rFonts w:hint="eastAsia"/>
        </w:rPr>
      </w:pPr>
      <w:r>
        <w:rPr>
          <w:rFonts w:hint="eastAsia"/>
        </w:rPr>
        <w:t>通过评价，2019年度此项目综合得分      分，项目综合绩效评定结论为“优秀”。</w:t>
      </w:r>
    </w:p>
    <w:p>
      <w:pPr>
        <w:pStyle w:val="6"/>
        <w:ind w:left="1500" w:firstLine="0" w:firstLineChars="0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3611FED"/>
    <w:multiLevelType w:val="multilevel"/>
    <w:tmpl w:val="13611FED"/>
    <w:lvl w:ilvl="0" w:tentative="0">
      <w:start w:val="1"/>
      <w:numFmt w:val="decimal"/>
      <w:lvlText w:val="%1、"/>
      <w:lvlJc w:val="left"/>
      <w:pPr>
        <w:ind w:left="150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980" w:hanging="420"/>
      </w:pPr>
    </w:lvl>
    <w:lvl w:ilvl="2" w:tentative="0">
      <w:start w:val="1"/>
      <w:numFmt w:val="lowerRoman"/>
      <w:lvlText w:val="%3."/>
      <w:lvlJc w:val="right"/>
      <w:pPr>
        <w:ind w:left="2400" w:hanging="420"/>
      </w:pPr>
    </w:lvl>
    <w:lvl w:ilvl="3" w:tentative="0">
      <w:start w:val="1"/>
      <w:numFmt w:val="decimal"/>
      <w:lvlText w:val="%4."/>
      <w:lvlJc w:val="left"/>
      <w:pPr>
        <w:ind w:left="2820" w:hanging="420"/>
      </w:pPr>
    </w:lvl>
    <w:lvl w:ilvl="4" w:tentative="0">
      <w:start w:val="1"/>
      <w:numFmt w:val="lowerLetter"/>
      <w:lvlText w:val="%5)"/>
      <w:lvlJc w:val="left"/>
      <w:pPr>
        <w:ind w:left="3240" w:hanging="420"/>
      </w:pPr>
    </w:lvl>
    <w:lvl w:ilvl="5" w:tentative="0">
      <w:start w:val="1"/>
      <w:numFmt w:val="lowerRoman"/>
      <w:lvlText w:val="%6."/>
      <w:lvlJc w:val="right"/>
      <w:pPr>
        <w:ind w:left="3660" w:hanging="420"/>
      </w:pPr>
    </w:lvl>
    <w:lvl w:ilvl="6" w:tentative="0">
      <w:start w:val="1"/>
      <w:numFmt w:val="decimal"/>
      <w:lvlText w:val="%7."/>
      <w:lvlJc w:val="left"/>
      <w:pPr>
        <w:ind w:left="4080" w:hanging="420"/>
      </w:pPr>
    </w:lvl>
    <w:lvl w:ilvl="7" w:tentative="0">
      <w:start w:val="1"/>
      <w:numFmt w:val="lowerLetter"/>
      <w:lvlText w:val="%8)"/>
      <w:lvlJc w:val="left"/>
      <w:pPr>
        <w:ind w:left="4500" w:hanging="420"/>
      </w:pPr>
    </w:lvl>
    <w:lvl w:ilvl="8" w:tentative="0">
      <w:start w:val="1"/>
      <w:numFmt w:val="lowerRoman"/>
      <w:lvlText w:val="%9."/>
      <w:lvlJc w:val="right"/>
      <w:pPr>
        <w:ind w:left="4920" w:hanging="420"/>
      </w:pPr>
    </w:lvl>
  </w:abstractNum>
  <w:abstractNum w:abstractNumId="1">
    <w:nsid w:val="15B91654"/>
    <w:multiLevelType w:val="multilevel"/>
    <w:tmpl w:val="15B91654"/>
    <w:lvl w:ilvl="0" w:tentative="0">
      <w:start w:val="1"/>
      <w:numFmt w:val="decimal"/>
      <w:lvlText w:val="%1、"/>
      <w:lvlJc w:val="left"/>
      <w:pPr>
        <w:ind w:left="150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980" w:hanging="420"/>
      </w:pPr>
    </w:lvl>
    <w:lvl w:ilvl="2" w:tentative="0">
      <w:start w:val="1"/>
      <w:numFmt w:val="lowerRoman"/>
      <w:lvlText w:val="%3."/>
      <w:lvlJc w:val="right"/>
      <w:pPr>
        <w:ind w:left="2400" w:hanging="420"/>
      </w:pPr>
    </w:lvl>
    <w:lvl w:ilvl="3" w:tentative="0">
      <w:start w:val="1"/>
      <w:numFmt w:val="decimal"/>
      <w:lvlText w:val="%4."/>
      <w:lvlJc w:val="left"/>
      <w:pPr>
        <w:ind w:left="2820" w:hanging="420"/>
      </w:pPr>
    </w:lvl>
    <w:lvl w:ilvl="4" w:tentative="0">
      <w:start w:val="1"/>
      <w:numFmt w:val="lowerLetter"/>
      <w:lvlText w:val="%5)"/>
      <w:lvlJc w:val="left"/>
      <w:pPr>
        <w:ind w:left="3240" w:hanging="420"/>
      </w:pPr>
    </w:lvl>
    <w:lvl w:ilvl="5" w:tentative="0">
      <w:start w:val="1"/>
      <w:numFmt w:val="lowerRoman"/>
      <w:lvlText w:val="%6."/>
      <w:lvlJc w:val="right"/>
      <w:pPr>
        <w:ind w:left="3660" w:hanging="420"/>
      </w:pPr>
    </w:lvl>
    <w:lvl w:ilvl="6" w:tentative="0">
      <w:start w:val="1"/>
      <w:numFmt w:val="decimal"/>
      <w:lvlText w:val="%7."/>
      <w:lvlJc w:val="left"/>
      <w:pPr>
        <w:ind w:left="4080" w:hanging="420"/>
      </w:pPr>
    </w:lvl>
    <w:lvl w:ilvl="7" w:tentative="0">
      <w:start w:val="1"/>
      <w:numFmt w:val="lowerLetter"/>
      <w:lvlText w:val="%8)"/>
      <w:lvlJc w:val="left"/>
      <w:pPr>
        <w:ind w:left="4500" w:hanging="420"/>
      </w:pPr>
    </w:lvl>
    <w:lvl w:ilvl="8" w:tentative="0">
      <w:start w:val="1"/>
      <w:numFmt w:val="lowerRoman"/>
      <w:lvlText w:val="%9."/>
      <w:lvlJc w:val="right"/>
      <w:pPr>
        <w:ind w:left="4920" w:hanging="420"/>
      </w:pPr>
    </w:lvl>
  </w:abstractNum>
  <w:abstractNum w:abstractNumId="2">
    <w:nsid w:val="273D1BC6"/>
    <w:multiLevelType w:val="multilevel"/>
    <w:tmpl w:val="273D1BC6"/>
    <w:lvl w:ilvl="0" w:tentative="0">
      <w:start w:val="1"/>
      <w:numFmt w:val="japaneseCounting"/>
      <w:lvlText w:val="（%1）"/>
      <w:lvlJc w:val="left"/>
      <w:pPr>
        <w:ind w:left="1429" w:hanging="7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260" w:hanging="420"/>
      </w:pPr>
    </w:lvl>
    <w:lvl w:ilvl="2" w:tentative="0">
      <w:start w:val="1"/>
      <w:numFmt w:val="lowerRoman"/>
      <w:lvlText w:val="%3."/>
      <w:lvlJc w:val="right"/>
      <w:pPr>
        <w:ind w:left="1680" w:hanging="420"/>
      </w:pPr>
    </w:lvl>
    <w:lvl w:ilvl="3" w:tentative="0">
      <w:start w:val="1"/>
      <w:numFmt w:val="decimal"/>
      <w:lvlText w:val="%4."/>
      <w:lvlJc w:val="left"/>
      <w:pPr>
        <w:ind w:left="2100" w:hanging="420"/>
      </w:pPr>
    </w:lvl>
    <w:lvl w:ilvl="4" w:tentative="0">
      <w:start w:val="1"/>
      <w:numFmt w:val="lowerLetter"/>
      <w:lvlText w:val="%5)"/>
      <w:lvlJc w:val="left"/>
      <w:pPr>
        <w:ind w:left="2520" w:hanging="420"/>
      </w:pPr>
    </w:lvl>
    <w:lvl w:ilvl="5" w:tentative="0">
      <w:start w:val="1"/>
      <w:numFmt w:val="lowerRoman"/>
      <w:lvlText w:val="%6."/>
      <w:lvlJc w:val="right"/>
      <w:pPr>
        <w:ind w:left="2940" w:hanging="420"/>
      </w:pPr>
    </w:lvl>
    <w:lvl w:ilvl="6" w:tentative="0">
      <w:start w:val="1"/>
      <w:numFmt w:val="decimal"/>
      <w:lvlText w:val="%7."/>
      <w:lvlJc w:val="left"/>
      <w:pPr>
        <w:ind w:left="3360" w:hanging="420"/>
      </w:pPr>
    </w:lvl>
    <w:lvl w:ilvl="7" w:tentative="0">
      <w:start w:val="1"/>
      <w:numFmt w:val="lowerLetter"/>
      <w:lvlText w:val="%8)"/>
      <w:lvlJc w:val="left"/>
      <w:pPr>
        <w:ind w:left="3780" w:hanging="420"/>
      </w:pPr>
    </w:lvl>
    <w:lvl w:ilvl="8" w:tentative="0">
      <w:start w:val="1"/>
      <w:numFmt w:val="lowerRoman"/>
      <w:lvlText w:val="%9."/>
      <w:lvlJc w:val="right"/>
      <w:pPr>
        <w:ind w:left="4200" w:hanging="420"/>
      </w:pPr>
    </w:lvl>
  </w:abstractNum>
  <w:abstractNum w:abstractNumId="3">
    <w:nsid w:val="2B8A0368"/>
    <w:multiLevelType w:val="multilevel"/>
    <w:tmpl w:val="2B8A0368"/>
    <w:lvl w:ilvl="0" w:tentative="0">
      <w:start w:val="1"/>
      <w:numFmt w:val="japaneseCounting"/>
      <w:lvlText w:val="%1、"/>
      <w:lvlJc w:val="left"/>
      <w:pPr>
        <w:ind w:left="840" w:hanging="4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260" w:hanging="420"/>
      </w:pPr>
    </w:lvl>
    <w:lvl w:ilvl="2" w:tentative="0">
      <w:start w:val="1"/>
      <w:numFmt w:val="lowerRoman"/>
      <w:lvlText w:val="%3."/>
      <w:lvlJc w:val="right"/>
      <w:pPr>
        <w:ind w:left="1680" w:hanging="420"/>
      </w:pPr>
    </w:lvl>
    <w:lvl w:ilvl="3" w:tentative="0">
      <w:start w:val="1"/>
      <w:numFmt w:val="decimal"/>
      <w:lvlText w:val="%4."/>
      <w:lvlJc w:val="left"/>
      <w:pPr>
        <w:ind w:left="2100" w:hanging="420"/>
      </w:pPr>
    </w:lvl>
    <w:lvl w:ilvl="4" w:tentative="0">
      <w:start w:val="1"/>
      <w:numFmt w:val="lowerLetter"/>
      <w:lvlText w:val="%5)"/>
      <w:lvlJc w:val="left"/>
      <w:pPr>
        <w:ind w:left="2520" w:hanging="420"/>
      </w:pPr>
    </w:lvl>
    <w:lvl w:ilvl="5" w:tentative="0">
      <w:start w:val="1"/>
      <w:numFmt w:val="lowerRoman"/>
      <w:lvlText w:val="%6."/>
      <w:lvlJc w:val="right"/>
      <w:pPr>
        <w:ind w:left="2940" w:hanging="420"/>
      </w:pPr>
    </w:lvl>
    <w:lvl w:ilvl="6" w:tentative="0">
      <w:start w:val="1"/>
      <w:numFmt w:val="decimal"/>
      <w:lvlText w:val="%7."/>
      <w:lvlJc w:val="left"/>
      <w:pPr>
        <w:ind w:left="3360" w:hanging="420"/>
      </w:pPr>
    </w:lvl>
    <w:lvl w:ilvl="7" w:tentative="0">
      <w:start w:val="1"/>
      <w:numFmt w:val="lowerLetter"/>
      <w:lvlText w:val="%8)"/>
      <w:lvlJc w:val="left"/>
      <w:pPr>
        <w:ind w:left="3780" w:hanging="420"/>
      </w:pPr>
    </w:lvl>
    <w:lvl w:ilvl="8" w:tentative="0">
      <w:start w:val="1"/>
      <w:numFmt w:val="lowerRoman"/>
      <w:lvlText w:val="%9."/>
      <w:lvlJc w:val="right"/>
      <w:pPr>
        <w:ind w:left="4200" w:hanging="420"/>
      </w:pPr>
    </w:lvl>
  </w:abstractNum>
  <w:abstractNum w:abstractNumId="4">
    <w:nsid w:val="67F26CC4"/>
    <w:multiLevelType w:val="multilevel"/>
    <w:tmpl w:val="67F26CC4"/>
    <w:lvl w:ilvl="0" w:tentative="0">
      <w:start w:val="1"/>
      <w:numFmt w:val="decimal"/>
      <w:lvlText w:val="%1、"/>
      <w:lvlJc w:val="left"/>
      <w:pPr>
        <w:ind w:left="786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980" w:hanging="420"/>
      </w:pPr>
    </w:lvl>
    <w:lvl w:ilvl="2" w:tentative="0">
      <w:start w:val="1"/>
      <w:numFmt w:val="lowerRoman"/>
      <w:lvlText w:val="%3."/>
      <w:lvlJc w:val="right"/>
      <w:pPr>
        <w:ind w:left="2400" w:hanging="420"/>
      </w:pPr>
    </w:lvl>
    <w:lvl w:ilvl="3" w:tentative="0">
      <w:start w:val="1"/>
      <w:numFmt w:val="decimal"/>
      <w:lvlText w:val="%4."/>
      <w:lvlJc w:val="left"/>
      <w:pPr>
        <w:ind w:left="2820" w:hanging="420"/>
      </w:pPr>
    </w:lvl>
    <w:lvl w:ilvl="4" w:tentative="0">
      <w:start w:val="1"/>
      <w:numFmt w:val="lowerLetter"/>
      <w:lvlText w:val="%5)"/>
      <w:lvlJc w:val="left"/>
      <w:pPr>
        <w:ind w:left="3240" w:hanging="420"/>
      </w:pPr>
    </w:lvl>
    <w:lvl w:ilvl="5" w:tentative="0">
      <w:start w:val="1"/>
      <w:numFmt w:val="lowerRoman"/>
      <w:lvlText w:val="%6."/>
      <w:lvlJc w:val="right"/>
      <w:pPr>
        <w:ind w:left="3660" w:hanging="420"/>
      </w:pPr>
    </w:lvl>
    <w:lvl w:ilvl="6" w:tentative="0">
      <w:start w:val="1"/>
      <w:numFmt w:val="decimal"/>
      <w:lvlText w:val="%7."/>
      <w:lvlJc w:val="left"/>
      <w:pPr>
        <w:ind w:left="4080" w:hanging="420"/>
      </w:pPr>
    </w:lvl>
    <w:lvl w:ilvl="7" w:tentative="0">
      <w:start w:val="1"/>
      <w:numFmt w:val="lowerLetter"/>
      <w:lvlText w:val="%8)"/>
      <w:lvlJc w:val="left"/>
      <w:pPr>
        <w:ind w:left="4500" w:hanging="420"/>
      </w:pPr>
    </w:lvl>
    <w:lvl w:ilvl="8" w:tentative="0">
      <w:start w:val="1"/>
      <w:numFmt w:val="lowerRoman"/>
      <w:lvlText w:val="%9."/>
      <w:lvlJc w:val="right"/>
      <w:pPr>
        <w:ind w:left="4920" w:hanging="420"/>
      </w:pPr>
    </w:lvl>
  </w:abstractNum>
  <w:num w:numId="1">
    <w:abstractNumId w:val="3"/>
  </w:num>
  <w:num w:numId="2">
    <w:abstractNumId w:val="4"/>
  </w:num>
  <w:num w:numId="3">
    <w:abstractNumId w:val="2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OTZlNDk3YTdhMDk4NjYwNjMyYTFhODRjNTc3ZjllMzAifQ=="/>
  </w:docVars>
  <w:rsids>
    <w:rsidRoot w:val="00DA4228"/>
    <w:rsid w:val="00065B3D"/>
    <w:rsid w:val="00114486"/>
    <w:rsid w:val="00187DE5"/>
    <w:rsid w:val="001D7699"/>
    <w:rsid w:val="002C647A"/>
    <w:rsid w:val="002D4BEB"/>
    <w:rsid w:val="002D6C3A"/>
    <w:rsid w:val="0042002D"/>
    <w:rsid w:val="004B2CD2"/>
    <w:rsid w:val="00584626"/>
    <w:rsid w:val="005A6D22"/>
    <w:rsid w:val="006956E4"/>
    <w:rsid w:val="006A0D10"/>
    <w:rsid w:val="006D786A"/>
    <w:rsid w:val="00891003"/>
    <w:rsid w:val="009D7D55"/>
    <w:rsid w:val="00B40322"/>
    <w:rsid w:val="00B63B1D"/>
    <w:rsid w:val="00BB307B"/>
    <w:rsid w:val="00C2268C"/>
    <w:rsid w:val="00C84FA8"/>
    <w:rsid w:val="00DA4228"/>
    <w:rsid w:val="00E038EB"/>
    <w:rsid w:val="00E50E08"/>
    <w:rsid w:val="00F3671F"/>
    <w:rsid w:val="0837634D"/>
    <w:rsid w:val="3EA340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autoRedefine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autoRedefine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List Paragraph"/>
    <w:basedOn w:val="1"/>
    <w:qFormat/>
    <w:uiPriority w:val="34"/>
    <w:pPr>
      <w:ind w:firstLine="420" w:firstLineChars="200"/>
    </w:pPr>
  </w:style>
  <w:style w:type="character" w:customStyle="1" w:styleId="7">
    <w:name w:val="页眉 Char"/>
    <w:basedOn w:val="5"/>
    <w:link w:val="3"/>
    <w:semiHidden/>
    <w:uiPriority w:val="99"/>
    <w:rPr>
      <w:sz w:val="18"/>
      <w:szCs w:val="18"/>
    </w:rPr>
  </w:style>
  <w:style w:type="character" w:customStyle="1" w:styleId="8">
    <w:name w:val="页脚 Char"/>
    <w:basedOn w:val="5"/>
    <w:link w:val="2"/>
    <w:autoRedefine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209</Words>
  <Characters>1196</Characters>
  <Lines>9</Lines>
  <Paragraphs>2</Paragraphs>
  <TotalTime>317</TotalTime>
  <ScaleCrop>false</ScaleCrop>
  <LinksUpToDate>false</LinksUpToDate>
  <CharactersWithSpaces>1403</CharactersWithSpaces>
  <Application>WPS Office_12.1.0.16417_F1E327BC-269C-435d-A152-05C5408002CA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2020-01-06T01:38:00Z</dcterms:created>
  <dc:creator>Administrator</dc:creator>
  <cp:lastModifiedBy>asus</cp:lastModifiedBy>
  <dcterms:modified xsi:type="dcterms:W3CDTF">2024-12-24T14:40:29Z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2052-12.1.0.16417</vt:lpwstr>
  </property>
  <property fmtid="{D5CDD505-2E9C-101B-9397-08002B2CF9AE}" pid="3" name="ICV">
    <vt:lpwstr>D80B629C28D84FA2BDC6AF3F107B7922_12</vt:lpwstr>
  </property>
</Properties>
</file>