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bookmarkStart w:id="0" w:name="_Hlk55465593"/>
      <w:bookmarkEnd w:id="0"/>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石家庄市鹿泉区广播电视台</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rPr>
          <w:rFonts w:ascii="黑体" w:hAnsi="黑体" w:eastAsia="黑体" w:cs="黑体"/>
          <w:sz w:val="56"/>
          <w:szCs w:val="7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4" w:type="first"/>
          <w:footerReference r:id="rId16" w:type="first"/>
          <w:headerReference r:id="rId13" w:type="default"/>
          <w:footerReference r:id="rId15"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32"/>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一）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负责相关设备的正常运行和维护。</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做好各类广播电视节目的采编、制作、播出，组织开展节目创优。建立广播电视安全播出保障体系，加强安全播出管理。负责广播电视网络设施的建设、管理、维护及广播电视新技术应用工作。组织实施重大公益工程和公益活动。</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（三）负责系统综合业务管理和机关综合事务管理。拟定广播电视产业发展规划；广播电视节目内容和质量监督管理；负责市场经营活动的监督管理工作。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ascii="仿宋_GB2312" w:hAnsi="Calibri" w:eastAsia="仿宋_GB2312" w:cs="ArialUnicodeMS"/>
          <w:kern w:val="0"/>
          <w:sz w:val="32"/>
          <w:szCs w:val="32"/>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石家庄市鹿泉区广播电视台</w:t>
            </w:r>
          </w:p>
        </w:tc>
        <w:tc>
          <w:tcPr>
            <w:tcW w:w="2445" w:type="dxa"/>
          </w:tcPr>
          <w:p>
            <w:pPr>
              <w:spacing w:line="560" w:lineRule="exact"/>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财政补助事业单位</w:t>
            </w:r>
          </w:p>
        </w:tc>
        <w:tc>
          <w:tcPr>
            <w:tcW w:w="2665" w:type="dxa"/>
          </w:tcPr>
          <w:p>
            <w:pPr>
              <w:spacing w:line="560" w:lineRule="exact"/>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footerReference r:id="rId19" w:type="first"/>
          <w:headerReference r:id="rId17" w:type="default"/>
          <w:footerReference r:id="rId18"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0"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155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ascii="仿宋_GB2312" w:hAnsi="Times New Roman" w:eastAsia="仿宋_GB2312" w:cs="DengXian-Regular"/>
          <w:sz w:val="32"/>
          <w:szCs w:val="32"/>
        </w:rPr>
        <w:t>936.36</w:t>
      </w:r>
      <w:r>
        <w:rPr>
          <w:rFonts w:hint="eastAsia" w:ascii="仿宋_GB2312" w:hAnsi="Times New Roman" w:eastAsia="仿宋_GB2312" w:cs="DengXian-Regular"/>
          <w:sz w:val="32"/>
          <w:szCs w:val="32"/>
        </w:rPr>
        <w:t>万元。与2018年度决算相比，收支增加</w:t>
      </w:r>
      <w:r>
        <w:rPr>
          <w:rFonts w:ascii="仿宋_GB2312" w:hAnsi="Times New Roman" w:eastAsia="仿宋_GB2312" w:cs="DengXian-Regular"/>
          <w:sz w:val="32"/>
          <w:szCs w:val="32"/>
        </w:rPr>
        <w:t>15.26</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1.7</w:t>
      </w:r>
      <w:r>
        <w:rPr>
          <w:rFonts w:hint="eastAsia" w:ascii="仿宋_GB2312" w:hAnsi="Times New Roman" w:eastAsia="仿宋_GB2312" w:cs="DengXian-Regular"/>
          <w:sz w:val="32"/>
          <w:szCs w:val="32"/>
        </w:rPr>
        <w:t>%，支出增加</w:t>
      </w:r>
      <w:r>
        <w:rPr>
          <w:rFonts w:ascii="仿宋_GB2312" w:hAnsi="Times New Roman" w:eastAsia="仿宋_GB2312" w:cs="DengXian-Regular"/>
          <w:sz w:val="32"/>
          <w:szCs w:val="32"/>
        </w:rPr>
        <w:t>31.56</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3.75</w:t>
      </w:r>
      <w:r>
        <w:rPr>
          <w:rFonts w:hint="eastAsia" w:ascii="仿宋_GB2312" w:hAnsi="Times New Roman" w:eastAsia="仿宋_GB2312" w:cs="DengXian-Regular"/>
          <w:sz w:val="32"/>
          <w:szCs w:val="32"/>
        </w:rPr>
        <w:t>%，主要原因是人员经费公用经费增加。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ascii="仿宋_GB2312" w:hAnsi="Times New Roman" w:eastAsia="仿宋_GB2312" w:cs="DengXian-Regular"/>
          <w:sz w:val="32"/>
          <w:szCs w:val="32"/>
        </w:rPr>
        <w:t>898.27</w:t>
      </w:r>
      <w:r>
        <w:rPr>
          <w:rFonts w:hint="eastAsia" w:ascii="仿宋_GB2312" w:hAnsi="Times New Roman" w:eastAsia="仿宋_GB2312" w:cs="DengXian-Regular"/>
          <w:sz w:val="32"/>
          <w:szCs w:val="32"/>
        </w:rPr>
        <w:t>万元，其中：财政拨款收入</w:t>
      </w:r>
      <w:r>
        <w:rPr>
          <w:rFonts w:ascii="仿宋_GB2312" w:hAnsi="Times New Roman" w:eastAsia="仿宋_GB2312" w:cs="DengXian-Regular"/>
          <w:sz w:val="32"/>
          <w:szCs w:val="32"/>
        </w:rPr>
        <w:t>896.67</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99.8</w:t>
      </w:r>
      <w:r>
        <w:rPr>
          <w:rFonts w:hint="eastAsia" w:ascii="仿宋_GB2312" w:hAnsi="Times New Roman" w:eastAsia="仿宋_GB2312" w:cs="DengXian-Regular"/>
          <w:sz w:val="32"/>
          <w:szCs w:val="32"/>
        </w:rPr>
        <w:t>%；事业收入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%；经营收入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%；其他收入</w:t>
      </w:r>
      <w:r>
        <w:rPr>
          <w:rFonts w:ascii="仿宋_GB2312" w:hAnsi="Times New Roman" w:eastAsia="仿宋_GB2312" w:cs="DengXian-Regular"/>
          <w:sz w:val="32"/>
          <w:szCs w:val="32"/>
        </w:rPr>
        <w:t>1.60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0.2</w:t>
      </w:r>
      <w:r>
        <w:rPr>
          <w:rFonts w:hint="eastAsia" w:ascii="仿宋_GB2312" w:hAnsi="Times New Roman" w:eastAsia="仿宋_GB2312" w:cs="DengXian-Regular"/>
          <w:sz w:val="32"/>
          <w:szCs w:val="32"/>
        </w:rPr>
        <w:t>%。如图所示：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jc w:val="center"/>
        <w:rPr>
          <w:rFonts w:ascii="仿宋_GB2312" w:hAnsi="Times New Roman" w:eastAsia="仿宋_GB2312" w:cs="DengXian-Regular"/>
          <w:sz w:val="32"/>
          <w:szCs w:val="32"/>
        </w:rPr>
      </w:pPr>
      <w:r>
        <w:rPr>
          <w:rFonts w:ascii="黑体" w:hAnsi="Calibri" w:eastAsia="黑体" w:cs="Times New Roman"/>
          <w:b/>
          <w:bCs/>
          <w:sz w:val="32"/>
          <w:szCs w:val="32"/>
        </w:rPr>
        <mc:AlternateContent>
          <mc:Choice Requires="wps">
            <w:drawing>
              <wp:anchor distT="0" distB="0" distL="114300" distR="114300" simplePos="0" relativeHeight="251670528" behindDoc="0" locked="0" layoutInCell="1" allowOverlap="1">
                <wp:simplePos x="0" y="0"/>
                <wp:positionH relativeFrom="column">
                  <wp:posOffset>1438275</wp:posOffset>
                </wp:positionH>
                <wp:positionV relativeFrom="paragraph">
                  <wp:posOffset>2757805</wp:posOffset>
                </wp:positionV>
                <wp:extent cx="2760345" cy="490220"/>
                <wp:effectExtent l="0" t="0" r="2540" b="5715"/>
                <wp:wrapNone/>
                <wp:docPr id="155" name="文本框 32" descr="财政拨款收入"/>
                <wp:cNvGraphicFramePr/>
                <a:graphic xmlns:a="http://schemas.openxmlformats.org/drawingml/2006/main">
                  <a:graphicData uri="http://schemas.microsoft.com/office/word/2010/wordprocessingShape">
                    <wps:wsp>
                      <wps:cNvSpPr txBox="1"/>
                      <wps:spPr>
                        <a:xfrm>
                          <a:off x="0" y="0"/>
                          <a:ext cx="2760345" cy="49022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ascii="仿宋_GB2312" w:hAnsi="Times New Roman" w:eastAsia="仿宋_GB2312" w:cs="DengXian-Regular"/>
                                <w:sz w:val="28"/>
                                <w:szCs w:val="28"/>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alt="财政拨款收入" type="#_x0000_t202" style="position:absolute;left:0pt;margin-left:113.25pt;margin-top:217.15pt;height:38.6pt;width:217.35pt;z-index:251670528;mso-width-relative:page;mso-height-relative:page;" fillcolor="#FFFFFF" filled="t" stroked="f" coordsize="21600,21600" o:gfxdata="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g5qGddcAAAALAQAADwAAAAAAAAABACAAAAAi&#10;AAAAZHJzL2Rvd25yZXYueG1sUEsBAhQAFAAAAAgAh07iQFjY7SZ9AgAAuwQAAA4AAAAAAAAAAQAg&#10;AAAAJgEAAGRycy9lMm9Eb2MueG1sUEsFBgAAAAAGAAYAWQEAABUGA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ascii="仿宋_GB2312" w:hAnsi="Times New Roman" w:eastAsia="仿宋_GB2312" w:cs="DengXian-Regular"/>
                          <w:sz w:val="28"/>
                          <w:szCs w:val="28"/>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v:textbox>
              </v:shape>
            </w:pict>
          </mc:Fallback>
        </mc:AlternateContent>
      </w:r>
      <w:r>
        <w:rPr>
          <w:rFonts w:ascii="黑体" w:hAnsi="Calibri" w:eastAsia="黑体" w:cs="Times New Roman"/>
          <w:b/>
          <w:bCs/>
          <w:sz w:val="32"/>
          <w:szCs w:val="32"/>
        </w:rPr>
        <w:drawing>
          <wp:inline distT="0" distB="0" distL="114300" distR="114300">
            <wp:extent cx="4591050" cy="2762250"/>
            <wp:effectExtent l="0" t="0" r="0" b="0"/>
            <wp:docPr id="67" name="图片 67" descr="饼状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饼状图"/>
                    <pic:cNvPicPr>
                      <a:picLocks noChangeAspect="1"/>
                    </pic:cNvPicPr>
                  </pic:nvPicPr>
                  <pic:blipFill>
                    <a:blip r:embed="rId33"/>
                    <a:stretch>
                      <a:fillRect/>
                    </a:stretch>
                  </pic:blipFill>
                  <pic:spPr>
                    <a:xfrm>
                      <a:off x="0" y="0"/>
                      <a:ext cx="4591050" cy="2762250"/>
                    </a:xfrm>
                    <a:prstGeom prst="rect">
                      <a:avLst/>
                    </a:prstGeom>
                  </pic:spPr>
                </pic:pic>
              </a:graphicData>
            </a:graphic>
          </wp:inline>
        </w:drawing>
      </w:r>
    </w:p>
    <w:p>
      <w:pPr>
        <w:keepNext/>
        <w:keepLines/>
        <w:snapToGrid w:val="0"/>
        <w:spacing w:line="580" w:lineRule="exact"/>
        <w:outlineLvl w:val="1"/>
        <w:rPr>
          <w:rFonts w:hint="eastAsia"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ascii="仿宋_GB2312" w:hAnsi="Times New Roman" w:eastAsia="仿宋_GB2312" w:cs="DengXian-Regular"/>
          <w:sz w:val="32"/>
          <w:szCs w:val="32"/>
        </w:rPr>
        <w:t>872.77</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840.89</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96.3</w:t>
      </w:r>
      <w:r>
        <w:rPr>
          <w:rFonts w:hint="eastAsia" w:ascii="仿宋_GB2312" w:hAnsi="Times New Roman" w:eastAsia="仿宋_GB2312" w:cs="DengXian-Regular"/>
          <w:sz w:val="32"/>
          <w:szCs w:val="32"/>
        </w:rPr>
        <w:t>%；项目支出</w:t>
      </w:r>
      <w:r>
        <w:rPr>
          <w:rFonts w:ascii="仿宋_GB2312" w:hAnsi="Times New Roman" w:eastAsia="仿宋_GB2312" w:cs="DengXian-Regular"/>
          <w:sz w:val="32"/>
          <w:szCs w:val="32"/>
        </w:rPr>
        <w:t>31.88</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3.7</w:t>
      </w:r>
      <w:r>
        <w:rPr>
          <w:rFonts w:hint="eastAsia" w:ascii="仿宋_GB2312" w:hAnsi="Times New Roman" w:eastAsia="仿宋_GB2312" w:cs="DengXian-Regular"/>
          <w:sz w:val="32"/>
          <w:szCs w:val="32"/>
        </w:rPr>
        <w:t>%；经营支出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inline distT="0" distB="0" distL="114300" distR="114300">
            <wp:extent cx="4581525" cy="2752725"/>
            <wp:effectExtent l="0" t="0" r="9525" b="9525"/>
            <wp:docPr id="69" name="图片 69"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descr="2"/>
                    <pic:cNvPicPr>
                      <a:picLocks noChangeAspect="1"/>
                    </pic:cNvPicPr>
                  </pic:nvPicPr>
                  <pic:blipFill>
                    <a:blip r:embed="rId34"/>
                    <a:stretch>
                      <a:fillRect/>
                    </a:stretch>
                  </pic:blipFill>
                  <pic:spPr>
                    <a:xfrm>
                      <a:off x="0" y="0"/>
                      <a:ext cx="4581525" cy="2752725"/>
                    </a:xfrm>
                    <a:prstGeom prst="rect">
                      <a:avLst/>
                    </a:prstGeom>
                  </pic:spPr>
                </pic:pic>
              </a:graphicData>
            </a:graphic>
          </wp:inline>
        </w:drawing>
      </w: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560" w:firstLineChars="200"/>
        <w:jc w:val="center"/>
        <w:rPr>
          <w:rFonts w:hint="eastAsia" w:ascii="仿宋_GB2312" w:hAnsi="Times New Roman" w:eastAsia="仿宋_GB2312" w:cs="DengXian-Regular"/>
          <w:sz w:val="32"/>
          <w:szCs w:val="32"/>
        </w:rPr>
      </w:pPr>
      <w:r>
        <w:rPr>
          <w:rFonts w:hint="eastAsia" w:ascii="仿宋_GB2312" w:hAnsi="Times New Roman" w:eastAsia="仿宋_GB2312" w:cs="DengXian-Regular"/>
          <w:sz w:val="28"/>
          <w:szCs w:val="28"/>
        </w:rPr>
        <w:t>图2：支出构成情况（按支出性质）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ascii="仿宋_GB2312" w:hAnsi="Times New Roman" w:eastAsia="仿宋_GB2312" w:cs="DengXian-Regular"/>
          <w:sz w:val="32"/>
          <w:szCs w:val="32"/>
        </w:rPr>
        <w:t>896.67</w:t>
      </w:r>
      <w:r>
        <w:rPr>
          <w:rFonts w:hint="eastAsia" w:ascii="仿宋_GB2312" w:hAnsi="Times New Roman" w:eastAsia="仿宋_GB2312" w:cs="DengXian-Regular"/>
          <w:sz w:val="32"/>
          <w:szCs w:val="32"/>
        </w:rPr>
        <w:t>万元,比2018年度增加4</w:t>
      </w:r>
      <w:r>
        <w:rPr>
          <w:rFonts w:ascii="仿宋_GB2312" w:hAnsi="Times New Roman" w:eastAsia="仿宋_GB2312" w:cs="DengXian-Regular"/>
          <w:sz w:val="32"/>
          <w:szCs w:val="32"/>
        </w:rPr>
        <w:t>1.95</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4.9</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人员增加公用经费增加</w:t>
      </w:r>
      <w:r>
        <w:rPr>
          <w:rFonts w:hint="eastAsia" w:ascii="仿宋_GB2312" w:hAnsi="Times New Roman" w:eastAsia="仿宋_GB2312" w:cs="DengXian-Regular"/>
          <w:sz w:val="32"/>
          <w:szCs w:val="32"/>
        </w:rPr>
        <w:t>；本年支出</w:t>
      </w:r>
      <w:r>
        <w:rPr>
          <w:rFonts w:ascii="仿宋_GB2312" w:hAnsi="Times New Roman" w:eastAsia="仿宋_GB2312" w:cs="DengXian-Regular"/>
          <w:sz w:val="32"/>
          <w:szCs w:val="32"/>
        </w:rPr>
        <w:t>871.18</w:t>
      </w:r>
      <w:r>
        <w:rPr>
          <w:rFonts w:hint="eastAsia" w:ascii="仿宋_GB2312" w:hAnsi="Times New Roman" w:eastAsia="仿宋_GB2312" w:cs="DengXian-Regular"/>
          <w:sz w:val="32"/>
          <w:szCs w:val="32"/>
        </w:rPr>
        <w:t>万元，增加5</w:t>
      </w:r>
      <w:r>
        <w:rPr>
          <w:rFonts w:ascii="仿宋_GB2312" w:hAnsi="Times New Roman" w:eastAsia="仿宋_GB2312" w:cs="DengXian-Regular"/>
          <w:sz w:val="32"/>
          <w:szCs w:val="32"/>
        </w:rPr>
        <w:t>8.34</w:t>
      </w:r>
      <w:r>
        <w:rPr>
          <w:rFonts w:hint="eastAsia" w:ascii="仿宋_GB2312" w:hAnsi="Times New Roman" w:eastAsia="仿宋_GB2312" w:cs="DengXian-Regular"/>
          <w:sz w:val="32"/>
          <w:szCs w:val="32"/>
        </w:rPr>
        <w:t>万元，增长7</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人员增加公用经费增加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snapToGrid w:val="0"/>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inline distT="0" distB="0" distL="114300" distR="114300">
            <wp:extent cx="4591050" cy="2743200"/>
            <wp:effectExtent l="0" t="0" r="0" b="0"/>
            <wp:docPr id="70" name="图片 70"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
                    <pic:cNvPicPr>
                      <a:picLocks noChangeAspect="1"/>
                    </pic:cNvPicPr>
                  </pic:nvPicPr>
                  <pic:blipFill>
                    <a:blip r:embed="rId35"/>
                    <a:stretch>
                      <a:fillRect/>
                    </a:stretch>
                  </pic:blipFill>
                  <pic:spPr>
                    <a:xfrm>
                      <a:off x="0" y="0"/>
                      <a:ext cx="4591050" cy="2743200"/>
                    </a:xfrm>
                    <a:prstGeom prst="rect">
                      <a:avLst/>
                    </a:prstGeom>
                  </pic:spPr>
                </pic:pic>
              </a:graphicData>
            </a:graphic>
          </wp:inline>
        </w:drawing>
      </w:r>
    </w:p>
    <w:p>
      <w:pPr>
        <w:adjustRightInd w:val="0"/>
        <w:snapToGrid w:val="0"/>
        <w:spacing w:line="560" w:lineRule="exact"/>
        <w:rPr>
          <w:rFonts w:ascii="仿宋_GB2312" w:eastAsia="仿宋_GB2312" w:cs="DengXian-Regular"/>
          <w:sz w:val="28"/>
          <w:szCs w:val="28"/>
        </w:rPr>
      </w:pPr>
    </w:p>
    <w:p>
      <w:pPr>
        <w:adjustRightInd w:val="0"/>
        <w:snapToGrid w:val="0"/>
        <w:spacing w:line="560" w:lineRule="exact"/>
        <w:jc w:val="center"/>
        <w:rPr>
          <w:rFonts w:hint="eastAsia" w:ascii="仿宋_GB2312" w:eastAsia="仿宋_GB2312" w:cs="DengXian-Regular"/>
          <w:sz w:val="28"/>
          <w:szCs w:val="28"/>
        </w:rPr>
      </w:pPr>
      <w:r>
        <w:rPr>
          <w:rFonts w:hint="eastAsia" w:ascii="仿宋_GB2312" w:eastAsia="仿宋_GB2312" w:cs="DengXian-Regular"/>
          <w:sz w:val="28"/>
          <w:szCs w:val="28"/>
        </w:rPr>
        <w:t>图3：财政拨款收支预决算对比情况</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ascii="仿宋_GB2312" w:hAnsi="Times New Roman" w:eastAsia="仿宋_GB2312" w:cs="DengXian-Regular"/>
          <w:sz w:val="32"/>
          <w:szCs w:val="32"/>
        </w:rPr>
        <w:t>896.67</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111.86</w:t>
      </w:r>
      <w:r>
        <w:rPr>
          <w:rFonts w:hint="eastAsia" w:ascii="仿宋_GB2312" w:hAnsi="Times New Roman" w:eastAsia="仿宋_GB2312" w:cs="DengXian-Regular"/>
          <w:sz w:val="32"/>
          <w:szCs w:val="32"/>
        </w:rPr>
        <w:t>%（如图4）,比年初预算增加</w:t>
      </w:r>
      <w:r>
        <w:rPr>
          <w:rFonts w:ascii="仿宋_GB2312" w:hAnsi="Times New Roman" w:eastAsia="仿宋_GB2312" w:cs="DengXian-Regular"/>
          <w:sz w:val="32"/>
          <w:szCs w:val="32"/>
        </w:rPr>
        <w:t>95.13</w:t>
      </w:r>
      <w:r>
        <w:rPr>
          <w:rFonts w:hint="eastAsia" w:ascii="仿宋_GB2312" w:hAnsi="Times New Roman" w:eastAsia="仿宋_GB2312" w:cs="DengXian-Regular"/>
          <w:sz w:val="32"/>
          <w:szCs w:val="32"/>
        </w:rPr>
        <w:t>万元，决算数大于预算数主要原因是</w:t>
      </w:r>
      <w:r>
        <w:rPr>
          <w:rFonts w:hint="eastAsia" w:ascii="仿宋_GB2312" w:eastAsia="仿宋_GB2312" w:cs="DengXian-Regular"/>
          <w:sz w:val="32"/>
          <w:szCs w:val="32"/>
        </w:rPr>
        <w:t>人员增加公用经费增加</w:t>
      </w:r>
      <w:r>
        <w:rPr>
          <w:rFonts w:hint="eastAsia" w:ascii="仿宋_GB2312" w:hAnsi="Times New Roman" w:eastAsia="仿宋_GB2312" w:cs="DengXian-Regular"/>
          <w:sz w:val="32"/>
          <w:szCs w:val="32"/>
        </w:rPr>
        <w:t>；本年支出</w:t>
      </w:r>
      <w:r>
        <w:rPr>
          <w:rFonts w:ascii="仿宋_GB2312" w:hAnsi="Times New Roman" w:eastAsia="仿宋_GB2312" w:cs="DengXian-Regular"/>
          <w:sz w:val="32"/>
          <w:szCs w:val="32"/>
        </w:rPr>
        <w:t>871.18</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108.68</w:t>
      </w:r>
      <w:r>
        <w:rPr>
          <w:rFonts w:hint="eastAsia" w:ascii="仿宋_GB2312" w:hAnsi="Times New Roman" w:eastAsia="仿宋_GB2312" w:cs="DengXian-Regular"/>
          <w:sz w:val="32"/>
          <w:szCs w:val="32"/>
        </w:rPr>
        <w:t>%,比年初预算增加6</w:t>
      </w:r>
      <w:r>
        <w:rPr>
          <w:rFonts w:ascii="仿宋_GB2312" w:hAnsi="Times New Roman" w:eastAsia="仿宋_GB2312" w:cs="DengXian-Regular"/>
          <w:sz w:val="32"/>
          <w:szCs w:val="32"/>
        </w:rPr>
        <w:t>9.64</w:t>
      </w:r>
      <w:r>
        <w:rPr>
          <w:rFonts w:hint="eastAsia" w:ascii="仿宋_GB2312" w:hAnsi="Times New Roman" w:eastAsia="仿宋_GB2312" w:cs="DengXian-Regular"/>
          <w:sz w:val="32"/>
          <w:szCs w:val="32"/>
        </w:rPr>
        <w:t>万元，决算数大于预算数主要原因是主要是</w:t>
      </w:r>
      <w:r>
        <w:rPr>
          <w:rFonts w:hint="eastAsia" w:ascii="仿宋_GB2312" w:eastAsia="仿宋_GB2312" w:cs="DengXian-Regular"/>
          <w:sz w:val="32"/>
          <w:szCs w:val="32"/>
        </w:rPr>
        <w:t>人员增加公用经费增加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ind w:firstLine="640" w:firstLineChars="200"/>
        <w:jc w:val="center"/>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inline distT="0" distB="0" distL="114300" distR="114300">
            <wp:extent cx="4562475" cy="2714625"/>
            <wp:effectExtent l="0" t="0" r="9525" b="9525"/>
            <wp:docPr id="72" name="图片 72"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descr="5"/>
                    <pic:cNvPicPr>
                      <a:picLocks noChangeAspect="1"/>
                    </pic:cNvPicPr>
                  </pic:nvPicPr>
                  <pic:blipFill>
                    <a:blip r:embed="rId36"/>
                    <a:stretch>
                      <a:fillRect/>
                    </a:stretch>
                  </pic:blipFill>
                  <pic:spPr>
                    <a:xfrm>
                      <a:off x="0" y="0"/>
                      <a:ext cx="4562475" cy="2714625"/>
                    </a:xfrm>
                    <a:prstGeom prst="rect">
                      <a:avLst/>
                    </a:prstGeom>
                  </pic:spPr>
                </pic:pic>
              </a:graphicData>
            </a:graphic>
          </wp:inline>
        </w:drawing>
      </w:r>
    </w:p>
    <w:p>
      <w:pPr>
        <w:snapToGrid w:val="0"/>
        <w:spacing w:line="580" w:lineRule="exact"/>
        <w:ind w:firstLine="560" w:firstLineChars="200"/>
        <w:jc w:val="center"/>
        <w:rPr>
          <w:rFonts w:ascii="仿宋_GB2312" w:hAnsi="Times New Roman" w:eastAsia="仿宋_GB2312" w:cs="DengXian-Regular"/>
          <w:sz w:val="32"/>
          <w:szCs w:val="32"/>
        </w:rPr>
      </w:pPr>
      <w:r>
        <w:rPr>
          <w:rFonts w:hint="eastAsia" w:ascii="仿宋_GB2312" w:hAnsi="Times New Roman" w:eastAsia="仿宋_GB2312" w:cs="DengXian-Regular"/>
          <w:sz w:val="28"/>
          <w:szCs w:val="28"/>
        </w:rPr>
        <w:t>图4：财政拨款收支与年初预算数对比情况</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ascii="仿宋_GB2312" w:hAnsi="Times New Roman" w:eastAsia="仿宋_GB2312" w:cs="DengXian-Regular"/>
          <w:sz w:val="32"/>
          <w:szCs w:val="32"/>
        </w:rPr>
        <w:t>871.18</w:t>
      </w:r>
      <w:r>
        <w:rPr>
          <w:rFonts w:hint="eastAsia" w:ascii="仿宋_GB2312" w:hAnsi="Times New Roman" w:eastAsia="仿宋_GB2312" w:cs="DengXian-Regular"/>
          <w:sz w:val="32"/>
          <w:szCs w:val="32"/>
        </w:rPr>
        <w:t>万元，主要用于以下方面：一般公共服务（类）支出</w:t>
      </w:r>
      <w:r>
        <w:rPr>
          <w:rFonts w:ascii="仿宋_GB2312" w:hAnsi="Times New Roman" w:eastAsia="仿宋_GB2312" w:cs="DengXian-Regular"/>
          <w:sz w:val="32"/>
          <w:szCs w:val="32"/>
        </w:rPr>
        <w:t>115.14</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13.2</w:t>
      </w:r>
      <w:r>
        <w:rPr>
          <w:rFonts w:hint="eastAsia" w:ascii="仿宋_GB2312" w:hAnsi="Times New Roman" w:eastAsia="仿宋_GB2312" w:cs="DengXian-Regular"/>
          <w:sz w:val="32"/>
          <w:szCs w:val="32"/>
        </w:rPr>
        <w:t>%；公共安全类（类）支出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%；教育（类）支出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%；科学技术（类）支出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 xml:space="preserve">万元，占 </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%；文化旅游体育与传媒支出（类）</w:t>
      </w:r>
      <w:r>
        <w:rPr>
          <w:rFonts w:ascii="仿宋_GB2312" w:hAnsi="Times New Roman" w:eastAsia="仿宋_GB2312" w:cs="DengXian-Regular"/>
          <w:sz w:val="32"/>
          <w:szCs w:val="32"/>
        </w:rPr>
        <w:t>589.70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67.69</w:t>
      </w:r>
      <w:r>
        <w:rPr>
          <w:rFonts w:hint="eastAsia" w:ascii="仿宋_GB2312" w:hAnsi="Times New Roman" w:eastAsia="仿宋_GB2312" w:cs="DengXian-Regular"/>
          <w:sz w:val="32"/>
          <w:szCs w:val="32"/>
        </w:rPr>
        <w:t xml:space="preserve">%；社会保障和就业（类）支出 </w:t>
      </w:r>
      <w:r>
        <w:rPr>
          <w:rFonts w:ascii="仿宋_GB2312" w:hAnsi="Times New Roman" w:eastAsia="仿宋_GB2312" w:cs="DengXian-Regular"/>
          <w:sz w:val="32"/>
          <w:szCs w:val="32"/>
        </w:rPr>
        <w:t>82.11</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9.43</w:t>
      </w:r>
      <w:r>
        <w:rPr>
          <w:rFonts w:hint="eastAsia" w:ascii="仿宋_GB2312" w:hAnsi="Times New Roman" w:eastAsia="仿宋_GB2312" w:cs="DengXian-Regular"/>
          <w:sz w:val="32"/>
          <w:szCs w:val="32"/>
        </w:rPr>
        <w:t>%；卫生健康（类）支出4</w:t>
      </w:r>
      <w:r>
        <w:rPr>
          <w:rFonts w:ascii="仿宋_GB2312" w:hAnsi="Times New Roman" w:eastAsia="仿宋_GB2312" w:cs="DengXian-Regular"/>
          <w:sz w:val="32"/>
          <w:szCs w:val="32"/>
        </w:rPr>
        <w:t>7.21</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5.42</w:t>
      </w:r>
      <w:r>
        <w:rPr>
          <w:rFonts w:hint="eastAsia" w:ascii="仿宋_GB2312" w:hAnsi="Times New Roman" w:eastAsia="仿宋_GB2312" w:cs="DengXian-Regular"/>
          <w:sz w:val="32"/>
          <w:szCs w:val="32"/>
        </w:rPr>
        <w:t>%；住房保障（类）支出</w:t>
      </w:r>
      <w:r>
        <w:rPr>
          <w:rFonts w:ascii="仿宋_GB2312" w:hAnsi="Times New Roman" w:eastAsia="仿宋_GB2312" w:cs="DengXian-Regular"/>
          <w:sz w:val="32"/>
          <w:szCs w:val="32"/>
        </w:rPr>
        <w:t>37.02</w:t>
      </w:r>
      <w:r>
        <w:rPr>
          <w:rFonts w:hint="eastAsia" w:ascii="仿宋_GB2312" w:hAnsi="Times New Roman" w:eastAsia="仿宋_GB2312" w:cs="DengXian-Regular"/>
          <w:sz w:val="32"/>
          <w:szCs w:val="32"/>
        </w:rPr>
        <w:t xml:space="preserve">万元，占 </w:t>
      </w:r>
      <w:r>
        <w:rPr>
          <w:rFonts w:ascii="仿宋_GB2312" w:hAnsi="Times New Roman" w:eastAsia="仿宋_GB2312" w:cs="DengXian-Regular"/>
          <w:sz w:val="32"/>
          <w:szCs w:val="32"/>
        </w:rPr>
        <w:t>4.26</w:t>
      </w:r>
      <w:r>
        <w:rPr>
          <w:rFonts w:hint="eastAsia" w:ascii="仿宋_GB2312" w:hAnsi="Times New Roman" w:eastAsia="仿宋_GB2312" w:cs="DengXian-Regular"/>
          <w:sz w:val="32"/>
          <w:szCs w:val="32"/>
        </w:rPr>
        <w:t>%。</w:t>
      </w:r>
    </w:p>
    <w:p>
      <w:pPr>
        <w:adjustRightInd w:val="0"/>
        <w:snapToGrid w:val="0"/>
        <w:jc w:val="center"/>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inline distT="0" distB="0" distL="114300" distR="114300">
            <wp:extent cx="4620260" cy="2780665"/>
            <wp:effectExtent l="0" t="0" r="8890" b="635"/>
            <wp:docPr id="71" name="图片 71"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4"/>
                    <pic:cNvPicPr>
                      <a:picLocks noChangeAspect="1"/>
                    </pic:cNvPicPr>
                  </pic:nvPicPr>
                  <pic:blipFill>
                    <a:blip r:embed="rId37"/>
                    <a:stretch>
                      <a:fillRect/>
                    </a:stretch>
                  </pic:blipFill>
                  <pic:spPr>
                    <a:xfrm>
                      <a:off x="0" y="0"/>
                      <a:ext cx="4636870" cy="2790864"/>
                    </a:xfrm>
                    <a:prstGeom prst="rect">
                      <a:avLst/>
                    </a:prstGeom>
                  </pic:spPr>
                </pic:pic>
              </a:graphicData>
            </a:graphic>
          </wp:inline>
        </w:drawing>
      </w:r>
    </w:p>
    <w:p>
      <w:pPr>
        <w:adjustRightInd w:val="0"/>
        <w:snapToGrid w:val="0"/>
        <w:jc w:val="center"/>
        <w:rPr>
          <w:rFonts w:ascii="楷体_GB2312" w:hAnsi="Times New Roman" w:eastAsia="楷体_GB2312" w:cs="DengXian-Bold"/>
          <w:b/>
          <w:bCs/>
          <w:sz w:val="32"/>
          <w:szCs w:val="32"/>
        </w:rPr>
      </w:pPr>
      <w:r>
        <w:rPr>
          <w:rFonts w:hint="eastAsia" w:ascii="仿宋_GB2312" w:hAnsi="Times New Roman" w:eastAsia="仿宋_GB2312" w:cs="DengXian-Regular"/>
          <w:sz w:val="28"/>
          <w:szCs w:val="28"/>
        </w:rPr>
        <w:t>图5：财政拨款支出决算结构（按功能分）</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ascii="仿宋_GB2312" w:hAnsi="Times New Roman" w:eastAsia="仿宋_GB2312" w:cs="DengXian-Regular"/>
          <w:sz w:val="32"/>
          <w:szCs w:val="32"/>
        </w:rPr>
        <w:t>840.89</w:t>
      </w:r>
      <w:r>
        <w:rPr>
          <w:rFonts w:hint="eastAsia" w:ascii="仿宋_GB2312" w:hAnsi="Times New Roman" w:eastAsia="仿宋_GB2312" w:cs="DengXian-Regular"/>
          <w:sz w:val="32"/>
          <w:szCs w:val="32"/>
        </w:rPr>
        <w:t xml:space="preserve">万元，其中：人员经费 </w:t>
      </w:r>
      <w:r>
        <w:rPr>
          <w:rFonts w:ascii="仿宋_GB2312" w:hAnsi="Times New Roman" w:eastAsia="仿宋_GB2312" w:cs="DengXian-Regular"/>
          <w:sz w:val="32"/>
          <w:szCs w:val="32"/>
        </w:rPr>
        <w:t>651.75</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hAnsi="Times New Roman" w:eastAsia="仿宋_GB2312" w:cs="DengXian-Regular"/>
          <w:sz w:val="32"/>
          <w:szCs w:val="32"/>
        </w:rPr>
        <w:t>189.14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ascii="仿宋_GB2312" w:hAnsi="Times New Roman" w:eastAsia="仿宋_GB2312" w:cs="DengXian-Regular"/>
          <w:sz w:val="32"/>
          <w:szCs w:val="32"/>
        </w:rPr>
        <w:t>4.35</w:t>
      </w:r>
      <w:r>
        <w:rPr>
          <w:rFonts w:hint="eastAsia" w:ascii="仿宋_GB2312" w:hAnsi="Times New Roman" w:eastAsia="仿宋_GB2312" w:cs="DengXian-Regular"/>
          <w:sz w:val="32"/>
          <w:szCs w:val="32"/>
        </w:rPr>
        <w:t>万元，完成预算的</w:t>
      </w:r>
      <w:r>
        <w:rPr>
          <w:rFonts w:ascii="仿宋_GB2312" w:hAnsi="Times New Roman" w:eastAsia="仿宋_GB2312" w:cs="DengXian-Regular"/>
          <w:sz w:val="32"/>
          <w:szCs w:val="32"/>
        </w:rPr>
        <w:t>46.3</w:t>
      </w:r>
      <w:r>
        <w:rPr>
          <w:rFonts w:hint="eastAsia" w:ascii="仿宋_GB2312" w:hAnsi="Times New Roman" w:eastAsia="仿宋_GB2312" w:cs="DengXian-Regular"/>
          <w:sz w:val="32"/>
          <w:szCs w:val="32"/>
        </w:rPr>
        <w:t>%,较预算减少</w:t>
      </w:r>
      <w:r>
        <w:rPr>
          <w:rFonts w:ascii="仿宋_GB2312" w:hAnsi="Times New Roman" w:eastAsia="仿宋_GB2312" w:cs="DengXian-Regular"/>
          <w:sz w:val="32"/>
          <w:szCs w:val="32"/>
        </w:rPr>
        <w:t>5.05</w:t>
      </w:r>
      <w:r>
        <w:rPr>
          <w:rFonts w:hint="eastAsia" w:ascii="仿宋_GB2312" w:hAnsi="Times New Roman" w:eastAsia="仿宋_GB2312" w:cs="DengXian-Regular"/>
          <w:sz w:val="32"/>
          <w:szCs w:val="32"/>
        </w:rPr>
        <w:t>万元，降低5</w:t>
      </w:r>
      <w:r>
        <w:rPr>
          <w:rFonts w:ascii="仿宋_GB2312" w:hAnsi="Times New Roman" w:eastAsia="仿宋_GB2312" w:cs="DengXian-Regular"/>
          <w:sz w:val="32"/>
          <w:szCs w:val="32"/>
        </w:rPr>
        <w:t>3.7</w:t>
      </w:r>
      <w:r>
        <w:rPr>
          <w:rFonts w:hint="eastAsia" w:ascii="仿宋_GB2312" w:hAnsi="Times New Roman" w:eastAsia="仿宋_GB2312" w:cs="DengXian-Regular"/>
          <w:sz w:val="32"/>
          <w:szCs w:val="32"/>
        </w:rPr>
        <w:t>%，主要是认真贯彻落实中央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精神和厉行节约要求，从严控制“三公”经费开支；较2018年度减少2</w:t>
      </w:r>
      <w:r>
        <w:rPr>
          <w:rFonts w:ascii="仿宋_GB2312" w:hAnsi="Times New Roman" w:eastAsia="仿宋_GB2312" w:cs="DengXian-Regular"/>
          <w:sz w:val="32"/>
          <w:szCs w:val="32"/>
        </w:rPr>
        <w:t>.04</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31.9</w:t>
      </w:r>
      <w:r>
        <w:rPr>
          <w:rFonts w:hint="eastAsia" w:ascii="仿宋_GB2312" w:hAnsi="Times New Roman" w:eastAsia="仿宋_GB2312" w:cs="DengXian-Regular"/>
          <w:sz w:val="32"/>
          <w:szCs w:val="32"/>
        </w:rPr>
        <w:t>%，主要是认真贯彻落实中央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个、共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人/参加其他单位组织的因公出国（境）团组</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个、共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人/无本单位组织的出国（境）团组。因公出国（境）费支出较预算增加（减少0万元，增长（降低）</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%,主要是年初无预算；较上年增加（减少）</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万元，增长（降低）</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%,主要是年初无预算。</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ascii="楷体_GB2312" w:hAnsi="Times New Roman" w:eastAsia="楷体_GB2312" w:cs="DengXian-Bold"/>
          <w:b/>
          <w:bCs/>
          <w:sz w:val="32"/>
          <w:szCs w:val="32"/>
        </w:rPr>
        <w:t>3.37</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ascii="仿宋_GB2312" w:hAnsi="Times New Roman" w:eastAsia="仿宋_GB2312" w:cs="DengXian-Regular"/>
          <w:sz w:val="32"/>
          <w:szCs w:val="32"/>
        </w:rPr>
        <w:t>2.03</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37.6</w:t>
      </w:r>
      <w:r>
        <w:rPr>
          <w:rFonts w:hint="eastAsia" w:ascii="仿宋_GB2312" w:hAnsi="Times New Roman" w:eastAsia="仿宋_GB2312" w:cs="DengXian-Regular"/>
          <w:sz w:val="32"/>
          <w:szCs w:val="32"/>
        </w:rPr>
        <w:t>%,主要是认真贯彻落实中央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精神和厉行节约要求，从严控制“三公”经费开支；较上年减少</w:t>
      </w:r>
      <w:r>
        <w:rPr>
          <w:rFonts w:ascii="仿宋_GB2312" w:hAnsi="Times New Roman" w:eastAsia="仿宋_GB2312" w:cs="DengXian-Regular"/>
          <w:sz w:val="32"/>
          <w:szCs w:val="32"/>
        </w:rPr>
        <w:t>1.21</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26.4</w:t>
      </w:r>
      <w:r>
        <w:rPr>
          <w:rFonts w:hint="eastAsia" w:ascii="仿宋_GB2312" w:hAnsi="Times New Roman" w:eastAsia="仿宋_GB2312" w:cs="DengXian-Regular"/>
          <w:sz w:val="32"/>
          <w:szCs w:val="32"/>
        </w:rPr>
        <w:t>%，主要是认真贯彻落实中央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辆，发生“公务用车购置”经费支出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万元。公务用车购置费支出较预算增加（减少）</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万元，增长（降低）</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color w:val="000000"/>
          <w:sz w:val="32"/>
          <w:szCs w:val="32"/>
        </w:rPr>
        <w:t>未发生“公务用车购置”经费支出</w:t>
      </w:r>
      <w:r>
        <w:rPr>
          <w:rFonts w:hint="eastAsia" w:ascii="仿宋_GB2312" w:hAnsi="Times New Roman" w:eastAsia="仿宋_GB2312" w:cs="DengXian-Regular"/>
          <w:sz w:val="32"/>
          <w:szCs w:val="32"/>
        </w:rPr>
        <w:t>；较上年增加（减少）</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万元，增长（降低）</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color w:val="000000"/>
          <w:sz w:val="32"/>
          <w:szCs w:val="32"/>
        </w:rPr>
        <w:t>未发生“公务用车购置”经费支出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辆。公车运行维护费支出较预算减少</w:t>
      </w:r>
      <w:r>
        <w:rPr>
          <w:rFonts w:ascii="仿宋_GB2312" w:hAnsi="Times New Roman" w:eastAsia="仿宋_GB2312" w:cs="DengXian-Regular"/>
          <w:sz w:val="32"/>
          <w:szCs w:val="32"/>
        </w:rPr>
        <w:t>2.03</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37.6</w:t>
      </w:r>
      <w:r>
        <w:rPr>
          <w:rFonts w:hint="eastAsia" w:ascii="仿宋_GB2312" w:hAnsi="Times New Roman" w:eastAsia="仿宋_GB2312" w:cs="DengXian-Regular"/>
          <w:sz w:val="32"/>
          <w:szCs w:val="32"/>
        </w:rPr>
        <w:t>%,主要是认真贯彻落实中央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精神和厉行节约要求，从严控制“三公”经费开支；较上年减少</w:t>
      </w:r>
      <w:r>
        <w:rPr>
          <w:rFonts w:ascii="仿宋_GB2312" w:hAnsi="Times New Roman" w:eastAsia="仿宋_GB2312" w:cs="DengXian-Regular"/>
          <w:sz w:val="32"/>
          <w:szCs w:val="32"/>
        </w:rPr>
        <w:t>1.21</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26.4</w:t>
      </w:r>
      <w:r>
        <w:rPr>
          <w:rFonts w:hint="eastAsia" w:ascii="仿宋_GB2312" w:hAnsi="Times New Roman" w:eastAsia="仿宋_GB2312" w:cs="DengXian-Regular"/>
          <w:sz w:val="32"/>
          <w:szCs w:val="32"/>
        </w:rPr>
        <w:t>%，主要是认真贯彻落实中央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ascii="楷体_GB2312" w:hAnsi="Times New Roman" w:eastAsia="楷体_GB2312" w:cs="DengXian-Bold"/>
          <w:b/>
          <w:bCs/>
          <w:sz w:val="32"/>
          <w:szCs w:val="32"/>
        </w:rPr>
        <w:t>0.98</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批次、</w:t>
      </w:r>
      <w:r>
        <w:rPr>
          <w:rFonts w:ascii="仿宋_GB2312" w:hAnsi="Times New Roman" w:eastAsia="仿宋_GB2312" w:cs="DengXian-Regular"/>
          <w:sz w:val="32"/>
          <w:szCs w:val="32"/>
        </w:rPr>
        <w:t>544</w:t>
      </w:r>
      <w:r>
        <w:rPr>
          <w:rFonts w:hint="eastAsia" w:ascii="仿宋_GB2312" w:hAnsi="Times New Roman" w:eastAsia="仿宋_GB2312" w:cs="DengXian-Regular"/>
          <w:sz w:val="32"/>
          <w:szCs w:val="32"/>
        </w:rPr>
        <w:t>人次。公务接待费支出较预算减少</w:t>
      </w:r>
      <w:r>
        <w:rPr>
          <w:rFonts w:ascii="仿宋_GB2312" w:hAnsi="Times New Roman" w:eastAsia="仿宋_GB2312" w:cs="DengXian-Regular"/>
          <w:sz w:val="32"/>
          <w:szCs w:val="32"/>
        </w:rPr>
        <w:t>3.02</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75.5</w:t>
      </w:r>
      <w:r>
        <w:rPr>
          <w:rFonts w:hint="eastAsia" w:ascii="仿宋_GB2312" w:hAnsi="Times New Roman" w:eastAsia="仿宋_GB2312" w:cs="DengXian-Regular"/>
          <w:sz w:val="32"/>
          <w:szCs w:val="32"/>
        </w:rPr>
        <w:t>%,主要是认真贯彻落实中央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精神和厉行节约要求，从严控制“三公”经费开支；较上年度减少</w:t>
      </w:r>
      <w:r>
        <w:rPr>
          <w:rFonts w:ascii="仿宋_GB2312" w:hAnsi="Times New Roman" w:eastAsia="仿宋_GB2312" w:cs="DengXian-Regular"/>
          <w:sz w:val="32"/>
          <w:szCs w:val="32"/>
        </w:rPr>
        <w:t>0.82</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45.5</w:t>
      </w:r>
      <w:r>
        <w:rPr>
          <w:rFonts w:hint="eastAsia" w:ascii="仿宋_GB2312" w:hAnsi="Times New Roman" w:eastAsia="仿宋_GB2312" w:cs="DengXian-Regular"/>
          <w:sz w:val="32"/>
          <w:szCs w:val="32"/>
        </w:rPr>
        <w:t>%,主要是认真贯彻落实中央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w:t>
      </w:r>
      <w:bookmarkStart w:id="4" w:name="_GoBack"/>
      <w:bookmarkEnd w:id="4"/>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共涉及资金</w:t>
      </w:r>
      <w:r>
        <w:rPr>
          <w:rFonts w:hint="eastAsia" w:ascii="仿宋_GB2312" w:hAnsi="仿宋_GB2312" w:eastAsia="仿宋_GB2312" w:cs="仿宋_GB2312"/>
          <w:sz w:val="32"/>
          <w:szCs w:val="32"/>
          <w:lang w:val="en-US" w:eastAsia="zh-CN"/>
        </w:rPr>
        <w:t>157.365755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。组织对2019年度</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个政府性基金预算项目支出开展绩效自评，共涉及资金</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万元，占政府性基金预算项目支出总额的</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从评价结果来看，优秀项目</w:t>
      </w:r>
      <w:r>
        <w:rPr>
          <w:rFonts w:hint="eastAsia" w:ascii="仿宋_GB2312" w:hAnsi="仿宋_GB2312" w:eastAsia="仿宋_GB2312" w:cs="仿宋_GB2312"/>
          <w:sz w:val="32"/>
          <w:szCs w:val="32"/>
          <w:lang w:val="en-US" w:eastAsia="zh-CN"/>
        </w:rPr>
        <w:t>7个，</w:t>
      </w:r>
      <w:r>
        <w:rPr>
          <w:rFonts w:hint="eastAsia" w:ascii="仿宋_GB2312" w:hAnsi="仿宋_GB2312" w:eastAsia="仿宋_GB2312" w:cs="仿宋_GB2312"/>
          <w:sz w:val="32"/>
          <w:szCs w:val="32"/>
          <w:lang w:eastAsia="zh-CN"/>
        </w:rPr>
        <w:t>良好项目</w:t>
      </w:r>
      <w:r>
        <w:rPr>
          <w:rFonts w:hint="eastAsia" w:ascii="仿宋_GB2312" w:hAnsi="仿宋_GB2312" w:eastAsia="仿宋_GB2312" w:cs="仿宋_GB2312"/>
          <w:sz w:val="32"/>
          <w:szCs w:val="32"/>
          <w:lang w:val="en-US" w:eastAsia="zh-CN"/>
        </w:rPr>
        <w:t>1个。</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本部门在今年部门决算公开中反映原公社广播站机线员生活补贴项目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发射台改造改建项目</w:t>
      </w:r>
      <w:r>
        <w:rPr>
          <w:rFonts w:hint="eastAsia" w:ascii="仿宋_GB2312" w:hAnsi="仿宋_GB2312" w:eastAsia="仿宋_GB2312" w:cs="仿宋_GB2312"/>
          <w:sz w:val="32"/>
          <w:szCs w:val="32"/>
          <w:lang w:eastAsia="zh-CN"/>
        </w:rPr>
        <w:t>、</w:t>
      </w:r>
      <w:bookmarkStart w:id="1" w:name="_Hlk28955803"/>
      <w:r>
        <w:rPr>
          <w:rFonts w:hint="eastAsia" w:ascii="仿宋_GB2312" w:hAnsi="仿宋_GB2312" w:eastAsia="仿宋_GB2312" w:cs="仿宋_GB2312"/>
          <w:sz w:val="32"/>
          <w:szCs w:val="32"/>
          <w:lang w:eastAsia="zh-CN"/>
        </w:rPr>
        <w:t>广电专用设备购置</w:t>
      </w:r>
      <w:bookmarkEnd w:id="1"/>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原公社广播站机线员生活补贴项目自评综述：根据年初设定的绩效目标，原公社广播站机线员生活补贴项目绩效自评得分为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1.596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1.596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。项目绩效目标完成情况：妥善解决原公社广播站生活补贴问题。</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发射台改造改建项目绩效自评综述：根据年初设定的绩效目标，发射台改造改建项目绩效自评得分为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分。全年预算数为17.790755万元，执行数为17.790755万元，完成预算的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。项目绩效目标完成情况：保障完成了鹿泉电视台和鹿泉人民广播电台无线信号的发射任务和省数字电视区域覆盖任务。</w:t>
      </w:r>
    </w:p>
    <w:p>
      <w:pPr>
        <w:keepNext/>
        <w:keepLines/>
        <w:numPr>
          <w:ilvl w:val="0"/>
          <w:numId w:val="2"/>
        </w:numPr>
        <w:snapToGrid w:val="0"/>
        <w:spacing w:line="580" w:lineRule="exact"/>
        <w:ind w:left="0" w:leftChars="0" w:firstLine="640" w:firstLineChars="200"/>
        <w:outlineLvl w:val="1"/>
        <w:rPr>
          <w:rFonts w:hint="eastAsia" w:ascii="仿宋_GB2312" w:hAnsi="仿宋_GB2312" w:eastAsia="仿宋_GB2312" w:cs="仿宋_GB2312"/>
          <w:sz w:val="32"/>
          <w:szCs w:val="32"/>
        </w:rPr>
      </w:pPr>
      <w:bookmarkStart w:id="2" w:name="_Hlk28954371"/>
      <w:r>
        <w:rPr>
          <w:rFonts w:hint="eastAsia" w:ascii="仿宋_GB2312" w:hAnsi="仿宋_GB2312" w:eastAsia="仿宋_GB2312" w:cs="仿宋_GB2312"/>
          <w:sz w:val="32"/>
          <w:szCs w:val="32"/>
        </w:rPr>
        <w:t>军队退役人员公益岗位工资</w:t>
      </w:r>
      <w:bookmarkEnd w:id="2"/>
      <w:r>
        <w:rPr>
          <w:rFonts w:hint="eastAsia" w:ascii="仿宋_GB2312" w:hAnsi="仿宋_GB2312" w:eastAsia="仿宋_GB2312" w:cs="仿宋_GB2312"/>
          <w:sz w:val="32"/>
          <w:szCs w:val="32"/>
        </w:rPr>
        <w:t>项目绩效自评综述：根据年初设定的绩效目标，军队退役人员公益岗位工资项目绩效自评得分为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分。全年预算数为2.397万元，执行数为2.397万元，完成预算的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。项目绩效目标完成情况：帮扶救助到位，加大就业援助工作，实现就业。</w:t>
      </w:r>
    </w:p>
    <w:p>
      <w:pPr>
        <w:keepNext/>
        <w:keepLines/>
        <w:numPr>
          <w:ilvl w:val="0"/>
          <w:numId w:val="2"/>
        </w:numPr>
        <w:snapToGrid w:val="0"/>
        <w:spacing w:line="580" w:lineRule="exact"/>
        <w:ind w:left="0" w:leftChars="0" w:firstLine="640" w:firstLineChars="200"/>
        <w:outlineLvl w:val="1"/>
        <w:rPr>
          <w:rFonts w:hint="eastAsia" w:ascii="仿宋_GB2312" w:hAnsi="仿宋_GB2312" w:eastAsia="仿宋_GB2312" w:cs="仿宋_GB2312"/>
          <w:sz w:val="32"/>
          <w:szCs w:val="32"/>
        </w:rPr>
      </w:pPr>
      <w:bookmarkStart w:id="3" w:name="_Hlk28954200"/>
      <w:r>
        <w:rPr>
          <w:rFonts w:hint="eastAsia" w:ascii="仿宋_GB2312" w:hAnsi="仿宋_GB2312" w:eastAsia="仿宋_GB2312" w:cs="仿宋_GB2312"/>
          <w:sz w:val="32"/>
          <w:szCs w:val="32"/>
        </w:rPr>
        <w:t>涉军劳务派遣人员工资</w:t>
      </w:r>
      <w:bookmarkEnd w:id="3"/>
      <w:r>
        <w:rPr>
          <w:rFonts w:hint="eastAsia" w:ascii="仿宋_GB2312" w:hAnsi="仿宋_GB2312" w:eastAsia="仿宋_GB2312" w:cs="仿宋_GB2312"/>
          <w:sz w:val="32"/>
          <w:szCs w:val="32"/>
        </w:rPr>
        <w:t>项目绩效自评综述：根据年初设定的绩效目标，涉军劳务派遣人员工资项目绩效自评得分为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分。全年预算数为0.582万元，执行数为0.582万元，完成预算的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。项目绩效目标完成情况：帮扶救助到位，加大就业援助工作，实现就业。</w:t>
      </w:r>
    </w:p>
    <w:p>
      <w:pPr>
        <w:keepNext/>
        <w:keepLines/>
        <w:numPr>
          <w:ilvl w:val="0"/>
          <w:numId w:val="2"/>
        </w:numPr>
        <w:snapToGrid w:val="0"/>
        <w:spacing w:line="580" w:lineRule="exact"/>
        <w:ind w:left="0" w:leftChars="0" w:firstLine="640" w:firstLineChars="200"/>
        <w:outlineLvl w:val="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广电专用设备购置项目绩效自评综述：根据年初设定的绩效目标，广电专用设备购置项目绩效自评得分为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46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。项目绩效目标完成情况：保障了电视节目拍摄效果，提高了节目剪辑效率，改进了播音员录音质量，确保电视节目播出可靠流畅，丰富观众视听效果。</w:t>
      </w:r>
    </w:p>
    <w:p>
      <w:pPr>
        <w:keepNext/>
        <w:keepLines/>
        <w:numPr>
          <w:ilvl w:val="0"/>
          <w:numId w:val="2"/>
        </w:numPr>
        <w:snapToGrid w:val="0"/>
        <w:spacing w:line="580" w:lineRule="exact"/>
        <w:ind w:left="0" w:leftChars="0" w:firstLine="640" w:firstLineChars="200"/>
        <w:outlineLvl w:val="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新闻出版项目绩效自评综述：根据年初设定的绩效目标，新闻出版项目绩效自评得分为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。项目绩效目标完成情况：确保正确舆论导向，为全区各项工作的顺利开展提供思想保证和舆论支持。</w:t>
      </w:r>
    </w:p>
    <w:p>
      <w:pPr>
        <w:keepNext/>
        <w:keepLines/>
        <w:numPr>
          <w:ilvl w:val="0"/>
          <w:numId w:val="2"/>
        </w:numPr>
        <w:snapToGrid w:val="0"/>
        <w:spacing w:line="580" w:lineRule="exact"/>
        <w:ind w:left="0" w:leftChars="0" w:firstLine="640" w:firstLineChars="200"/>
        <w:outlineLvl w:val="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电力保障经费项目绩效自评综述：根据年初设定的绩效目标，电力保障经费项目绩效自评得分为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35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。项目绩效目标完成情况：电视台机房、海山岭发射台电力供应得到保障，确保了电视信号发射设备正常运转，完成了无线广播电视节目的传输、覆盖和安全播出任务。</w:t>
      </w:r>
    </w:p>
    <w:p>
      <w:pPr>
        <w:keepNext/>
        <w:keepLines/>
        <w:numPr>
          <w:ilvl w:val="0"/>
          <w:numId w:val="2"/>
        </w:numPr>
        <w:snapToGrid w:val="0"/>
        <w:spacing w:line="580" w:lineRule="exact"/>
        <w:ind w:left="0" w:leftChars="0" w:firstLine="640" w:firstLineChars="200"/>
        <w:outlineLvl w:val="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日常补助经费项目绩效自评综述：根据年初设定的绩效目标，日常补助经费项目绩效自评得分为</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74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58.1%</w:t>
      </w:r>
      <w:r>
        <w:rPr>
          <w:rFonts w:hint="eastAsia" w:ascii="仿宋_GB2312" w:hAnsi="仿宋_GB2312" w:eastAsia="仿宋_GB2312" w:cs="仿宋_GB2312"/>
          <w:sz w:val="32"/>
          <w:szCs w:val="32"/>
        </w:rPr>
        <w:t>。项目绩效目标完成情况：完成了2019年广播电视台自播新闻、专题、文艺节目的采、编、播工作；举办了2019年春节晚会和各种文体活动，进一步提升媒体识别度和影响力，扩大收听收看群体；完成广告创收任务；保障广播电视安全播出，确保广播电视正常运行。</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万元，比2018年度增加(减少)</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万元，增长（降低）</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%。主要原因是我单位为事业单位无机关运行经费。</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政府采购货物支出0万元、政府采购工程支出0万元、政府采购服务支出0万元。授予中小企业合同金0万元，占政府采购支出总额的0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其中授予小微企业合同金额0万元，占政府采购支出总额的0%。</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辆，比上年增加（减少）0辆，主要是</w:t>
      </w:r>
      <w:r>
        <w:rPr>
          <w:rFonts w:hint="eastAsia" w:ascii="仿宋_GB2312" w:hAnsi="Times New Roman" w:eastAsia="仿宋_GB2312" w:cs="DengXian-Regular"/>
          <w:color w:val="000000"/>
          <w:sz w:val="32"/>
          <w:szCs w:val="32"/>
        </w:rPr>
        <w:t>与年初预算持平</w:t>
      </w:r>
      <w:r>
        <w:rPr>
          <w:rFonts w:hint="eastAsia" w:ascii="仿宋_GB2312" w:hAnsi="Times New Roman" w:eastAsia="仿宋_GB2312" w:cs="DengXian-Regular"/>
          <w:sz w:val="32"/>
          <w:szCs w:val="32"/>
        </w:rPr>
        <w:t>。其中，副部（省）级及以上领导用车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辆，主要领导干部用车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辆，机要通信用车</w: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辆，应急保障用车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辆，执法执勤用车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辆，特种专业技术用车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辆，离退休干部用车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辆，其他用车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辆，其他用车主要是无其他用车；单位价值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台（套），比上年增加（减少）</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套，主要是未购置大型设备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台（套）比上年增加（减少）</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套，主要是未购置大型设备。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本部门2019年度政府性基金预算财政拨款、国有资本经营预算财政拨款无收支及结转结余情况，故政府性基金预算财政拨款收入支出决算表、国有资本经营预算财政拨款支出决算表以空表列示。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2" w:type="first"/>
          <w:footerReference r:id="rId24" w:type="first"/>
          <w:headerReference r:id="rId21" w:type="default"/>
          <w:footerReference r:id="rId23"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257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32"/>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5"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27"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360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360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石家庄市鹿泉区广播电视台</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896.67</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1.6</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591.30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82.11</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47.21</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r>
              <w:rPr>
                <w:rFonts w:ascii="宋体" w:hAnsi="宋体" w:eastAsia="宋体" w:cs="宋体"/>
                <w:color w:val="000000"/>
                <w:kern w:val="0"/>
                <w:sz w:val="22"/>
                <w:lang w:bidi="ar"/>
              </w:rPr>
              <w:t>7.02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898.27</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r>
              <w:rPr>
                <w:rFonts w:ascii="宋体" w:hAnsi="宋体" w:eastAsia="宋体" w:cs="宋体"/>
                <w:color w:val="000000"/>
                <w:kern w:val="0"/>
                <w:sz w:val="22"/>
                <w:lang w:bidi="ar"/>
              </w:rPr>
              <w:t>72.77</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38.09</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r>
              <w:rPr>
                <w:rFonts w:ascii="宋体" w:hAnsi="宋体" w:eastAsia="宋体" w:cs="宋体"/>
                <w:color w:val="000000"/>
                <w:kern w:val="0"/>
                <w:sz w:val="22"/>
                <w:lang w:bidi="ar"/>
              </w:rPr>
              <w:t>3.59</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936.36</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r>
              <w:rPr>
                <w:rFonts w:ascii="宋体" w:hAnsi="宋体" w:eastAsia="宋体" w:cs="宋体"/>
                <w:color w:val="000000"/>
                <w:kern w:val="0"/>
                <w:sz w:val="22"/>
                <w:lang w:bidi="ar"/>
              </w:rPr>
              <w:t>36.36</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8" w:type="dxa"/>
        <w:jc w:val="center"/>
        <w:tblLayout w:type="autofit"/>
        <w:tblCellMar>
          <w:top w:w="0" w:type="dxa"/>
          <w:left w:w="0" w:type="dxa"/>
          <w:bottom w:w="0" w:type="dxa"/>
          <w:right w:w="0" w:type="dxa"/>
        </w:tblCellMar>
      </w:tblPr>
      <w:tblGrid>
        <w:gridCol w:w="718"/>
        <w:gridCol w:w="41"/>
        <w:gridCol w:w="41"/>
        <w:gridCol w:w="3770"/>
        <w:gridCol w:w="1257"/>
        <w:gridCol w:w="1257"/>
        <w:gridCol w:w="471"/>
        <w:gridCol w:w="471"/>
        <w:gridCol w:w="471"/>
        <w:gridCol w:w="471"/>
        <w:gridCol w:w="719"/>
      </w:tblGrid>
      <w:tr>
        <w:tblPrEx>
          <w:tblCellMar>
            <w:top w:w="0" w:type="dxa"/>
            <w:left w:w="0" w:type="dxa"/>
            <w:bottom w:w="0" w:type="dxa"/>
            <w:right w:w="0" w:type="dxa"/>
          </w:tblCellMar>
        </w:tblPrEx>
        <w:trPr>
          <w:trHeight w:val="670" w:hRule="atLeast"/>
          <w:jc w:val="center"/>
        </w:trPr>
        <w:tc>
          <w:tcPr>
            <w:tcW w:w="9588" w:type="dxa"/>
            <w:gridSpan w:val="11"/>
            <w:tcBorders>
              <w:top w:val="nil"/>
              <w:left w:val="nil"/>
              <w:bottom w:val="nil"/>
              <w:right w:val="nil"/>
            </w:tcBorders>
            <w:shd w:val="clear" w:color="auto" w:fill="auto"/>
            <w:noWrap/>
            <w:tcMar>
              <w:top w:w="15" w:type="dxa"/>
              <w:left w:w="15" w:type="dxa"/>
              <w:right w:w="15" w:type="dxa"/>
            </w:tcMar>
            <w:vAlign w:val="bottom"/>
          </w:tcPr>
          <w:p>
            <w:pPr>
              <w:widowControl/>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石家庄市鹿泉区广播电视台</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3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3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5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5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5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5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71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92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3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2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3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2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3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栏次</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5</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6</w:t>
            </w:r>
          </w:p>
        </w:tc>
        <w:tc>
          <w:tcPr>
            <w:tcW w:w="7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w:t>
            </w:r>
            <w:r>
              <w:rPr>
                <w:rFonts w:ascii="宋体" w:hAnsi="宋体" w:eastAsia="宋体" w:cs="宋体"/>
                <w:color w:val="000000"/>
                <w:kern w:val="0"/>
                <w:sz w:val="22"/>
                <w:lang w:bidi="ar"/>
              </w:rPr>
              <w:t>98.27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w:t>
            </w:r>
            <w:r>
              <w:rPr>
                <w:rFonts w:ascii="宋体" w:hAnsi="宋体" w:eastAsia="宋体" w:cs="宋体"/>
                <w:color w:val="000000"/>
                <w:kern w:val="0"/>
                <w:sz w:val="22"/>
                <w:lang w:bidi="ar"/>
              </w:rPr>
              <w:t>96.67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w:t>
            </w:r>
            <w:r>
              <w:rPr>
                <w:rFonts w:ascii="宋体" w:hAnsi="宋体" w:eastAsia="宋体" w:cs="宋体"/>
                <w:color w:val="000000"/>
                <w:kern w:val="0"/>
                <w:sz w:val="22"/>
                <w:lang w:bidi="ar"/>
              </w:rPr>
              <w:t>.60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w:t>
            </w:r>
            <w:r>
              <w:rPr>
                <w:rFonts w:ascii="宋体" w:hAnsi="宋体" w:eastAsia="宋体" w:cs="宋体"/>
                <w:color w:val="000000"/>
                <w:kern w:val="0"/>
                <w:sz w:val="22"/>
                <w:lang w:bidi="ar"/>
              </w:rPr>
              <w:t>15.11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w:t>
            </w:r>
            <w:r>
              <w:rPr>
                <w:rFonts w:ascii="宋体" w:hAnsi="宋体" w:eastAsia="宋体" w:cs="宋体"/>
                <w:color w:val="000000"/>
                <w:kern w:val="0"/>
                <w:sz w:val="22"/>
                <w:lang w:bidi="ar"/>
              </w:rPr>
              <w:t>15.11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20133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宣传事务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w:t>
            </w:r>
            <w:r>
              <w:rPr>
                <w:rFonts w:ascii="宋体" w:hAnsi="宋体" w:eastAsia="宋体" w:cs="宋体"/>
                <w:color w:val="000000"/>
                <w:kern w:val="0"/>
                <w:sz w:val="22"/>
                <w:lang w:bidi="ar"/>
              </w:rPr>
              <w:t>15.11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w:t>
            </w:r>
            <w:r>
              <w:rPr>
                <w:rFonts w:ascii="宋体" w:hAnsi="宋体" w:eastAsia="宋体" w:cs="宋体"/>
                <w:color w:val="000000"/>
                <w:kern w:val="0"/>
                <w:sz w:val="22"/>
                <w:lang w:bidi="ar"/>
              </w:rPr>
              <w:t>15.11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2013350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事业运行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w:t>
            </w:r>
            <w:r>
              <w:rPr>
                <w:rFonts w:ascii="宋体" w:hAnsi="宋体" w:eastAsia="宋体" w:cs="宋体"/>
                <w:color w:val="000000"/>
                <w:kern w:val="0"/>
                <w:sz w:val="22"/>
                <w:lang w:bidi="ar"/>
              </w:rPr>
              <w:t>15.11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w:t>
            </w:r>
            <w:r>
              <w:rPr>
                <w:rFonts w:ascii="宋体" w:hAnsi="宋体" w:eastAsia="宋体" w:cs="宋体"/>
                <w:color w:val="000000"/>
                <w:kern w:val="0"/>
                <w:sz w:val="22"/>
                <w:lang w:bidi="ar"/>
              </w:rPr>
              <w:t>15.11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w:t>
            </w:r>
            <w:r>
              <w:rPr>
                <w:rFonts w:ascii="宋体" w:hAnsi="宋体" w:eastAsia="宋体" w:cs="宋体"/>
                <w:color w:val="000000"/>
                <w:kern w:val="0"/>
                <w:sz w:val="22"/>
                <w:lang w:bidi="ar"/>
              </w:rPr>
              <w:t>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文化旅游体育与传媒支出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624.16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622.56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w:t>
            </w:r>
            <w:r>
              <w:rPr>
                <w:rFonts w:ascii="宋体" w:hAnsi="宋体" w:eastAsia="宋体" w:cs="宋体"/>
                <w:color w:val="000000"/>
                <w:kern w:val="0"/>
                <w:sz w:val="22"/>
                <w:lang w:bidi="ar"/>
              </w:rPr>
              <w:t>.60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w:t>
            </w:r>
            <w:r>
              <w:rPr>
                <w:rFonts w:ascii="宋体" w:hAnsi="宋体" w:eastAsia="宋体" w:cs="宋体"/>
                <w:color w:val="000000"/>
                <w:kern w:val="0"/>
                <w:sz w:val="22"/>
                <w:lang w:bidi="ar"/>
              </w:rPr>
              <w:t>0706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新闻出版电影</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w:t>
            </w:r>
            <w:r>
              <w:rPr>
                <w:rFonts w:ascii="宋体" w:hAnsi="宋体" w:eastAsia="宋体" w:cs="宋体"/>
                <w:color w:val="000000"/>
                <w:kern w:val="0"/>
                <w:sz w:val="22"/>
                <w:lang w:bidi="ar"/>
              </w:rPr>
              <w:t>070605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出版发行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w:t>
            </w:r>
            <w:r>
              <w:rPr>
                <w:rFonts w:ascii="宋体" w:hAnsi="宋体" w:eastAsia="宋体" w:cs="宋体"/>
                <w:color w:val="000000"/>
                <w:kern w:val="0"/>
                <w:sz w:val="22"/>
                <w:lang w:bidi="ar"/>
              </w:rPr>
              <w:t>0708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广播电视</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613.16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611.56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w:t>
            </w:r>
            <w:r>
              <w:rPr>
                <w:rFonts w:ascii="宋体" w:hAnsi="宋体" w:eastAsia="宋体" w:cs="宋体"/>
                <w:color w:val="000000"/>
                <w:kern w:val="0"/>
                <w:sz w:val="22"/>
                <w:lang w:bidi="ar"/>
              </w:rPr>
              <w:t>.60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468.72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468.72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电视</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142.84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142.84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070899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其他广播电视支出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1.60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w:t>
            </w:r>
            <w:r>
              <w:rPr>
                <w:rFonts w:ascii="宋体" w:hAnsi="宋体" w:eastAsia="宋体" w:cs="宋体"/>
                <w:color w:val="000000"/>
                <w:kern w:val="0"/>
                <w:sz w:val="22"/>
                <w:lang w:bidi="ar"/>
              </w:rPr>
              <w:t>.60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76.02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76.02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73.63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73.63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73.63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73.63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退役安置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退役士兵安置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45.96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45.96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45.96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45.96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101102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38.76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38.76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住房改革支出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210201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3625" w:type="dxa"/>
            <w:gridSpan w:val="5"/>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石家庄市鹿泉区广播电视台</w:t>
            </w: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872.77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840.89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31.88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0133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宣传事务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013350</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事业运行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文化旅游体育与传媒支出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591.30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561.81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29.49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0706</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新闻出版电影</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070605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出版发行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广播电视</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580.30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561.81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18.49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070801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457.52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457.52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070805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电视</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121.18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104.29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16.89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070899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其他广播电视支出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1.60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1.60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社会保障和就业支出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82.11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79.71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行政事业单位离退休</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79.71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79.71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080505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机关事业单位基本养老保险缴费支出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79.71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79.71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退役安置</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080901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退役士兵安置</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卫生健康支出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47.21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47.21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1011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行政事业单位医疗</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47.21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47.21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101101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行政单位医疗</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7.20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7.20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101102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事业单位医疗</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40.01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40.01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21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住房保障支出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2102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住房改革支出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210201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住房公积金</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922"/>
        <w:gridCol w:w="425"/>
        <w:gridCol w:w="764"/>
        <w:gridCol w:w="2552"/>
        <w:gridCol w:w="567"/>
        <w:gridCol w:w="708"/>
        <w:gridCol w:w="793"/>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6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9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4111"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石家庄市鹿泉区广播电视台</w:t>
            </w:r>
          </w:p>
        </w:tc>
        <w:tc>
          <w:tcPr>
            <w:tcW w:w="25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9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1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409"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6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55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08"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9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Arial"/>
                <w:color w:val="000000"/>
                <w:kern w:val="0"/>
                <w:sz w:val="22"/>
              </w:rPr>
            </w:pPr>
            <w:r>
              <w:rPr>
                <w:rFonts w:hint="eastAsia" w:ascii="宋体" w:hAnsi="宋体" w:eastAsia="宋体" w:cs="宋体"/>
                <w:color w:val="000000"/>
                <w:kern w:val="0"/>
                <w:sz w:val="22"/>
                <w:lang w:bidi="ar"/>
              </w:rPr>
              <w:t>896.67</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589.70</w:t>
            </w: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589.70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82.11</w:t>
            </w: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82.11</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47.21</w:t>
            </w: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47.21</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896.67</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871.18</w:t>
            </w: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871.18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38.09</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63.59</w:t>
            </w: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63.59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38.09</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　</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934.77</w:t>
            </w:r>
          </w:p>
        </w:tc>
        <w:tc>
          <w:tcPr>
            <w:tcW w:w="25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934.77</w:t>
            </w:r>
          </w:p>
        </w:tc>
        <w:tc>
          <w:tcPr>
            <w:tcW w:w="7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cs="Arial"/>
                <w:color w:val="000000"/>
                <w:sz w:val="22"/>
              </w:rPr>
            </w:pPr>
            <w:r>
              <w:rPr>
                <w:rFonts w:hint="eastAsia" w:cs="Arial"/>
                <w:color w:val="000000"/>
                <w:sz w:val="22"/>
              </w:rPr>
              <w:t>934.77</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10090" w:type="dxa"/>
        <w:jc w:val="center"/>
        <w:tblLayout w:type="autofit"/>
        <w:tblCellMar>
          <w:top w:w="0" w:type="dxa"/>
          <w:left w:w="0" w:type="dxa"/>
          <w:bottom w:w="0" w:type="dxa"/>
          <w:right w:w="0" w:type="dxa"/>
        </w:tblCellMar>
      </w:tblPr>
      <w:tblGrid>
        <w:gridCol w:w="838"/>
        <w:gridCol w:w="48"/>
        <w:gridCol w:w="48"/>
        <w:gridCol w:w="5014"/>
        <w:gridCol w:w="1556"/>
        <w:gridCol w:w="1415"/>
        <w:gridCol w:w="1171"/>
      </w:tblGrid>
      <w:tr>
        <w:tblPrEx>
          <w:tblCellMar>
            <w:top w:w="0" w:type="dxa"/>
            <w:left w:w="0" w:type="dxa"/>
            <w:bottom w:w="0" w:type="dxa"/>
            <w:right w:w="0" w:type="dxa"/>
          </w:tblCellMar>
        </w:tblPrEx>
        <w:trPr>
          <w:trHeight w:val="600" w:hRule="atLeast"/>
          <w:jc w:val="center"/>
        </w:trPr>
        <w:tc>
          <w:tcPr>
            <w:tcW w:w="100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石家庄市鹿泉区广播电视台</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68"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91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6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43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8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91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8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1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8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871.18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840.89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w:t>
            </w:r>
            <w:r>
              <w:rPr>
                <w:rFonts w:ascii="宋体" w:hAnsi="宋体" w:eastAsia="宋体" w:cs="宋体"/>
                <w:color w:val="000000"/>
                <w:kern w:val="0"/>
                <w:sz w:val="22"/>
                <w:lang w:bidi="ar"/>
              </w:rPr>
              <w:t>0.29</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0133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宣传事务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013350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事业运行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115.14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文化旅游体育与传媒支出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589.70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ascii="宋体" w:hAnsi="宋体" w:eastAsia="宋体" w:cs="宋体"/>
                <w:color w:val="000000"/>
                <w:kern w:val="0"/>
                <w:sz w:val="22"/>
                <w:lang w:bidi="ar"/>
              </w:rPr>
              <w:t>561.81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w:t>
            </w:r>
            <w:r>
              <w:rPr>
                <w:rFonts w:ascii="宋体" w:hAnsi="宋体" w:eastAsia="宋体" w:cs="宋体"/>
                <w:color w:val="000000"/>
                <w:kern w:val="0"/>
                <w:sz w:val="22"/>
                <w:lang w:bidi="ar"/>
              </w:rPr>
              <w:t>7.89</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新闻出版电影</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070605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出版发行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11.00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广播电视</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578.70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561.81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16.89</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457.52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457.52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070805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电视</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121.18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104.29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16.89</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82.11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79.71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79.71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79.71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79.71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79.71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退役安置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080901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退役士兵安置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2.40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47.21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47.21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47.21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47.21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7.20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101102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40.01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40.01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住房改革支出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w:t>
            </w:r>
            <w:r>
              <w:rPr>
                <w:rFonts w:ascii="宋体" w:hAnsi="宋体" w:eastAsia="宋体" w:cs="宋体"/>
                <w:color w:val="000000"/>
                <w:sz w:val="22"/>
              </w:rPr>
              <w:t>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37.02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p>
        </w:tc>
      </w:tr>
    </w:tbl>
    <w:p>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4266" w:type="dxa"/>
            <w:gridSpan w:val="4"/>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石家庄市鹿泉区广播电视台</w:t>
            </w: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650.95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147.69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106.27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4.59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86.61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3.11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143.37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41.45</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138.11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3.83</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67.58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35.80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37.62</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29.17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43.14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3.91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10.54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4.30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43.62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17.94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0.80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0.98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3.87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0.73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25.11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12.23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3.12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3.37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0.87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3.96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w:t>
            </w:r>
            <w:r>
              <w:rPr>
                <w:rFonts w:ascii="宋体" w:hAnsi="宋体" w:eastAsia="宋体" w:cs="宋体"/>
                <w:color w:val="000000"/>
                <w:sz w:val="20"/>
                <w:szCs w:val="20"/>
              </w:rPr>
              <w:t>51.75</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w:t>
            </w:r>
            <w:r>
              <w:rPr>
                <w:rFonts w:ascii="宋体" w:hAnsi="宋体" w:eastAsia="宋体" w:cs="宋体"/>
                <w:color w:val="000000"/>
                <w:sz w:val="20"/>
                <w:szCs w:val="20"/>
              </w:rPr>
              <w:t>89.14</w:t>
            </w:r>
          </w:p>
        </w:tc>
      </w:tr>
    </w:tbl>
    <w:p>
      <w:r>
        <w:br w:type="page"/>
      </w:r>
    </w:p>
    <w:tbl>
      <w:tblPr>
        <w:tblStyle w:val="6"/>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2953"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石家庄市鹿泉区广播电视台</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9.40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right="110"/>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w:t>
            </w:r>
            <w:r>
              <w:rPr>
                <w:rFonts w:ascii="宋体" w:hAnsi="宋体" w:eastAsia="宋体" w:cs="宋体"/>
                <w:color w:val="000000"/>
                <w:sz w:val="22"/>
              </w:rPr>
              <w:t>.40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w:t>
            </w:r>
            <w:r>
              <w:rPr>
                <w:rFonts w:ascii="宋体" w:hAnsi="宋体" w:eastAsia="宋体" w:cs="宋体"/>
                <w:color w:val="000000"/>
                <w:sz w:val="22"/>
              </w:rPr>
              <w:t>.40</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4.00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4.35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3.37</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3</w:t>
            </w:r>
            <w:r>
              <w:rPr>
                <w:rFonts w:ascii="宋体" w:hAnsi="宋体" w:eastAsia="宋体" w:cs="宋体"/>
                <w:color w:val="000000"/>
                <w:sz w:val="22"/>
              </w:rPr>
              <w:t>.37</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0</w:t>
            </w:r>
            <w:r>
              <w:rPr>
                <w:rFonts w:ascii="宋体" w:hAnsi="宋体" w:eastAsia="宋体" w:cs="宋体"/>
                <w:color w:val="000000"/>
                <w:sz w:val="22"/>
              </w:rPr>
              <w:t>.98</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autofit"/>
        <w:tblCellMar>
          <w:top w:w="0" w:type="dxa"/>
          <w:left w:w="0" w:type="dxa"/>
          <w:bottom w:w="0" w:type="dxa"/>
          <w:right w:w="0" w:type="dxa"/>
        </w:tblCellMar>
      </w:tblPr>
      <w:tblGrid>
        <w:gridCol w:w="3030"/>
        <w:gridCol w:w="36"/>
        <w:gridCol w:w="36"/>
        <w:gridCol w:w="910"/>
        <w:gridCol w:w="917"/>
        <w:gridCol w:w="917"/>
        <w:gridCol w:w="917"/>
        <w:gridCol w:w="917"/>
        <w:gridCol w:w="917"/>
        <w:gridCol w:w="917"/>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石家庄市鹿泉区广播电视台</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2"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w:t>
      </w:r>
      <w:r>
        <w:rPr>
          <w:rFonts w:hint="eastAsia" w:ascii="宋体" w:hAnsi="宋体" w:eastAsia="宋体" w:cs="宋体"/>
        </w:rPr>
        <w:t>本部门本年度无相关收入（或支出、收支及结转结余等）情况，按要求空表列示。</w:t>
      </w:r>
    </w:p>
    <w:tbl>
      <w:tblPr>
        <w:tblStyle w:val="6"/>
        <w:tblW w:w="9915" w:type="dxa"/>
        <w:jc w:val="center"/>
        <w:tblLayout w:type="autofit"/>
        <w:tblCellMar>
          <w:top w:w="0" w:type="dxa"/>
          <w:left w:w="0" w:type="dxa"/>
          <w:bottom w:w="0" w:type="dxa"/>
          <w:right w:w="0" w:type="dxa"/>
        </w:tblCellMar>
      </w:tblPr>
      <w:tblGrid>
        <w:gridCol w:w="4144"/>
        <w:gridCol w:w="49"/>
        <w:gridCol w:w="49"/>
        <w:gridCol w:w="2541"/>
        <w:gridCol w:w="643"/>
        <w:gridCol w:w="1245"/>
        <w:gridCol w:w="1244"/>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石家庄市鹿泉区广播电视台</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注：本部门本年度无相关收入（或支出、收支及结转结余等）情况，按要求空表列示。</w:t>
      </w:r>
    </w:p>
    <w:p/>
    <w:p/>
    <w:p/>
    <w:p/>
    <w:p/>
    <w:p/>
    <w:p/>
    <w:p/>
    <w:p/>
    <w:p/>
    <w:p/>
    <w:p/>
    <w:p/>
    <w:p/>
    <w:p/>
    <w:p/>
    <w:p/>
    <w:p/>
    <w:p/>
    <w:p/>
    <w:p/>
    <w:p/>
    <w:p/>
    <w:p/>
    <w:p/>
    <w:p/>
    <w:p/>
    <w:p/>
    <w:p>
      <w:r>
        <mc:AlternateContent>
          <mc:Choice Requires="wps">
            <w:drawing>
              <wp:anchor distT="0" distB="0" distL="114300" distR="114300" simplePos="0" relativeHeight="25167462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0" y="0"/>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462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Agm8tf3QAAAA8BAAAPAAAAAAAAAAEAIAAAACIAAABkcnMvZG93&#10;bnJldi54bWxQSwECFAAUAAAACACHTuJAPv0j520CAADPBAAADgAAAAAAAAABACAAAAAsAQAAZHJz&#10;L2Uyb0RvYy54bWxQSwUGAAAAAAYABgBZAQAACwYAAAAA&#10;">
                <v:fill on="t" focussize="0,0"/>
                <v:stroke on="f" weight="1pt" miterlimit="8" joinstyle="miter"/>
                <v:imagedata o:title=""/>
                <o:lock v:ext="edit" aspectratio="f"/>
              </v:rect>
            </w:pict>
          </mc:Fallback>
        </mc:AlternateContent>
      </w:r>
    </w:p>
    <w:sectPr>
      <w:headerReference r:id="rId29" w:type="first"/>
      <w:headerReference r:id="rId28" w:type="default"/>
      <w:footerReference r:id="rId3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0000000000000000000"/>
    <w:charset w:val="00"/>
    <w:family w:val="auto"/>
    <w:pitch w:val="default"/>
    <w:sig w:usb0="00000000" w:usb1="00000000" w:usb2="00000000" w:usb3="00000000" w:csb0="00000000" w:csb1="00000000"/>
  </w:font>
  <w:font w:name="楷体_GB2312">
    <w:altName w:val="楷体"/>
    <w:panose1 w:val="00000000000000000000"/>
    <w:charset w:val="86"/>
    <w:family w:val="modern"/>
    <w:pitch w:val="default"/>
    <w:sig w:usb0="00000000" w:usb1="00000000" w:usb2="00000010" w:usb3="00000000" w:csb0="00040000" w:csb1="00000000"/>
  </w:font>
  <w:font w:name="Yu Gothic UI Semibold">
    <w:altName w:val="MS Mincho"/>
    <w:panose1 w:val="00000000000000000000"/>
    <w:charset w:val="80"/>
    <w:family w:val="swiss"/>
    <w:pitch w:val="default"/>
    <w:sig w:usb0="00000000" w:usb1="00000000" w:usb2="00000016" w:usb3="00000000" w:csb0="0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S Mincho">
    <w:panose1 w:val="02020609040205080304"/>
    <w:charset w:val="80"/>
    <w:family w:val="auto"/>
    <w:pitch w:val="default"/>
    <w:sig w:usb0="E00002FF" w:usb1="6AC7FDFB" w:usb2="00000012" w:usb3="00000000" w:csb0="4002009F" w:csb1="DFD70000"/>
  </w:font>
  <w:font w:name="仿宋">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6912"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6912;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998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998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3840;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4864"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4864;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588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588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6672"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6672;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5648"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5648;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76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76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87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87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07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07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97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305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305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4080"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4080;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1008"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1008;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2032"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2032;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7936"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7936;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8960"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8960;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1792;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2816;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gxNmMyMWJlNGMxMmU4ZGY0Y2NkZGI5ZjQ4ODE4OTQifQ=="/>
  </w:docVars>
  <w:rsids>
    <w:rsidRoot w:val="6AAF1C96"/>
    <w:rsid w:val="000219FD"/>
    <w:rsid w:val="0007063E"/>
    <w:rsid w:val="00073392"/>
    <w:rsid w:val="00073F4E"/>
    <w:rsid w:val="00086C89"/>
    <w:rsid w:val="000902FC"/>
    <w:rsid w:val="00096B84"/>
    <w:rsid w:val="000A39FB"/>
    <w:rsid w:val="000D7ECA"/>
    <w:rsid w:val="000F6F30"/>
    <w:rsid w:val="00114981"/>
    <w:rsid w:val="00117746"/>
    <w:rsid w:val="00143A2C"/>
    <w:rsid w:val="00147A35"/>
    <w:rsid w:val="00163F95"/>
    <w:rsid w:val="00180A9A"/>
    <w:rsid w:val="0018121E"/>
    <w:rsid w:val="001829C0"/>
    <w:rsid w:val="00184809"/>
    <w:rsid w:val="00192112"/>
    <w:rsid w:val="001A31EE"/>
    <w:rsid w:val="001B0127"/>
    <w:rsid w:val="001C12D5"/>
    <w:rsid w:val="001C3114"/>
    <w:rsid w:val="001C69F7"/>
    <w:rsid w:val="001D6F97"/>
    <w:rsid w:val="0024006B"/>
    <w:rsid w:val="002650EC"/>
    <w:rsid w:val="002A6C46"/>
    <w:rsid w:val="002C19B5"/>
    <w:rsid w:val="00304765"/>
    <w:rsid w:val="003130A2"/>
    <w:rsid w:val="00333813"/>
    <w:rsid w:val="00333C79"/>
    <w:rsid w:val="003A2CE4"/>
    <w:rsid w:val="003A4EE8"/>
    <w:rsid w:val="003C0EE6"/>
    <w:rsid w:val="003C1430"/>
    <w:rsid w:val="003D7492"/>
    <w:rsid w:val="003F0E7E"/>
    <w:rsid w:val="004072CC"/>
    <w:rsid w:val="00407A10"/>
    <w:rsid w:val="00442CC2"/>
    <w:rsid w:val="00446244"/>
    <w:rsid w:val="004576EE"/>
    <w:rsid w:val="00473C20"/>
    <w:rsid w:val="004A1061"/>
    <w:rsid w:val="004B015D"/>
    <w:rsid w:val="004B735B"/>
    <w:rsid w:val="004D61CB"/>
    <w:rsid w:val="004E5B94"/>
    <w:rsid w:val="005011D6"/>
    <w:rsid w:val="00503F2E"/>
    <w:rsid w:val="00527C47"/>
    <w:rsid w:val="00552226"/>
    <w:rsid w:val="00566120"/>
    <w:rsid w:val="00582865"/>
    <w:rsid w:val="00582E6D"/>
    <w:rsid w:val="005954D5"/>
    <w:rsid w:val="005A53FA"/>
    <w:rsid w:val="005B3CFD"/>
    <w:rsid w:val="005D1293"/>
    <w:rsid w:val="00644D5F"/>
    <w:rsid w:val="00657F86"/>
    <w:rsid w:val="006727AD"/>
    <w:rsid w:val="00691425"/>
    <w:rsid w:val="006A4BCB"/>
    <w:rsid w:val="006A516E"/>
    <w:rsid w:val="006B0830"/>
    <w:rsid w:val="006E5BCF"/>
    <w:rsid w:val="00716E2B"/>
    <w:rsid w:val="00761928"/>
    <w:rsid w:val="00770F18"/>
    <w:rsid w:val="00772B46"/>
    <w:rsid w:val="00773B74"/>
    <w:rsid w:val="0078290C"/>
    <w:rsid w:val="007A4DFC"/>
    <w:rsid w:val="007B23DB"/>
    <w:rsid w:val="007B6888"/>
    <w:rsid w:val="007C06CA"/>
    <w:rsid w:val="007C4E9E"/>
    <w:rsid w:val="007E3AF3"/>
    <w:rsid w:val="008163FB"/>
    <w:rsid w:val="00825E07"/>
    <w:rsid w:val="0082605B"/>
    <w:rsid w:val="00855C36"/>
    <w:rsid w:val="00855DB2"/>
    <w:rsid w:val="00857DBE"/>
    <w:rsid w:val="008701BC"/>
    <w:rsid w:val="00883D92"/>
    <w:rsid w:val="008A5362"/>
    <w:rsid w:val="008E0833"/>
    <w:rsid w:val="008F21F1"/>
    <w:rsid w:val="008F221B"/>
    <w:rsid w:val="008F5A2D"/>
    <w:rsid w:val="009205FB"/>
    <w:rsid w:val="00921602"/>
    <w:rsid w:val="00957EA1"/>
    <w:rsid w:val="00966E5B"/>
    <w:rsid w:val="0098236E"/>
    <w:rsid w:val="009A77B1"/>
    <w:rsid w:val="009B4EF0"/>
    <w:rsid w:val="009C0293"/>
    <w:rsid w:val="009D271F"/>
    <w:rsid w:val="009D3206"/>
    <w:rsid w:val="00A237BA"/>
    <w:rsid w:val="00A622CB"/>
    <w:rsid w:val="00A929C2"/>
    <w:rsid w:val="00AC0265"/>
    <w:rsid w:val="00AD097F"/>
    <w:rsid w:val="00B052A4"/>
    <w:rsid w:val="00B14CEF"/>
    <w:rsid w:val="00B571D3"/>
    <w:rsid w:val="00B67A04"/>
    <w:rsid w:val="00B844F4"/>
    <w:rsid w:val="00B929F9"/>
    <w:rsid w:val="00B959F3"/>
    <w:rsid w:val="00BA06A1"/>
    <w:rsid w:val="00BA770A"/>
    <w:rsid w:val="00BD2EF1"/>
    <w:rsid w:val="00C054DE"/>
    <w:rsid w:val="00C517A0"/>
    <w:rsid w:val="00C62F5A"/>
    <w:rsid w:val="00C679A9"/>
    <w:rsid w:val="00C73EA5"/>
    <w:rsid w:val="00C7541C"/>
    <w:rsid w:val="00CA0E17"/>
    <w:rsid w:val="00CC0FAA"/>
    <w:rsid w:val="00CD0736"/>
    <w:rsid w:val="00CF5A8F"/>
    <w:rsid w:val="00CF6547"/>
    <w:rsid w:val="00D1570F"/>
    <w:rsid w:val="00D223B4"/>
    <w:rsid w:val="00D32830"/>
    <w:rsid w:val="00D654EB"/>
    <w:rsid w:val="00DA4AF9"/>
    <w:rsid w:val="00DB7153"/>
    <w:rsid w:val="00DB7F05"/>
    <w:rsid w:val="00DD0048"/>
    <w:rsid w:val="00DE2332"/>
    <w:rsid w:val="00DE7D99"/>
    <w:rsid w:val="00E028C3"/>
    <w:rsid w:val="00E14F77"/>
    <w:rsid w:val="00E3076B"/>
    <w:rsid w:val="00E36978"/>
    <w:rsid w:val="00E82A1E"/>
    <w:rsid w:val="00EA05EC"/>
    <w:rsid w:val="00EC06F4"/>
    <w:rsid w:val="00EE4E36"/>
    <w:rsid w:val="00F63A39"/>
    <w:rsid w:val="00F665F4"/>
    <w:rsid w:val="00F755C1"/>
    <w:rsid w:val="00F87216"/>
    <w:rsid w:val="00FA6FDD"/>
    <w:rsid w:val="00FD0819"/>
    <w:rsid w:val="00FD225F"/>
    <w:rsid w:val="05485881"/>
    <w:rsid w:val="05834B0B"/>
    <w:rsid w:val="05B00A30"/>
    <w:rsid w:val="0AA01CBB"/>
    <w:rsid w:val="0B011416"/>
    <w:rsid w:val="0B754EF6"/>
    <w:rsid w:val="0BBF6171"/>
    <w:rsid w:val="109D1177"/>
    <w:rsid w:val="14CA0061"/>
    <w:rsid w:val="163C6D3C"/>
    <w:rsid w:val="18D3325C"/>
    <w:rsid w:val="1B410951"/>
    <w:rsid w:val="20E95D13"/>
    <w:rsid w:val="26B66697"/>
    <w:rsid w:val="27114AFF"/>
    <w:rsid w:val="27BA3F65"/>
    <w:rsid w:val="297665B1"/>
    <w:rsid w:val="2C1B0D4A"/>
    <w:rsid w:val="31C2036A"/>
    <w:rsid w:val="320D02A5"/>
    <w:rsid w:val="320F1351"/>
    <w:rsid w:val="33016EEC"/>
    <w:rsid w:val="33D4015C"/>
    <w:rsid w:val="348E566F"/>
    <w:rsid w:val="349B3370"/>
    <w:rsid w:val="3A226944"/>
    <w:rsid w:val="3A6F6E31"/>
    <w:rsid w:val="3AEE6A48"/>
    <w:rsid w:val="3B331C0C"/>
    <w:rsid w:val="3B9C7032"/>
    <w:rsid w:val="3C1620AA"/>
    <w:rsid w:val="3C8841DA"/>
    <w:rsid w:val="3D8F080F"/>
    <w:rsid w:val="3D960B78"/>
    <w:rsid w:val="3DFF04CC"/>
    <w:rsid w:val="3E811382"/>
    <w:rsid w:val="44CE1FA4"/>
    <w:rsid w:val="48480CC1"/>
    <w:rsid w:val="487F73ED"/>
    <w:rsid w:val="4A347EAE"/>
    <w:rsid w:val="4BBF74EC"/>
    <w:rsid w:val="4DB7491F"/>
    <w:rsid w:val="4F846A83"/>
    <w:rsid w:val="523E73BD"/>
    <w:rsid w:val="52600405"/>
    <w:rsid w:val="529B4319"/>
    <w:rsid w:val="535B7AFB"/>
    <w:rsid w:val="547C5F7A"/>
    <w:rsid w:val="54E63F5C"/>
    <w:rsid w:val="57773DD6"/>
    <w:rsid w:val="578B79AB"/>
    <w:rsid w:val="57CF2865"/>
    <w:rsid w:val="5CCD3FD5"/>
    <w:rsid w:val="5DAD3649"/>
    <w:rsid w:val="5DB91FED"/>
    <w:rsid w:val="60CF1B28"/>
    <w:rsid w:val="61FA5F9D"/>
    <w:rsid w:val="62DD22DA"/>
    <w:rsid w:val="64AC5F82"/>
    <w:rsid w:val="64CD6910"/>
    <w:rsid w:val="6789158D"/>
    <w:rsid w:val="67D81BA4"/>
    <w:rsid w:val="6AAF1C96"/>
    <w:rsid w:val="6C3867D3"/>
    <w:rsid w:val="6D3B47CD"/>
    <w:rsid w:val="701337DF"/>
    <w:rsid w:val="720C2BDC"/>
    <w:rsid w:val="75681757"/>
    <w:rsid w:val="75A346A8"/>
    <w:rsid w:val="76EC2FDC"/>
    <w:rsid w:val="776E39F1"/>
    <w:rsid w:val="79B9382C"/>
    <w:rsid w:val="7B043B76"/>
    <w:rsid w:val="7C041A6A"/>
    <w:rsid w:val="7CBA4FE2"/>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autoRedefine/>
    <w:qFormat/>
    <w:uiPriority w:val="9"/>
    <w:pPr>
      <w:keepNext/>
      <w:keepLines/>
      <w:spacing w:before="340" w:after="330" w:line="578" w:lineRule="auto"/>
      <w:outlineLvl w:val="0"/>
    </w:pPr>
    <w:rPr>
      <w:b/>
      <w:bCs/>
      <w:kern w:val="44"/>
      <w:sz w:val="44"/>
      <w:szCs w:val="44"/>
    </w:rPr>
  </w:style>
  <w:style w:type="character" w:default="1" w:styleId="8">
    <w:name w:val="Default Paragraph Font"/>
    <w:autoRedefine/>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字符"/>
    <w:basedOn w:val="8"/>
    <w:link w:val="5"/>
    <w:qFormat/>
    <w:uiPriority w:val="99"/>
    <w:rPr>
      <w:rFonts w:asciiTheme="minorHAnsi" w:hAnsiTheme="minorHAnsi" w:eastAsiaTheme="minorEastAsia"/>
      <w:sz w:val="18"/>
      <w:szCs w:val="18"/>
    </w:rPr>
  </w:style>
  <w:style w:type="character" w:customStyle="1" w:styleId="10">
    <w:name w:val="页脚 字符"/>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image" Target="media/image7.png"/><Relationship Id="rId36" Type="http://schemas.openxmlformats.org/officeDocument/2006/relationships/image" Target="media/image6.png"/><Relationship Id="rId35" Type="http://schemas.openxmlformats.org/officeDocument/2006/relationships/image" Target="media/image5.png"/><Relationship Id="rId34" Type="http://schemas.openxmlformats.org/officeDocument/2006/relationships/image" Target="media/image4.png"/><Relationship Id="rId33" Type="http://schemas.openxmlformats.org/officeDocument/2006/relationships/image" Target="media/image3.png"/><Relationship Id="rId32" Type="http://schemas.openxmlformats.org/officeDocument/2006/relationships/image" Target="media/image2.bmp"/><Relationship Id="rId31" Type="http://schemas.openxmlformats.org/officeDocument/2006/relationships/theme" Target="theme/theme1.xml"/><Relationship Id="rId30" Type="http://schemas.openxmlformats.org/officeDocument/2006/relationships/footer" Target="footer11.xml"/><Relationship Id="rId3" Type="http://schemas.openxmlformats.org/officeDocument/2006/relationships/header" Target="header1.xml"/><Relationship Id="rId29" Type="http://schemas.openxmlformats.org/officeDocument/2006/relationships/header" Target="header17.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4.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92D45E3-3787-4804-8C0D-99D0E7D8D32A}">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33</Pages>
  <Words>1804</Words>
  <Characters>10285</Characters>
  <Lines>85</Lines>
  <Paragraphs>24</Paragraphs>
  <TotalTime>8</TotalTime>
  <ScaleCrop>false</ScaleCrop>
  <LinksUpToDate>false</LinksUpToDate>
  <CharactersWithSpaces>12065</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2020-10-29T01:05:00Z</dcterms:created>
  <dc:creator>王明新TIAD</dc:creator>
  <cp:lastModifiedBy>东子</cp:lastModifiedBy>
  <cp:lastPrinted>2020-07-30T02:37:00Z</cp:lastPrinted>
  <dcterms:modified xsi:type="dcterms:W3CDTF">2024-03-06T01:22:18Z</dcterms:modified>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43B1803A63E940C18617AB7FDEDAAF50_12</vt:lpwstr>
  </property>
</Properties>
</file>