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公共资源交易中心办公费用项目</w:t>
      </w:r>
      <w:r>
        <w:rPr>
          <w:rFonts w:hint="eastAsia" w:ascii="宋体"/>
          <w:b/>
          <w:bCs/>
          <w:sz w:val="36"/>
          <w:szCs w:val="32"/>
        </w:rPr>
        <w:t>绩效评价报告</w:t>
      </w:r>
    </w:p>
    <w:p>
      <w:pPr>
        <w:spacing w:line="360" w:lineRule="auto"/>
        <w:ind w:left="0" w:leftChars="0" w:right="0" w:rightChars="0" w:firstLine="0" w:firstLineChars="0"/>
        <w:jc w:val="both"/>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w:t>
      </w:r>
      <w:r>
        <w:rPr>
          <w:rFonts w:hint="eastAsia" w:ascii="仿宋_GB2312" w:eastAsia="仿宋_GB2312"/>
          <w:sz w:val="32"/>
          <w:szCs w:val="32"/>
          <w:lang w:eastAsia="zh-CN"/>
        </w:rPr>
        <w:t>则，对公共资源交易中心办公费用项目实施</w:t>
      </w:r>
      <w:r>
        <w:rPr>
          <w:rFonts w:hint="eastAsia" w:ascii="仿宋_GB2312" w:eastAsia="仿宋_GB2312"/>
          <w:sz w:val="32"/>
          <w:szCs w:val="32"/>
        </w:rPr>
        <w:t>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1.项目基本情况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根据鹿泉编办〔2017〕38号文，公共资源交易管理办公室设在区行政审批局，2019年列入区行政审批局预算，需要财政资金30万元，。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鹿泉区公共资源交易中心日常办公所需经费30万元，其中：物业管理费6.12万元，邮电费3.88万元，网络维护费4万，维修费2万元，办公费14万元。</w:t>
      </w:r>
    </w:p>
    <w:p>
      <w:pPr>
        <w:keepNext w:val="0"/>
        <w:keepLines w:val="0"/>
        <w:pageBreakBefore w:val="0"/>
        <w:widowControl w:val="0"/>
        <w:numPr>
          <w:ilvl w:val="0"/>
          <w:numId w:val="1"/>
        </w:numPr>
        <w:kinsoku/>
        <w:wordWrap/>
        <w:overflowPunct/>
        <w:topLinePunct w:val="0"/>
        <w:autoSpaceDE/>
        <w:autoSpaceDN/>
        <w:bidi w:val="0"/>
        <w:adjustRightInd w:val="0"/>
        <w:snapToGrid w:val="0"/>
        <w:spacing w:line="360" w:lineRule="auto"/>
        <w:ind w:left="800" w:leftChars="0" w:firstLine="0" w:firstLineChars="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2019年一般公共预算拨款30万元。2019年支付28.746194万元，余1.253806万元。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顺利完成全区工程建设项目招投标、政府集中采购招投标、国有资产处置等交易业务，节约财政资金，实现国有资产最大化。增加基础设施建设，提高参与招投标单位满意度。</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我单位第一时间成立项目测评小组，由办公室负责人贺志敏任组长，评价资料由委托投资咨询机构和项目小组提供。</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首先成立项目自评小组，结合测评内容，做到有计划，有安排，扎实开展本次自评工作。</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其次，科学制定自评标准。该项目绩效评价工作是以鹿泉区提出的绩效评价指标体系为指导，根据项目的投入、过程、产出及效果进行评价。分别对项目立项规范性、绩效目标合理性、绩效指标明确性、资金到位率、到位及时率、管理制度健全性、 制度执行有效性、项目质量可控性、管理制度健全性、资金使用合规性、财务监控有效性、实际完成率、完成及时率、质量达标率、成本节约率、经济效益、社会效益等项目进行自评打分。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最后，严格按照评价体系进行测评得分。 </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根据要求，我单位在开展本项目预算绩效评价工作过程中，针对评价对象特点，设计以下评价指标体系。</w:t>
      </w:r>
    </w:p>
    <w:tbl>
      <w:tblPr>
        <w:tblStyle w:val="4"/>
        <w:tblW w:w="861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77"/>
        <w:gridCol w:w="866"/>
        <w:gridCol w:w="1817"/>
        <w:gridCol w:w="4451"/>
        <w:gridCol w:w="707"/>
      </w:tblGrid>
      <w:tr>
        <w:trPr>
          <w:trHeight w:val="254" w:hRule="atLeast"/>
          <w:tblHeader/>
        </w:trPr>
        <w:tc>
          <w:tcPr>
            <w:tcW w:w="77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66"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eastAsia" w:ascii="楷体_GB2312" w:hAnsi="楷体_GB2312" w:eastAsia="楷体_GB2312"/>
                <w:b/>
                <w:i w:val="0"/>
                <w:snapToGrid/>
                <w:color w:val="000000"/>
                <w:sz w:val="24"/>
                <w:szCs w:val="28"/>
                <w:u w:val="none"/>
                <w:shd w:val="clear" w:color="auto" w:fill="FFFFFF"/>
                <w:lang w:eastAsia="zh-CN"/>
              </w:rPr>
              <w:t>得分</w:t>
            </w:r>
          </w:p>
        </w:tc>
      </w:tr>
      <w:tr>
        <w:trPr>
          <w:trHeight w:val="343" w:hRule="atLeast"/>
        </w:trPr>
        <w:tc>
          <w:tcPr>
            <w:tcW w:w="777"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val="en-US"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0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w:t>
            </w:r>
            <w:r>
              <w:rPr>
                <w:rFonts w:hint="eastAsia" w:ascii="楷体_GB2312" w:hAnsi="楷体_GB2312" w:eastAsia="楷体_GB2312"/>
                <w:b w:val="0"/>
                <w:i w:val="0"/>
                <w:snapToGrid/>
                <w:color w:val="000000"/>
                <w:sz w:val="22"/>
                <w:u w:val="none"/>
                <w:shd w:val="clear" w:color="auto" w:fill="FFFFFF"/>
                <w:lang w:val="en-US" w:eastAsia="zh-CN"/>
              </w:rPr>
              <w:t>3分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0" w:hRule="atLeast"/>
        </w:trPr>
        <w:tc>
          <w:tcPr>
            <w:tcW w:w="777"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56"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w:t>
            </w:r>
            <w:r>
              <w:rPr>
                <w:rFonts w:hint="eastAsia" w:ascii="楷体_GB2312" w:hAnsi="楷体_GB2312" w:eastAsia="楷体_GB2312"/>
                <w:b w:val="0"/>
                <w:i w:val="0"/>
                <w:snapToGrid/>
                <w:color w:val="000000"/>
                <w:sz w:val="22"/>
                <w:u w:val="none"/>
                <w:shd w:val="clear" w:color="auto" w:fill="FFFFFF"/>
                <w:lang w:eastAsia="zh-CN"/>
              </w:rPr>
              <w:t>。</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443"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80"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866"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w:t>
            </w:r>
            <w:r>
              <w:rPr>
                <w:rFonts w:hint="eastAsia" w:ascii="楷体_GB2312" w:hAnsi="楷体_GB2312" w:eastAsia="楷体_GB2312"/>
                <w:b w:val="0"/>
                <w:i w:val="0"/>
                <w:snapToGrid/>
                <w:color w:val="000000"/>
                <w:sz w:val="22"/>
                <w:u w:val="none"/>
                <w:shd w:val="clear" w:color="auto" w:fill="FFFFFF"/>
                <w:lang w:val="en-US" w:eastAsia="zh-CN"/>
              </w:rPr>
              <w:t>2分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9"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98" w:hRule="atLeast"/>
        </w:trPr>
        <w:tc>
          <w:tcPr>
            <w:tcW w:w="777"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866"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w:t>
            </w:r>
            <w:r>
              <w:rPr>
                <w:rFonts w:hint="eastAsia" w:ascii="楷体_GB2312" w:hAnsi="楷体_GB2312" w:eastAsia="楷体_GB2312"/>
                <w:b w:val="0"/>
                <w:i w:val="0"/>
                <w:snapToGrid/>
                <w:color w:val="000000"/>
                <w:sz w:val="22"/>
                <w:u w:val="none"/>
                <w:shd w:val="clear" w:color="auto" w:fill="FFFFFF"/>
                <w:lang w:val="en-US" w:eastAsia="zh-CN"/>
              </w:rPr>
              <w:t>4分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68"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03"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8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547"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34" w:hRule="atLeast"/>
        </w:trPr>
        <w:tc>
          <w:tcPr>
            <w:tcW w:w="777"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866"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r>
        <w:trPr>
          <w:trHeight w:val="30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54"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239"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r>
              <w:rPr>
                <w:rFonts w:hint="eastAsia" w:ascii="楷体_GB2312" w:hAnsi="楷体_GB2312" w:eastAsia="楷体_GB2312"/>
                <w:b w:val="0"/>
                <w:i w:val="0"/>
                <w:snapToGrid/>
                <w:color w:val="000000"/>
                <w:sz w:val="22"/>
                <w:u w:val="none"/>
                <w:shd w:val="clear" w:color="auto" w:fill="FFFFFF"/>
                <w:lang w:val="en-US" w:eastAsia="zh-CN"/>
              </w:rPr>
              <w:t>5分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rPr>
          <w:trHeight w:val="471" w:hRule="atLeast"/>
        </w:trPr>
        <w:tc>
          <w:tcPr>
            <w:tcW w:w="777"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866"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181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4451"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r>
              <w:rPr>
                <w:rFonts w:hint="eastAsia" w:ascii="楷体_GB2312" w:hAnsi="楷体_GB2312" w:eastAsia="楷体_GB2312"/>
                <w:b w:val="0"/>
                <w:i w:val="0"/>
                <w:snapToGrid/>
                <w:color w:val="000000"/>
                <w:sz w:val="22"/>
                <w:u w:val="none"/>
                <w:shd w:val="clear" w:color="auto" w:fill="FFFFFF"/>
                <w:lang w:val="en-US" w:eastAsia="zh-CN"/>
              </w:rPr>
              <w:t>10分</w:t>
            </w:r>
          </w:p>
        </w:tc>
        <w:tc>
          <w:tcPr>
            <w:tcW w:w="707"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p>
        </w:tc>
      </w:tr>
    </w:tbl>
    <w:p>
      <w:pPr>
        <w:rPr>
          <w:rFonts w:hint="eastAsia" w:ascii="仿宋_GB2312" w:eastAsia="仿宋_GB2312"/>
          <w:b w:val="0"/>
          <w:bCs w:val="0"/>
          <w:sz w:val="32"/>
          <w:szCs w:val="32"/>
          <w:lang w:val="en-US" w:eastAsia="zh-CN"/>
        </w:rPr>
      </w:pP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项目的申请、设立过程均符合相关要求；项目绩效是保证审批环节科学、及时、有效，绩效目标合理明确，符合实际。依据绩效目标设定的绩效指标清晰、细化、可衡量，得分7分。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p>
    <w:p>
      <w:p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2019年预算为30万元，区财政实际拨付30万，专项资金实际到位率100%，未影响项目进度不存在截留或挪用专项资金，到位及时率100%。相关会计信息真实、准确、完整、规范，严格执行了财务管理制度，专项资金实行了单独核算。得分10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w:t>
      </w:r>
    </w:p>
    <w:p>
      <w:pPr>
        <w:numPr>
          <w:ilvl w:val="0"/>
          <w:numId w:val="0"/>
        </w:numPr>
        <w:ind w:firstLine="640" w:firstLineChars="200"/>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依据财政部门制定的相关规章制度对项目资金进行管理，遵循年初预算；管理制度相对健全，业务管理制度合法、合规、完整；制度执行有效，项目质量可控；得分8分。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我单位的财务制度健全，已制定或具有相应的项目资金管理办法，符合相关财务会计制度的规定。</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jc w:val="both"/>
        <w:textAlignment w:val="auto"/>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在资金使用上，符合国家财经法规和财务管理制度以及有关专项资金管理办法的规定；资金的拨付有完整的审批程序和手续。我单位已制定相应的监控机制，建立专账对资金进行有效监督，不存在截留、挤占、挪用、虚列支出等情况。得分10分。</w:t>
      </w:r>
      <w:bookmarkStart w:id="0" w:name="_GoBack"/>
      <w:bookmarkEnd w:id="0"/>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通过加强公共资源交易全程顺利、有效完成，提高服务对象满意度，达到期初制定的绩效目标值，完成及时率99.96%，质量达标率100%。得分34分。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进一步整合公共资源交易市场，不断提升交易工作的管理水平和服务质量，全力推行全流程电子化开评标，打造统一规范的公共资源“阳光交易平台”，得分30分。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根据项目执行情况和项目绩效情况，该项目总得分99分，</w:t>
      </w:r>
      <w:r>
        <w:rPr>
          <w:rFonts w:hint="eastAsia" w:ascii="仿宋_GB2312" w:eastAsia="仿宋_GB2312"/>
          <w:sz w:val="32"/>
          <w:szCs w:val="32"/>
        </w:rPr>
        <w:t>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sectPr>
      <w:footerReference r:id="rId5" w:type="first"/>
      <w:footerReference r:id="rId3" w:type="default"/>
      <w:footerReference r:id="rId4"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val="en-US" w:eastAsia="zh-CN"/>
                      </w:rPr>
                      <w:t xml:space="preserve"> —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2</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posOffset>-15875</wp:posOffset>
              </wp:positionH>
              <wp:positionV relativeFrom="paragraph">
                <wp:posOffset>-46990</wp:posOffset>
              </wp:positionV>
              <wp:extent cx="647065" cy="201295"/>
              <wp:effectExtent l="0" t="0" r="0" b="0"/>
              <wp:wrapNone/>
              <wp:docPr id="1" name="文本框 1"/>
              <wp:cNvGraphicFramePr/>
              <a:graphic xmlns:a="http://schemas.openxmlformats.org/drawingml/2006/main">
                <a:graphicData uri="http://schemas.microsoft.com/office/word/2010/wordprocessingShape">
                  <wps:wsp>
                    <wps:cNvSpPr txBox="1"/>
                    <wps:spPr>
                      <a:xfrm>
                        <a:off x="0" y="0"/>
                        <a:ext cx="647065" cy="20129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p>
                      </w:txbxContent>
                    </wps:txbx>
                    <wps:bodyPr rot="0" spcFirstLastPara="0" vertOverflow="overflow" horzOverflow="overflow" vert="horz" wrap="squar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1.25pt;margin-top:-3.7pt;height:15.85pt;width:50.95pt;mso-position-horizontal-relative:margin;z-index:251659264;mso-width-relative:page;mso-height-relative:page;" filled="f" stroked="f" coordsize="21600,21600" o:gfxdata="UEsDBAoAAAAAAIdO4kAAAAAAAAAAAAAAAAAEAAAAZHJzL1BLAwQUAAAACACHTuJAE//73tUAAAAH&#10;AQAADwAAAGRycy9kb3ducmV2LnhtbE2OS0/DMBCE70j8B2uRuLV2Qnk0xOmBx41nAQluTrwkEfY6&#10;ip20/HuWE5xGoxnNfOVm752YcYx9IA3ZUoFAaoLtqdXw+nK7uAARkyFrXCDU8I0RNtXhQWkKG3b0&#10;jPM2tYJHKBZGQ5fSUEgZmw69icswIHH2GUZvEtuxlXY0Ox73TuZKnUlveuKHzgx41WHztZ28Bvce&#10;x7tapY/5ur1PT49yervJHrQ+PsrUJYiE+/RXhl98RoeKmeowkY3CaVjkp9xkPV+B4Hy9Zq015KsT&#10;kFUp//NXP1BLAwQUAAAACACHTuJAn82iuTYCAABhBAAADgAAAGRycy9lMm9Eb2MueG1srVTBbhMx&#10;EL0j8Q+W72TTQgpE3VShURBSRSsVxNnxerOWbI+xne6WD4A/4MSFO9/V7+B5d5OiwqEHLs7szHhm&#10;3pvnnJ511rAbFaImV/KjyZQz5SRV2m1L/vHD+tkrzmISrhKGnCr5rYr8bPH0yWnr5+qYGjKVCgxF&#10;XJy3vuRNSn5eFFE2yoo4Ia8cgjUFKxI+w7aogmhR3ZrieDo9KVoKlQ8kVYzwroYgHyuGxxSkutZS&#10;rUjurHJpqBqUEQmQYqN95It+2rpWMl3WdVSJmZIDaepPNIG9yWexOBXzbRC+0XIcQTxmhAeYrNAO&#10;TQ+lViIJtgv6r1JWy0CR6jSRZIsBSM8IUBxNH3Bz3QiveiygOvoD6fH/lZXvb64C0xWUwJkTFgu/&#10;+/7t7sevu59f2VGmp/Vxjqxrj7zUvaEup47+CGdG3dXB5l/gYYiD3NsDuapLTMJ58uLl9GTGmUQI&#10;WI9fz3KV4v6yDzG9VWRZNkoesLueUnFzEdOQuk/JvRyttTHwi7lxrEWD57Npf+EQQXHj0CNDGEbN&#10;Vuo23Tj/hqpbwAo06CJ6udZofiFiuhIBQgASPJV0iaM2hCY0Wpw1FL78y5/zsR9EOWshrJLHzzsR&#10;FGfmncPmsgr3Rtgbm73hdvacoFVsA9P0Ji6EZPZmHch+wgta5i4ICSfRq+Rpb56nQd54gVItl33S&#10;zge9bYYL0J0X6cJde5nbDFQud4lq3bOcKRp4GZmD8vo9ja8kS/vP7z7r/p9h8R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T//ve1QAAAAcBAAAPAAAAAAAAAAEAIAAAACIAAABkcnMvZG93bnJldi54&#10;bWxQSwECFAAUAAAACACHTuJAn82iuTYCAABhBAAADgAAAAAAAAABACAAAAAkAQAAZHJzL2Uyb0Rv&#10;Yy54bWxQSwUGAAAAAAYABgBZAQAAzAUAAAAA&#10;">
              <v:fill on="f" focussize="0,0"/>
              <v:stroke on="f" weight="0.5pt"/>
              <v:imagedata o:title=""/>
              <o:lock v:ext="edit" aspectratio="f"/>
              <v:textbox inset="0mm,0mm,0mm,0mm">
                <w:txbxContent>
                  <w:p>
                    <w:pPr>
                      <w:pStyle w:val="2"/>
                      <w:rPr>
                        <w:rFonts w:hint="eastAsia" w:asciiTheme="majorEastAsia" w:hAnsiTheme="majorEastAsia" w:eastAsiaTheme="majorEastAsia" w:cstheme="majorEastAsia"/>
                        <w:sz w:val="24"/>
                        <w:szCs w:val="24"/>
                        <w:lang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fldChar w:fldCharType="begin"/>
                    </w:r>
                    <w:r>
                      <w:rPr>
                        <w:rFonts w:hint="eastAsia" w:asciiTheme="majorEastAsia" w:hAnsiTheme="majorEastAsia" w:eastAsiaTheme="majorEastAsia" w:cstheme="majorEastAsia"/>
                        <w:sz w:val="24"/>
                        <w:szCs w:val="24"/>
                        <w:lang w:eastAsia="zh-CN"/>
                      </w:rPr>
                      <w:instrText xml:space="preserve"> PAGE  \* MERGEFORMAT </w:instrText>
                    </w:r>
                    <w:r>
                      <w:rPr>
                        <w:rFonts w:hint="eastAsia" w:asciiTheme="majorEastAsia" w:hAnsiTheme="majorEastAsia" w:eastAsiaTheme="majorEastAsia" w:cstheme="majorEastAsia"/>
                        <w:sz w:val="24"/>
                        <w:szCs w:val="24"/>
                        <w:lang w:eastAsia="zh-CN"/>
                      </w:rPr>
                      <w:fldChar w:fldCharType="separate"/>
                    </w:r>
                    <w:r>
                      <w:rPr>
                        <w:rFonts w:hint="eastAsia" w:asciiTheme="majorEastAsia" w:hAnsiTheme="majorEastAsia" w:eastAsiaTheme="majorEastAsia" w:cstheme="majorEastAsia"/>
                        <w:sz w:val="24"/>
                        <w:szCs w:val="24"/>
                        <w:lang w:eastAsia="zh-CN"/>
                      </w:rPr>
                      <w:t>1</w:t>
                    </w:r>
                    <w:r>
                      <w:rPr>
                        <w:rFonts w:hint="eastAsia" w:asciiTheme="majorEastAsia" w:hAnsiTheme="majorEastAsia" w:eastAsiaTheme="majorEastAsia" w:cstheme="majorEastAsia"/>
                        <w:sz w:val="24"/>
                        <w:szCs w:val="24"/>
                        <w:lang w:eastAsia="zh-CN"/>
                      </w:rPr>
                      <w:fldChar w:fldCharType="end"/>
                    </w:r>
                    <w:r>
                      <w:rPr>
                        <w:rFonts w:hint="eastAsia" w:asciiTheme="majorEastAsia" w:hAnsiTheme="majorEastAsia" w:eastAsiaTheme="majorEastAsia" w:cstheme="majorEastAsia"/>
                        <w:sz w:val="24"/>
                        <w:szCs w:val="24"/>
                        <w:lang w:val="en-US" w:eastAsia="zh-CN"/>
                      </w:rPr>
                      <w:t xml:space="preserve"> </w:t>
                    </w:r>
                    <w:r>
                      <w:rPr>
                        <w:rFonts w:hint="eastAsia" w:asciiTheme="majorEastAsia" w:hAnsiTheme="majorEastAsia" w:eastAsiaTheme="majorEastAsia" w:cstheme="majorEastAsia"/>
                        <w:sz w:val="24"/>
                        <w:szCs w:val="24"/>
                        <w:lang w:eastAsia="zh-CN"/>
                      </w:rPr>
                      <w:t>—</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posOffset>5179695</wp:posOffset>
              </wp:positionH>
              <wp:positionV relativeFrom="paragraph">
                <wp:posOffset>-7620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407.85pt;margin-top:-0.6pt;height:144pt;width:144pt;mso-position-horizontal-relative:margin;mso-wrap-style:none;z-index:251660288;mso-width-relative:page;mso-height-relative:page;" filled="f" stroked="f" coordsize="21600,21600" o:gfxdata="UEsDBAoAAAAAAIdO4kAAAAAAAAAAAAAAAAAEAAAAZHJzL1BLAwQUAAAACACHTuJA/A+lpNgAAAAL&#10;AQAADwAAAGRycy9kb3ducmV2LnhtbE2PwU7DMAyG70i8Q2QkbluSDkZV6k5iohyRWDlwzBrTFpqk&#10;SrKuvD3ZCY62P/3+/nK3mJHN5MPgLIJcC2BkW6cH2yG8N/UqBxaislqNzhLCDwXYVddXpSq0O9s3&#10;mg+xYynEhkIh9DFOBeeh7cmosHYT2XT7dN6omEbfce3VOYWbkWdCbLlRg00fejXRvqf2+3AyCPu6&#10;afxMwY8f9FJvvl6f7uh5Qby9keIRWKQl/sFw0U/qUCWnoztZHdiIkMv7h4QirGQG7AJIsUmbI0KW&#10;b3PgVcn/d6h+AVBLAwQUAAAACACHTuJAJIJGtDECAABhBAAADgAAAGRycy9lMm9Eb2MueG1srVRL&#10;jhMxEN0jcQfLe9JJEKMoSmcUJgpCipiRAmLtuN1pS/7JdtIdDgA3YMWGPefKOXjuTwYNLGbBxl12&#10;lV/5varqxW2jFTkJH6Q1OZ2MxpQIw20hzSGnnz5uXs0oCZGZgilrRE7PItDb5csXi9rNxdRWVhXC&#10;E4CYMK9dTqsY3TzLAq+EZmFknTBwltZrFrH1h6zwrAa6Vtl0PL7JausL5y0XIeB03Tlpj+ifA2jL&#10;UnKxtvyohYkdqheKRVAKlXSBLtvXlqXg8b4sg4hE5RRMY7siCex9WrPlgs0PnrlK8v4J7DlPeMJJ&#10;M2mQ9Aq1ZpGRo5d/QWnJvQ22jCNuddYRaRUBi8n4iTa7ijnRcoHUwV1FD/8Pln84PXgii5xOKTFM&#10;o+CX798uP35dfn4l0yRP7cIcUTuHuNi8tQ2aZjgPOEysm9Lr9AUfAj/EPV/FFU0kPF2aTWezMVwc&#10;vmED/OzxuvMhvhNWk2Tk1KN6rajstA2xCx1CUjZjN1KptoLKkDqnN6/fjNsLVw/AlUGORKJ7bLJi&#10;s296ZntbnEHM264zguMbieRbFuID82gFPBjDEu+xlMoiie0tSirrv/zrPMWjQvBSUqO1cmowSZSo&#10;9waVA2AcDD8Y+8EwR31n0asTDKHjrYkLPqrBLL3VnzFBq5QDLmY4MuU0DuZd7NobE8jFatUGHZ2X&#10;h6q7gL5zLG7NzvGUJgkZ3OoYIWarcRKoU6XXDZ3XVqmfktTaf+7bqMc/w/I3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A+lpNgAAAALAQAADwAAAAAAAAABACAAAAAiAAAAZHJzL2Rvd25yZXYueG1s&#10;UEsBAhQAFAAAAAgAh07iQCSCRrQxAgAAYQQAAA4AAAAAAAAAAQAgAAAAJwEAAGRycy9lMm9Eb2Mu&#10;eG1sUEsFBgAAAAAGAAYAWQEAAMoFAAAAAA==&#10;">
              <v:fill on="f" focussize="0,0"/>
              <v:stroke on="f" weight="0.5pt"/>
              <v:imagedata o:title=""/>
              <o:lock v:ext="edit" aspectratio="f"/>
              <v:textbox inset="0mm,0mm,0mm,0mm" style="mso-fit-shape-to-text:t;">
                <w:txbxContent>
                  <w:p>
                    <w:pPr>
                      <w:pStyle w:val="2"/>
                      <w:rPr>
                        <w:rFonts w:hint="default" w:eastAsia="宋体"/>
                        <w:sz w:val="24"/>
                        <w:szCs w:val="24"/>
                        <w:lang w:val="en-US" w:eastAsia="zh-CN"/>
                      </w:rPr>
                    </w:pPr>
                    <w:r>
                      <w:rPr>
                        <w:rFonts w:hint="eastAsia" w:asciiTheme="minorEastAsia" w:hAnsiTheme="minorEastAsia" w:eastAsiaTheme="minorEastAsia" w:cstheme="minorEastAsia"/>
                        <w:sz w:val="24"/>
                        <w:szCs w:val="24"/>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D905A8C"/>
    <w:multiLevelType w:val="singleLevel"/>
    <w:tmpl w:val="AD905A8C"/>
    <w:lvl w:ilvl="0" w:tentative="0">
      <w:start w:val="2"/>
      <w:numFmt w:val="chineseCounting"/>
      <w:suff w:val="nothing"/>
      <w:lvlText w:val="（%1）"/>
      <w:lvlJc w:val="left"/>
      <w:pPr>
        <w:ind w:left="481" w:leftChars="0" w:firstLine="0" w:firstLineChars="0"/>
      </w:pPr>
      <w:rPr>
        <w:rFonts w:hint="eastAsia"/>
      </w:rPr>
    </w:lvl>
  </w:abstractNum>
  <w:abstractNum w:abstractNumId="1">
    <w:nsid w:val="CC9ECC2A"/>
    <w:multiLevelType w:val="singleLevel"/>
    <w:tmpl w:val="CC9ECC2A"/>
    <w:lvl w:ilvl="0" w:tentative="0">
      <w:start w:val="2"/>
      <w:numFmt w:val="decimal"/>
      <w:lvlText w:val="%1."/>
      <w:lvlJc w:val="left"/>
      <w:pPr>
        <w:tabs>
          <w:tab w:val="left" w:pos="312"/>
        </w:tabs>
        <w:ind w:left="800" w:leftChars="0" w:firstLine="0" w:firstLineChars="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g1MTkxMjY0M2I0NTRlNDIwNTIwMjFlMmYxNDlmMzUifQ=="/>
  </w:docVars>
  <w:rsids>
    <w:rsidRoot w:val="2A2941B7"/>
    <w:rsid w:val="001B5373"/>
    <w:rsid w:val="017A34D3"/>
    <w:rsid w:val="02FC77C4"/>
    <w:rsid w:val="045D0694"/>
    <w:rsid w:val="06C459A6"/>
    <w:rsid w:val="07413082"/>
    <w:rsid w:val="08617149"/>
    <w:rsid w:val="0A162391"/>
    <w:rsid w:val="0A7F15B8"/>
    <w:rsid w:val="0C496386"/>
    <w:rsid w:val="0F0A27A5"/>
    <w:rsid w:val="0F5522EC"/>
    <w:rsid w:val="104220A8"/>
    <w:rsid w:val="110A7F79"/>
    <w:rsid w:val="14171FEB"/>
    <w:rsid w:val="160134F3"/>
    <w:rsid w:val="168C7A3B"/>
    <w:rsid w:val="17D12F88"/>
    <w:rsid w:val="18053965"/>
    <w:rsid w:val="192D7D39"/>
    <w:rsid w:val="194E310C"/>
    <w:rsid w:val="197137D6"/>
    <w:rsid w:val="1A5F389F"/>
    <w:rsid w:val="1CDA5EB4"/>
    <w:rsid w:val="1EEE2E7A"/>
    <w:rsid w:val="1EFE4C9F"/>
    <w:rsid w:val="1FBF45F9"/>
    <w:rsid w:val="20724630"/>
    <w:rsid w:val="20991F3C"/>
    <w:rsid w:val="20B67E4D"/>
    <w:rsid w:val="21D41100"/>
    <w:rsid w:val="22074A02"/>
    <w:rsid w:val="230F286E"/>
    <w:rsid w:val="25874145"/>
    <w:rsid w:val="28B05851"/>
    <w:rsid w:val="292E69F1"/>
    <w:rsid w:val="29A11776"/>
    <w:rsid w:val="29D30AE1"/>
    <w:rsid w:val="2A2941B7"/>
    <w:rsid w:val="2AFD18AA"/>
    <w:rsid w:val="2B1421A6"/>
    <w:rsid w:val="2C690EEA"/>
    <w:rsid w:val="2C8971B8"/>
    <w:rsid w:val="2CAF6C69"/>
    <w:rsid w:val="2D84788E"/>
    <w:rsid w:val="2FA7185A"/>
    <w:rsid w:val="308A6731"/>
    <w:rsid w:val="3153719F"/>
    <w:rsid w:val="323C5343"/>
    <w:rsid w:val="3258384D"/>
    <w:rsid w:val="32D35167"/>
    <w:rsid w:val="330370AB"/>
    <w:rsid w:val="33B01662"/>
    <w:rsid w:val="353654BB"/>
    <w:rsid w:val="353E6867"/>
    <w:rsid w:val="357F6EDA"/>
    <w:rsid w:val="35884727"/>
    <w:rsid w:val="38934094"/>
    <w:rsid w:val="3B3F225B"/>
    <w:rsid w:val="3CC44EC6"/>
    <w:rsid w:val="3D7D5899"/>
    <w:rsid w:val="3DF64077"/>
    <w:rsid w:val="3E2535C4"/>
    <w:rsid w:val="3F1A625E"/>
    <w:rsid w:val="408818C0"/>
    <w:rsid w:val="43941143"/>
    <w:rsid w:val="449C26F4"/>
    <w:rsid w:val="45454174"/>
    <w:rsid w:val="459859C4"/>
    <w:rsid w:val="468105F8"/>
    <w:rsid w:val="471F7FC4"/>
    <w:rsid w:val="473C2012"/>
    <w:rsid w:val="4B3753B4"/>
    <w:rsid w:val="4C0D5080"/>
    <w:rsid w:val="4D9F0CCA"/>
    <w:rsid w:val="4E245529"/>
    <w:rsid w:val="4F521D8B"/>
    <w:rsid w:val="522C73AE"/>
    <w:rsid w:val="548C214C"/>
    <w:rsid w:val="54D42D32"/>
    <w:rsid w:val="553D009F"/>
    <w:rsid w:val="56E934F4"/>
    <w:rsid w:val="570A54A5"/>
    <w:rsid w:val="575A390F"/>
    <w:rsid w:val="5B747DF6"/>
    <w:rsid w:val="5B753D05"/>
    <w:rsid w:val="5DAC4370"/>
    <w:rsid w:val="5DEC2D57"/>
    <w:rsid w:val="5E31685C"/>
    <w:rsid w:val="5EDF5B83"/>
    <w:rsid w:val="5F591EE8"/>
    <w:rsid w:val="5F974AB3"/>
    <w:rsid w:val="61867A63"/>
    <w:rsid w:val="627B3AE2"/>
    <w:rsid w:val="62D66533"/>
    <w:rsid w:val="63A1229C"/>
    <w:rsid w:val="65155642"/>
    <w:rsid w:val="66CA241B"/>
    <w:rsid w:val="67F324B9"/>
    <w:rsid w:val="689D75BA"/>
    <w:rsid w:val="68B2181E"/>
    <w:rsid w:val="69F84640"/>
    <w:rsid w:val="6C0B6343"/>
    <w:rsid w:val="6C4D656B"/>
    <w:rsid w:val="6C521798"/>
    <w:rsid w:val="6DDA64B9"/>
    <w:rsid w:val="6F0C4962"/>
    <w:rsid w:val="700170AB"/>
    <w:rsid w:val="73766607"/>
    <w:rsid w:val="76C3791A"/>
    <w:rsid w:val="7871238E"/>
    <w:rsid w:val="7926401B"/>
    <w:rsid w:val="7B845489"/>
    <w:rsid w:val="7D8725E6"/>
    <w:rsid w:val="7D892BAC"/>
    <w:rsid w:val="7DF421E6"/>
    <w:rsid w:val="7E006CDE"/>
    <w:rsid w:val="7F3E2C1D"/>
    <w:rsid w:val="7FB06E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2024-03-05T09:17:14Z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BEBFFEA62EBC4127BDA3894E85E312CC_12</vt:lpwstr>
  </property>
</Properties>
</file>