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hint="eastAsia" w:ascii="方正小标宋简体" w:hAnsi="方正小标宋简体" w:eastAsia="方正小标宋简体" w:cs="方正小标宋简体"/>
          <w:b/>
          <w:bCs/>
          <w:spacing w:val="-20"/>
          <w:sz w:val="44"/>
          <w:szCs w:val="44"/>
        </w:rPr>
      </w:pPr>
      <w:r>
        <w:rPr>
          <w:rFonts w:hint="eastAsia" w:ascii="方正小标宋简体" w:hAnsi="方正小标宋简体" w:eastAsia="方正小标宋简体" w:cs="方正小标宋简体"/>
          <w:b/>
          <w:bCs/>
          <w:spacing w:val="-20"/>
          <w:sz w:val="44"/>
          <w:szCs w:val="44"/>
        </w:rPr>
        <w:t>中共石家庄市鹿泉区委机构编制委员会办公室</w:t>
      </w:r>
    </w:p>
    <w:p>
      <w:pPr>
        <w:spacing w:line="360" w:lineRule="auto"/>
        <w:jc w:val="center"/>
        <w:rPr>
          <w:rFonts w:hint="eastAsia" w:ascii="方正小标宋简体" w:hAnsi="方正小标宋简体" w:eastAsia="方正小标宋简体" w:cs="方正小标宋简体"/>
          <w:b/>
          <w:bCs/>
          <w:sz w:val="44"/>
          <w:szCs w:val="44"/>
        </w:rPr>
      </w:pPr>
      <w:r>
        <w:rPr>
          <w:rFonts w:hint="eastAsia" w:ascii="方正小标宋简体" w:hAnsi="方正小标宋简体" w:eastAsia="方正小标宋简体" w:cs="方正小标宋简体"/>
          <w:b/>
          <w:bCs/>
          <w:sz w:val="44"/>
          <w:szCs w:val="44"/>
        </w:rPr>
        <w:t>机关事业单位中文域名注册和网站标识管理工作项目绩效评价报告</w:t>
      </w:r>
    </w:p>
    <w:p>
      <w:pPr>
        <w:spacing w:line="360" w:lineRule="auto"/>
        <w:jc w:val="center"/>
        <w:rPr>
          <w:rFonts w:ascii="宋体"/>
          <w:b/>
          <w:bCs/>
          <w:sz w:val="36"/>
          <w:szCs w:val="32"/>
        </w:rPr>
      </w:pP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中共石家庄市鹿泉区委机构编制委员会办公室机关事业单位中文域名注册和网站标识管理工作项目实施了绩效评价，形成本评价报告。</w:t>
      </w:r>
    </w:p>
    <w:p>
      <w:pPr>
        <w:adjustRightInd w:val="0"/>
        <w:snapToGrid w:val="0"/>
        <w:spacing w:line="600" w:lineRule="exact"/>
        <w:ind w:firstLine="200"/>
        <w:rPr>
          <w:rFonts w:ascii="黑体" w:eastAsia="黑体"/>
          <w:b/>
          <w:bCs/>
          <w:sz w:val="32"/>
          <w:szCs w:val="36"/>
        </w:rPr>
      </w:pPr>
      <w:r>
        <w:rPr>
          <w:rFonts w:ascii="黑体" w:eastAsia="黑体"/>
          <w:sz w:val="32"/>
          <w:szCs w:val="32"/>
        </w:rPr>
        <w:t xml:space="preserve">    </w:t>
      </w:r>
      <w:r>
        <w:rPr>
          <w:rFonts w:hint="eastAsia" w:ascii="黑体" w:eastAsia="黑体"/>
          <w:sz w:val="32"/>
          <w:szCs w:val="32"/>
        </w:rPr>
        <w:t>一、项目</w:t>
      </w:r>
      <w:r>
        <w:rPr>
          <w:rFonts w:hint="eastAsia" w:ascii="黑体" w:eastAsia="黑体"/>
          <w:sz w:val="32"/>
          <w:szCs w:val="36"/>
        </w:rPr>
        <w:t>基本情况</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（一）项目概况</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中文域名及网络标识管理工作经费，主要用于我区456家机关、事业单位中文域名管理、续费延期及网站挂标，以保证域名主体和实体一一对应，维护其在互联网上的权威身份。该项目预算资金8万元，全部经费由财政拨发。</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（二）项目预期绩效目标</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我区456家机关、事业单位中文域名续费延期及“挂标”工作，实现党政机关、事业单位网上身份的实时检索和识别，确保域名有效性。</w:t>
      </w:r>
    </w:p>
    <w:p>
      <w:pPr>
        <w:adjustRightInd w:val="0"/>
        <w:snapToGrid w:val="0"/>
        <w:spacing w:line="600" w:lineRule="exact"/>
        <w:ind w:firstLine="640" w:firstLineChars="200"/>
        <w:rPr>
          <w:rFonts w:ascii="黑体" w:hAnsi="黑体" w:eastAsia="黑体" w:cs="黑体"/>
          <w:bCs/>
          <w:sz w:val="32"/>
          <w:szCs w:val="32"/>
        </w:rPr>
      </w:pPr>
      <w:r>
        <w:rPr>
          <w:rFonts w:hint="eastAsia" w:ascii="黑体" w:hAnsi="黑体" w:eastAsia="黑体" w:cs="黑体"/>
          <w:bCs/>
          <w:sz w:val="32"/>
          <w:szCs w:val="32"/>
        </w:rPr>
        <w:t>二、绩效评价工作情况</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（一）绩效评价的组织工作</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按照绩效评价的要求，成立评价小组，进行前期准备工作并制定绩效评价工作方案。</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（二）绩效评价的方法和过程</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绩效评价工作采用单位自评价和财政再评价相结合的方式开展。自评价采取数据收集汇总、指标分析、询问查证等方法，形成了自评价报告。</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本次绩效评价自评价工作分为三个阶段：</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第一阶段：根据成立评价工作小组，制定项目绩效评价具体实施方案。</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第二阶段：按照区财政局要求，进行自查。</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第三阶段：由评价工作小组对项目总结评价结论，最终形成自评价报告，报区财政局。</w:t>
      </w:r>
    </w:p>
    <w:p>
      <w:pPr>
        <w:spacing w:line="600" w:lineRule="exact"/>
        <w:ind w:firstLine="200"/>
        <w:rPr>
          <w:rFonts w:ascii="黑体" w:hAnsi="黑体" w:eastAsia="黑体" w:cs="黑体"/>
          <w:b/>
          <w:bCs/>
          <w:sz w:val="32"/>
          <w:szCs w:val="32"/>
        </w:rPr>
      </w:pPr>
      <w:r>
        <w:rPr>
          <w:rFonts w:ascii="仿宋_GB2312" w:eastAsia="仿宋_GB2312"/>
          <w:b/>
          <w:bCs/>
          <w:sz w:val="32"/>
          <w:szCs w:val="32"/>
        </w:rPr>
        <w:t xml:space="preserve">    </w:t>
      </w:r>
      <w:r>
        <w:rPr>
          <w:rFonts w:hint="eastAsia" w:ascii="黑体" w:hAnsi="黑体" w:eastAsia="黑体" w:cs="黑体"/>
          <w:sz w:val="32"/>
          <w:szCs w:val="32"/>
        </w:rPr>
        <w:t>三、项目执行及绩效实现情况</w:t>
      </w:r>
    </w:p>
    <w:p>
      <w:pPr>
        <w:spacing w:line="600" w:lineRule="exact"/>
        <w:ind w:firstLine="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（一）项目投入</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1.</w:t>
      </w:r>
      <w:r>
        <w:rPr>
          <w:rFonts w:ascii="仿宋_GB2312" w:eastAsia="仿宋_GB2312"/>
          <w:sz w:val="32"/>
          <w:szCs w:val="32"/>
        </w:rPr>
        <w:t>项目</w:t>
      </w:r>
      <w:r>
        <w:rPr>
          <w:rFonts w:hint="eastAsia" w:ascii="仿宋_GB2312" w:eastAsia="仿宋_GB2312"/>
          <w:sz w:val="32"/>
          <w:szCs w:val="32"/>
        </w:rPr>
        <w:t>立项情况分析</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该项目的申请、设立过程符合相关中央、省委相关规定，所设的绩效目标依据充分、符合客观实际，绩效指标清晰、细化可衡量。根据指标体系评分标准可评100分。</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2.资金落实情况分析。</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实际到位资金与计划投入资金的比率与到位及时率，根据指标体系评分标准计算分值可评100分。</w:t>
      </w:r>
    </w:p>
    <w:p>
      <w:pPr>
        <w:spacing w:line="600" w:lineRule="exact"/>
        <w:ind w:firstLine="320" w:firstLineChars="100"/>
        <w:rPr>
          <w:rFonts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1.业务管理情况分析</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我单位管理制度健全性、制度执行有效性和项目质量可控性等情况进行分析后，根据指标体系评分标准计算分值可评100分。</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2.财务管理</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我单位财务管理</w:t>
      </w:r>
      <w:bookmarkStart w:id="0" w:name="_GoBack"/>
      <w:bookmarkEnd w:id="0"/>
      <w:r>
        <w:rPr>
          <w:rFonts w:hint="eastAsia" w:ascii="仿宋_GB2312" w:eastAsia="仿宋_GB2312"/>
          <w:sz w:val="32"/>
          <w:szCs w:val="32"/>
        </w:rPr>
        <w:t>制度健全性、资金使用合规性和财务监控有效性等情况进行分析后，根据指标体系评分标准可评100分。</w:t>
      </w:r>
    </w:p>
    <w:p>
      <w:pPr>
        <w:spacing w:line="600" w:lineRule="exact"/>
        <w:ind w:firstLine="200"/>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项目可实现党政机关、事业单位网上身份的实时检索和识别，根据指标体系评分标准可评100分。</w:t>
      </w:r>
    </w:p>
    <w:p>
      <w:pPr>
        <w:spacing w:line="600" w:lineRule="exact"/>
        <w:ind w:firstLine="200"/>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项目可实现党政机关、事业单位网上身份的实时检索和识别，服务对象满意度可达100%。根据指标体系评分标准可评100分。</w:t>
      </w:r>
    </w:p>
    <w:p>
      <w:pPr>
        <w:spacing w:line="600" w:lineRule="exact"/>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spacing w:line="578" w:lineRule="exact"/>
        <w:ind w:firstLine="640" w:firstLineChars="200"/>
        <w:rPr>
          <w:rFonts w:ascii="仿宋_GB2312" w:eastAsia="仿宋_GB2312"/>
          <w:sz w:val="32"/>
          <w:szCs w:val="32"/>
        </w:rPr>
      </w:pPr>
      <w:r>
        <w:rPr>
          <w:rFonts w:hint="eastAsia" w:ascii="仿宋_GB2312" w:eastAsia="仿宋_GB2312"/>
          <w:sz w:val="32"/>
          <w:szCs w:val="32"/>
        </w:rPr>
        <w:t>根据项目执行情况和项目绩效情况，给出总得分，指标体系设定满分100分，得出综合评价结论和项目综合绩效评价等级。项目综合绩效评价分为4个等级：得分</w:t>
      </w:r>
      <w:r>
        <w:rPr>
          <w:rFonts w:ascii="Arial" w:hAnsi="Arial" w:eastAsia="仿宋_GB2312" w:cs="Arial"/>
          <w:sz w:val="32"/>
          <w:szCs w:val="32"/>
        </w:rPr>
        <w:t>≥</w:t>
      </w:r>
      <w:r>
        <w:rPr>
          <w:rFonts w:hint="eastAsia" w:ascii="仿宋_GB2312" w:eastAsia="仿宋_GB2312"/>
          <w:sz w:val="32"/>
          <w:szCs w:val="32"/>
        </w:rPr>
        <w:t>85分为优秀；75</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85分为良好；60</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75分为一般；得分</w:t>
      </w:r>
      <w:r>
        <w:rPr>
          <w:rFonts w:hint="eastAsia" w:ascii="仿宋_GB2312" w:hAnsi="仿宋_GB2312" w:eastAsia="仿宋_GB2312"/>
          <w:sz w:val="32"/>
          <w:szCs w:val="32"/>
        </w:rPr>
        <w:t>＜</w:t>
      </w:r>
      <w:r>
        <w:rPr>
          <w:rFonts w:hint="eastAsia" w:ascii="仿宋_GB2312" w:eastAsia="仿宋_GB2312"/>
          <w:sz w:val="32"/>
          <w:szCs w:val="32"/>
        </w:rPr>
        <w:t>60分为较差。综合上述指标该项目评分100分。</w:t>
      </w:r>
    </w:p>
    <w:p>
      <w:pPr>
        <w:spacing w:line="600" w:lineRule="exact"/>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spacing w:line="600" w:lineRule="exact"/>
        <w:ind w:firstLine="640" w:firstLineChars="200"/>
        <w:rPr>
          <w:rFonts w:ascii="仿宋" w:hAnsi="仿宋" w:eastAsia="仿宋" w:cs="仿宋"/>
          <w:sz w:val="32"/>
          <w:szCs w:val="32"/>
        </w:rPr>
      </w:pPr>
      <w:r>
        <w:rPr>
          <w:rFonts w:hint="eastAsia" w:ascii="仿宋_GB2312" w:eastAsia="仿宋_GB2312"/>
          <w:sz w:val="32"/>
          <w:szCs w:val="32"/>
        </w:rPr>
        <w:t>该项目不存在任何问题。</w:t>
      </w:r>
    </w:p>
    <w:p>
      <w:pPr>
        <w:spacing w:line="600" w:lineRule="exact"/>
        <w:ind w:firstLine="320" w:firstLineChars="100"/>
        <w:rPr>
          <w:rFonts w:ascii="仿宋_GB2312" w:eastAsia="仿宋_GB2312"/>
          <w:sz w:val="32"/>
          <w:szCs w:val="32"/>
        </w:rPr>
      </w:pP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p>
      <w:pPr>
        <w:spacing w:line="600" w:lineRule="exact"/>
        <w:ind w:firstLine="200"/>
        <w:rPr>
          <w:rFonts w:ascii="仿宋_GB2312" w:eastAsia="仿宋_GB2312"/>
          <w:sz w:val="32"/>
          <w:szCs w:val="32"/>
        </w:rPr>
      </w:pPr>
      <w:r>
        <w:rPr>
          <w:rFonts w:hint="eastAsia" w:ascii="仿宋_GB2312" w:eastAsia="仿宋_GB2312"/>
          <w:sz w:val="32"/>
          <w:szCs w:val="32"/>
        </w:rPr>
        <w:t xml:space="preserve">  郝志会，鹿泉区委编办，副主任。</w:t>
      </w:r>
    </w:p>
    <w:p>
      <w:pPr>
        <w:spacing w:line="600" w:lineRule="exact"/>
        <w:ind w:firstLine="640" w:firstLineChars="200"/>
        <w:rPr>
          <w:rFonts w:ascii="仿宋_GB2312" w:eastAsia="仿宋_GB2312"/>
          <w:sz w:val="32"/>
          <w:szCs w:val="32"/>
        </w:rPr>
      </w:pPr>
    </w:p>
    <w:p>
      <w:pPr>
        <w:spacing w:line="600" w:lineRule="exact"/>
        <w:ind w:firstLine="2080" w:firstLineChars="650"/>
        <w:rPr>
          <w:rFonts w:ascii="仿宋_GB2312" w:eastAsia="仿宋_GB2312"/>
          <w:sz w:val="32"/>
          <w:szCs w:val="32"/>
        </w:rPr>
      </w:pPr>
      <w:r>
        <w:rPr>
          <w:rFonts w:hint="eastAsia" w:ascii="仿宋_GB2312" w:eastAsia="仿宋_GB2312"/>
          <w:sz w:val="32"/>
          <w:szCs w:val="32"/>
        </w:rPr>
        <w:t>中共石家庄市鹿泉区委机构编制委员会办公室</w:t>
      </w:r>
    </w:p>
    <w:p>
      <w:pPr>
        <w:spacing w:line="600" w:lineRule="exact"/>
        <w:ind w:firstLine="640" w:firstLineChars="200"/>
        <w:rPr>
          <w:rFonts w:ascii="仿宋_GB2312" w:eastAsia="仿宋_GB2312"/>
          <w:sz w:val="32"/>
          <w:szCs w:val="32"/>
        </w:rPr>
      </w:pPr>
      <w:r>
        <w:rPr>
          <w:rFonts w:ascii="仿宋_GB2312" w:eastAsia="仿宋_GB2312"/>
          <w:sz w:val="32"/>
          <w:szCs w:val="32"/>
        </w:rPr>
        <w:t xml:space="preserve">                         2020</w:t>
      </w:r>
      <w:r>
        <w:rPr>
          <w:rFonts w:hint="eastAsia" w:ascii="仿宋_GB2312" w:eastAsia="仿宋_GB2312"/>
          <w:sz w:val="32"/>
          <w:szCs w:val="32"/>
        </w:rPr>
        <w:t>年</w:t>
      </w:r>
      <w:r>
        <w:rPr>
          <w:rFonts w:ascii="仿宋_GB2312" w:eastAsia="仿宋_GB2312"/>
          <w:sz w:val="32"/>
          <w:szCs w:val="32"/>
        </w:rPr>
        <w:t>1</w:t>
      </w:r>
      <w:r>
        <w:rPr>
          <w:rFonts w:hint="eastAsia" w:ascii="仿宋_GB2312" w:eastAsia="仿宋_GB2312"/>
          <w:sz w:val="32"/>
          <w:szCs w:val="32"/>
        </w:rPr>
        <w:t>月7日</w:t>
      </w:r>
    </w:p>
    <w:p>
      <w:pPr>
        <w:spacing w:line="600" w:lineRule="exact"/>
        <w:ind w:firstLine="640" w:firstLineChars="200"/>
        <w:rPr>
          <w:rFonts w:ascii="仿宋_GB2312" w:eastAsia="仿宋_GB2312"/>
          <w:sz w:val="32"/>
          <w:szCs w:val="32"/>
        </w:rPr>
      </w:pPr>
    </w:p>
    <w:p>
      <w:pPr>
        <w:spacing w:line="600" w:lineRule="exact"/>
        <w:ind w:firstLine="640" w:firstLineChars="200"/>
        <w:rPr>
          <w:rFonts w:ascii="仿宋_GB2312" w:eastAsia="仿宋_GB2312"/>
          <w:sz w:val="32"/>
          <w:szCs w:val="32"/>
        </w:rPr>
      </w:pPr>
    </w:p>
    <w:p>
      <w:pPr>
        <w:spacing w:line="600" w:lineRule="exact"/>
        <w:ind w:firstLine="640" w:firstLineChars="200"/>
        <w:rPr>
          <w:rFonts w:ascii="仿宋_GB2312" w:eastAsia="仿宋_GB2312"/>
          <w:sz w:val="32"/>
          <w:szCs w:val="32"/>
        </w:rPr>
      </w:pPr>
    </w:p>
    <w:p>
      <w:pPr>
        <w:adjustRightInd w:val="0"/>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附件：</w:t>
      </w:r>
      <w:r>
        <w:rPr>
          <w:rFonts w:ascii="仿宋_GB2312" w:hAnsi="宋体" w:eastAsia="仿宋_GB2312"/>
          <w:sz w:val="32"/>
          <w:szCs w:val="32"/>
        </w:rPr>
        <w:t>项目支出绩效评价共性指标体系框架</w:t>
      </w: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rPr>
          <w:rFonts w:ascii="仿宋_GB2312" w:hAnsi="宋体" w:eastAsia="仿宋_GB2312"/>
          <w:sz w:val="32"/>
          <w:szCs w:val="32"/>
        </w:rPr>
      </w:pPr>
      <w:r>
        <w:rPr>
          <w:rFonts w:hint="eastAsia" w:ascii="黑体" w:hAnsi="黑体" w:eastAsia="黑体" w:cs="黑体"/>
          <w:sz w:val="32"/>
          <w:szCs w:val="32"/>
        </w:rPr>
        <w:t>附件</w:t>
      </w:r>
    </w:p>
    <w:p>
      <w:pPr>
        <w:adjustRightInd w:val="0"/>
        <w:spacing w:line="360" w:lineRule="auto"/>
        <w:rPr>
          <w:rFonts w:ascii="仿宋_GB2312" w:hAnsi="宋体" w:eastAsia="仿宋_GB2312"/>
          <w:sz w:val="32"/>
          <w:szCs w:val="32"/>
        </w:rPr>
      </w:pPr>
    </w:p>
    <w:p>
      <w:pPr>
        <w:adjustRightInd w:val="0"/>
        <w:spacing w:line="360" w:lineRule="auto"/>
        <w:ind w:firstLine="643" w:firstLineChars="200"/>
        <w:rPr>
          <w:rFonts w:ascii="宋体" w:hAnsi="宋体"/>
          <w:b/>
          <w:color w:val="000000"/>
          <w:sz w:val="32"/>
          <w:shd w:val="clear" w:color="auto" w:fill="FFFFFF"/>
        </w:rPr>
      </w:pPr>
      <w:r>
        <w:rPr>
          <w:rFonts w:hint="eastAsia" w:ascii="宋体" w:hAnsi="宋体"/>
          <w:b/>
          <w:color w:val="000000"/>
          <w:sz w:val="32"/>
          <w:shd w:val="clear" w:color="auto" w:fill="FFFFFF"/>
        </w:rPr>
        <w:t xml:space="preserve">      </w:t>
      </w:r>
      <w:r>
        <w:rPr>
          <w:rFonts w:ascii="宋体" w:hAnsi="宋体"/>
          <w:b/>
          <w:color w:val="000000"/>
          <w:sz w:val="32"/>
          <w:shd w:val="clear" w:color="auto" w:fill="FFFFFF"/>
        </w:rPr>
        <w:t>项目支出绩效评价共性指标体系框架</w:t>
      </w:r>
    </w:p>
    <w:tbl>
      <w:tblPr>
        <w:tblStyle w:val="6"/>
        <w:tblW w:w="8646" w:type="dxa"/>
        <w:tblInd w:w="0" w:type="dxa"/>
        <w:tblLayout w:type="fixed"/>
        <w:tblCellMar>
          <w:top w:w="0" w:type="dxa"/>
          <w:left w:w="108" w:type="dxa"/>
          <w:bottom w:w="0" w:type="dxa"/>
          <w:right w:w="108" w:type="dxa"/>
        </w:tblCellMar>
      </w:tblPr>
      <w:tblGrid>
        <w:gridCol w:w="742"/>
        <w:gridCol w:w="778"/>
        <w:gridCol w:w="818"/>
        <w:gridCol w:w="2414"/>
        <w:gridCol w:w="3894"/>
      </w:tblGrid>
      <w:tr>
        <w:tblPrEx>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一级</w:t>
            </w:r>
            <w:r>
              <w:rPr>
                <w:rFonts w:ascii="楷体_GB2312" w:hAnsi="楷体_GB2312" w:eastAsia="楷体_GB2312"/>
                <w:b/>
                <w:color w:val="000000"/>
                <w:sz w:val="24"/>
                <w:szCs w:val="28"/>
                <w:shd w:val="clear" w:color="auto" w:fill="FFFFFF"/>
              </w:rPr>
              <w:br w:type="textWrapping"/>
            </w:r>
            <w:r>
              <w:rPr>
                <w:rFonts w:ascii="楷体_GB2312" w:hAnsi="楷体_GB2312" w:eastAsia="楷体_GB2312"/>
                <w:b/>
                <w:color w:val="000000"/>
                <w:sz w:val="24"/>
                <w:szCs w:val="28"/>
                <w:shd w:val="clear" w:color="auto" w:fill="FFFFFF"/>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二级</w:t>
            </w:r>
            <w:r>
              <w:rPr>
                <w:rFonts w:ascii="楷体_GB2312" w:hAnsi="楷体_GB2312" w:eastAsia="楷体_GB2312"/>
                <w:b/>
                <w:color w:val="000000"/>
                <w:sz w:val="24"/>
                <w:szCs w:val="28"/>
                <w:shd w:val="clear" w:color="auto" w:fill="FFFFFF"/>
              </w:rPr>
              <w:br w:type="textWrapping"/>
            </w:r>
            <w:r>
              <w:rPr>
                <w:rFonts w:ascii="楷体_GB2312" w:hAnsi="楷体_GB2312" w:eastAsia="楷体_GB2312"/>
                <w:b/>
                <w:color w:val="000000"/>
                <w:sz w:val="24"/>
                <w:szCs w:val="28"/>
                <w:shd w:val="clear" w:color="auto" w:fill="FFFFFF"/>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ascii="楷体_GB2312" w:hAnsi="楷体_GB2312" w:eastAsia="楷体_GB2312"/>
                <w:b/>
                <w:color w:val="000000"/>
                <w:sz w:val="24"/>
                <w:szCs w:val="28"/>
                <w:shd w:val="clear" w:color="auto" w:fill="FFFFFF"/>
              </w:rPr>
              <w:t>指标说明</w:t>
            </w:r>
          </w:p>
        </w:tc>
      </w:tr>
      <w:tr>
        <w:tblPrEx>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①项目是否按照规定的程序申请设立；</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②所提交的文件、材料是否符合相关要求；</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③事前是否已经过必要的可行性研究、专家论证、风险评估、集体决策等。</w:t>
            </w:r>
          </w:p>
        </w:tc>
      </w:tr>
      <w:tr>
        <w:tblPrEx>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①是否符合国家相关法律法规、国民经济发展规划和党委政府决策；</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②是否与项目实施单位或委托单位职责密切相关；</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③项目是否为促进事业发展所必需；</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④项目预期产出效益和效果是否符合正常的业绩水平。</w:t>
            </w:r>
          </w:p>
        </w:tc>
      </w:tr>
      <w:tr>
        <w:tblPrEx>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①是否将项目绩效目标细化分解为具体的绩效指标；</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②是否通过清晰、可衡量的指标值予以体现；</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③是否与项目年度任务数或计划数相对应；</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④是否与预算确定的项目投资额或资金量相匹配。</w:t>
            </w:r>
          </w:p>
        </w:tc>
      </w:tr>
      <w:tr>
        <w:tblPrEx>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资金到位率=（实际到位资金/计划投入资金）×100%。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实际到位资金：一定时期（本年度或项目期）内实际落实到具体项目的资金。</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计划投入资金：一定时期（本年度或项目期）内计划投入到具体项目的资金。</w:t>
            </w:r>
          </w:p>
        </w:tc>
      </w:tr>
      <w:tr>
        <w:tblPrEx>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到位及时率=（及时到位资金/应到位资金）×100%。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及时到位资金：截至规定时点实际落实到具体项目的资金。</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应到位资金：按照合同或项目进度要求截至规定时点应落实到具体项目的资金。</w:t>
            </w:r>
          </w:p>
        </w:tc>
      </w:tr>
      <w:tr>
        <w:tblPrEx>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过   程</w:t>
            </w:r>
          </w:p>
          <w:p>
            <w:pPr>
              <w:shd w:val="solid" w:color="FFFFFF" w:fill="auto"/>
              <w:autoSpaceDN w:val="0"/>
              <w:jc w:val="center"/>
              <w:textAlignment w:val="center"/>
              <w:rPr>
                <w:rFonts w:ascii="楷体_GB2312" w:hAnsi="楷体_GB2312" w:eastAsia="楷体_GB2312"/>
                <w:color w:val="000000"/>
                <w:sz w:val="2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业务</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①是否已制定或具有相应的业务管理制度；</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②业务管理制度是否合法、合规、完整。</w:t>
            </w:r>
          </w:p>
        </w:tc>
      </w:tr>
      <w:tr>
        <w:tblPrEx>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①是否遵守相关法律法规和业务管理规定；</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②项目调整及支出调整手续是否完备；</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③项目合同书、验收报告、技术鉴定等资料是否齐全并及时归档；</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④项目实施的人员条件、场地设备、信息支撑等是否落实到位。</w:t>
            </w:r>
          </w:p>
        </w:tc>
      </w:tr>
      <w:tr>
        <w:tblPrEx>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①是否已制定或具有相应的项目质量要求或标准；</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②是否采取了相应的项目质量检查、验收等必需的控制措施或手段。</w:t>
            </w:r>
          </w:p>
        </w:tc>
      </w:tr>
      <w:tr>
        <w:tblPrEx>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财务</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①是否已制定或具有相应的项目资金管理办法；</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②项目资金管理办法是否符合相关财务会计制度的规定。</w:t>
            </w:r>
          </w:p>
        </w:tc>
      </w:tr>
      <w:tr>
        <w:tblPrEx>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①是否符合国家财经法规和财务管理制度以及有关专项资金管理办法的规定；</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②资金的拨付是否有完整的审批程序和手续；</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③项目的重大开支是否经过评估认证；</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④是否符合项目预算批复或合同规定的用途；</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⑤是否存在截留、挤占、挪用、虚列支出等情况。</w:t>
            </w:r>
          </w:p>
        </w:tc>
      </w:tr>
      <w:tr>
        <w:tblPrEx>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①是否已制定或具有相应的监控机制；</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②是否采取了相应的财务检查等必要的监控措施或手段。</w:t>
            </w:r>
          </w:p>
        </w:tc>
      </w:tr>
      <w:tr>
        <w:tblPrEx>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实际完成率=（实际产出数/计划产出数）×100%。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实际产出数：一定时期（本年度或项目期）内项目实际产出的产品或提供的服务数量。</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计划产出数：项目绩效目标确定的在一定时期（本年度或项目期）内计划产出的产品或提供的服务数量。</w:t>
            </w:r>
          </w:p>
        </w:tc>
      </w:tr>
      <w:tr>
        <w:tblPrEx>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完成及时率=[（计划完成时间-实际完成时间）/计划完成时间]×100%。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实际完成时间：项目实施单位完成该项目实际所耗用的时间。</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计划完成时间：按照项目实施计划或相关规定完成该项目所需的时间。</w:t>
            </w:r>
          </w:p>
        </w:tc>
      </w:tr>
      <w:tr>
        <w:tblPrEx>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质量达标率=（质量达标产出数/实际产出数）×100%。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质量达标产出数：一定时期（本年度或项目期）内实际达到既定质量标准的产品或服务数量。</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既定质量标准是指项目实施单位设立绩效目标时依据计划标准、行业标准、历史标准或其他标准而设定的绩效指标值。</w:t>
            </w:r>
          </w:p>
        </w:tc>
      </w:tr>
      <w:tr>
        <w:tblPrEx>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成本节约率=[（计划成本-实际成本）/计划成本]×100%。</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实际成本：项目实施单位如期、保质、保量完成既定工作目标实际所耗费的支出。</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计划成本：项目实施单位为完成工作目标计划安排的支出，一般以项目预算为参考。</w:t>
            </w:r>
          </w:p>
        </w:tc>
      </w:tr>
      <w:tr>
        <w:tblPrEx>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ascii="楷体_GB2312" w:hAnsi="楷体_GB2312" w:eastAsia="楷体_GB2312"/>
                <w:color w:val="000000"/>
                <w:sz w:val="22"/>
                <w:shd w:val="clear" w:color="auto" w:fill="FFFFFF"/>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此四项指标为设置项目支出绩效评价指标时必须考虑的共性要素，可根据项目实际并结合绩效目标设立情况有选择的进行设置，并将其细化为相应的个性化指标。</w:t>
            </w:r>
          </w:p>
        </w:tc>
      </w:tr>
      <w:tr>
        <w:tblPrEx>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ascii="楷体_GB2312" w:hAnsi="楷体_GB2312" w:eastAsia="楷体_GB2312"/>
                <w:color w:val="000000"/>
                <w:sz w:val="22"/>
                <w:shd w:val="clear" w:color="auto" w:fill="FFFFFF"/>
              </w:rPr>
              <w:t>社会公众或服务对象是指因该项目实施而受到影响的部门（单位）、群体或个人。一般采取社会调查的方式。</w:t>
            </w:r>
          </w:p>
        </w:tc>
      </w:tr>
    </w:tbl>
    <w:p>
      <w:pPr>
        <w:spacing w:line="600" w:lineRule="exact"/>
        <w:ind w:firstLine="640" w:firstLineChars="200"/>
        <w:rPr>
          <w:rFonts w:ascii="仿宋_GB2312" w:eastAsia="仿宋_GB2312"/>
          <w:sz w:val="32"/>
          <w:szCs w:val="32"/>
        </w:rPr>
      </w:pPr>
    </w:p>
    <w:sectPr>
      <w:headerReference r:id="rId5" w:type="first"/>
      <w:headerReference r:id="rId3" w:type="default"/>
      <w:footerReference r:id="rId6" w:type="default"/>
      <w:headerReference r:id="rId4" w:type="even"/>
      <w:footerReference r:id="rId7"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right" w:y="1"/>
      <w:rPr>
        <w:rStyle w:val="8"/>
      </w:rPr>
    </w:pPr>
    <w:r>
      <w:rPr>
        <w:rStyle w:val="8"/>
      </w:rPr>
      <w:fldChar w:fldCharType="begin"/>
    </w:r>
    <w:r>
      <w:rPr>
        <w:rStyle w:val="8"/>
      </w:rPr>
      <w:instrText xml:space="preserve">PAGE  </w:instrText>
    </w:r>
    <w:r>
      <w:rPr>
        <w:rStyle w:val="8"/>
      </w:rPr>
      <w:fldChar w:fldCharType="separate"/>
    </w:r>
    <w:r>
      <w:rPr>
        <w:rStyle w:val="8"/>
      </w:rPr>
      <w:t>4</w:t>
    </w:r>
    <w:r>
      <w:rPr>
        <w:rStyle w:val="8"/>
      </w:rPr>
      <w:fldChar w:fldCharType="end"/>
    </w:r>
  </w:p>
  <w:p>
    <w:pPr>
      <w:pStyle w:val="3"/>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top w:val="none" w:color="auto" w:sz="0" w:space="0"/>
        <w:left w:val="none" w:color="auto" w:sz="0" w:space="0"/>
        <w:bottom w:val="none" w:color="auto" w:sz="0" w:space="0"/>
        <w:right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2A2941B7"/>
    <w:rsid w:val="00030DFF"/>
    <w:rsid w:val="00040C07"/>
    <w:rsid w:val="00047514"/>
    <w:rsid w:val="000E5C77"/>
    <w:rsid w:val="001715AD"/>
    <w:rsid w:val="001929C8"/>
    <w:rsid w:val="00197590"/>
    <w:rsid w:val="001A5F2C"/>
    <w:rsid w:val="001E676A"/>
    <w:rsid w:val="0022006D"/>
    <w:rsid w:val="00254B76"/>
    <w:rsid w:val="0026577B"/>
    <w:rsid w:val="003A7298"/>
    <w:rsid w:val="003B0EE6"/>
    <w:rsid w:val="003F39D3"/>
    <w:rsid w:val="004237C8"/>
    <w:rsid w:val="00450CDB"/>
    <w:rsid w:val="004B66CF"/>
    <w:rsid w:val="004C42CF"/>
    <w:rsid w:val="004D1C6F"/>
    <w:rsid w:val="005105FB"/>
    <w:rsid w:val="0052314F"/>
    <w:rsid w:val="00535B8F"/>
    <w:rsid w:val="005800A8"/>
    <w:rsid w:val="0059691D"/>
    <w:rsid w:val="005D2EB9"/>
    <w:rsid w:val="00614B09"/>
    <w:rsid w:val="00635787"/>
    <w:rsid w:val="00662EA2"/>
    <w:rsid w:val="00680AEF"/>
    <w:rsid w:val="006A567C"/>
    <w:rsid w:val="006C16F7"/>
    <w:rsid w:val="006F57B6"/>
    <w:rsid w:val="007050B3"/>
    <w:rsid w:val="00753C67"/>
    <w:rsid w:val="0082422A"/>
    <w:rsid w:val="0083002D"/>
    <w:rsid w:val="008C14E0"/>
    <w:rsid w:val="008E008E"/>
    <w:rsid w:val="009567BE"/>
    <w:rsid w:val="00960E82"/>
    <w:rsid w:val="009867C3"/>
    <w:rsid w:val="009C27C7"/>
    <w:rsid w:val="00A626C8"/>
    <w:rsid w:val="00A91A73"/>
    <w:rsid w:val="00AA2D86"/>
    <w:rsid w:val="00B02345"/>
    <w:rsid w:val="00B21BEA"/>
    <w:rsid w:val="00B42A25"/>
    <w:rsid w:val="00B523B6"/>
    <w:rsid w:val="00B664B7"/>
    <w:rsid w:val="00B7571C"/>
    <w:rsid w:val="00B77B26"/>
    <w:rsid w:val="00B8050A"/>
    <w:rsid w:val="00BB6F38"/>
    <w:rsid w:val="00C133BA"/>
    <w:rsid w:val="00C405E5"/>
    <w:rsid w:val="00C72689"/>
    <w:rsid w:val="00C76F7C"/>
    <w:rsid w:val="00C86A5A"/>
    <w:rsid w:val="00CC6FB4"/>
    <w:rsid w:val="00D35526"/>
    <w:rsid w:val="00D42147"/>
    <w:rsid w:val="00D46802"/>
    <w:rsid w:val="00D90F25"/>
    <w:rsid w:val="00E36DBF"/>
    <w:rsid w:val="00E65D21"/>
    <w:rsid w:val="00E95514"/>
    <w:rsid w:val="00EC26AE"/>
    <w:rsid w:val="00ED6D57"/>
    <w:rsid w:val="00EE7C29"/>
    <w:rsid w:val="00F539AF"/>
    <w:rsid w:val="00F675FB"/>
    <w:rsid w:val="00FF12E4"/>
    <w:rsid w:val="26AC77F5"/>
    <w:rsid w:val="2A2941B7"/>
    <w:rsid w:val="5FC10DB8"/>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3"/>
    <w:semiHidden/>
    <w:unhideWhenUsed/>
    <w:qFormat/>
    <w:uiPriority w:val="99"/>
    <w:pPr>
      <w:ind w:left="100" w:leftChars="2500"/>
    </w:pPr>
  </w:style>
  <w:style w:type="paragraph" w:styleId="3">
    <w:name w:val="footer"/>
    <w:basedOn w:val="1"/>
    <w:link w:val="9"/>
    <w:qFormat/>
    <w:uiPriority w:val="99"/>
    <w:pPr>
      <w:tabs>
        <w:tab w:val="center" w:pos="4153"/>
        <w:tab w:val="right" w:pos="8306"/>
      </w:tabs>
      <w:snapToGrid w:val="0"/>
      <w:jc w:val="left"/>
    </w:pPr>
    <w:rPr>
      <w:sz w:val="18"/>
      <w:szCs w:val="18"/>
    </w:rPr>
  </w:style>
  <w:style w:type="paragraph" w:styleId="4">
    <w:name w:val="header"/>
    <w:basedOn w:val="1"/>
    <w:link w:val="10"/>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Normal (Web)"/>
    <w:basedOn w:val="1"/>
    <w:qFormat/>
    <w:uiPriority w:val="0"/>
    <w:pPr>
      <w:spacing w:before="100" w:beforeAutospacing="1" w:after="100" w:afterAutospacing="1"/>
      <w:jc w:val="left"/>
    </w:pPr>
    <w:rPr>
      <w:kern w:val="0"/>
      <w:sz w:val="24"/>
    </w:rPr>
  </w:style>
  <w:style w:type="character" w:styleId="8">
    <w:name w:val="page number"/>
    <w:basedOn w:val="7"/>
    <w:qFormat/>
    <w:uiPriority w:val="99"/>
    <w:rPr>
      <w:rFonts w:cs="Times New Roman"/>
    </w:rPr>
  </w:style>
  <w:style w:type="character" w:customStyle="1" w:styleId="9">
    <w:name w:val="页脚 Char"/>
    <w:basedOn w:val="7"/>
    <w:link w:val="3"/>
    <w:semiHidden/>
    <w:qFormat/>
    <w:locked/>
    <w:uiPriority w:val="99"/>
    <w:rPr>
      <w:rFonts w:cs="Times New Roman"/>
      <w:sz w:val="18"/>
      <w:szCs w:val="18"/>
    </w:rPr>
  </w:style>
  <w:style w:type="character" w:customStyle="1" w:styleId="10">
    <w:name w:val="页眉 Char"/>
    <w:basedOn w:val="7"/>
    <w:link w:val="4"/>
    <w:semiHidden/>
    <w:qFormat/>
    <w:locked/>
    <w:uiPriority w:val="99"/>
    <w:rPr>
      <w:rFonts w:cs="Times New Roman"/>
      <w:sz w:val="18"/>
      <w:szCs w:val="18"/>
    </w:rPr>
  </w:style>
  <w:style w:type="paragraph" w:customStyle="1" w:styleId="11">
    <w:name w:val="默认段落字体 Para Char Char Char Char Char Char Char"/>
    <w:basedOn w:val="1"/>
    <w:qFormat/>
    <w:uiPriority w:val="99"/>
  </w:style>
  <w:style w:type="paragraph" w:customStyle="1" w:styleId="12">
    <w:name w:val="Char Char Char Char Char Char Char"/>
    <w:basedOn w:val="1"/>
    <w:qFormat/>
    <w:uiPriority w:val="99"/>
    <w:rPr>
      <w:rFonts w:ascii="Times New Roman" w:hAnsi="Times New Roman"/>
    </w:rPr>
  </w:style>
  <w:style w:type="character" w:customStyle="1" w:styleId="13">
    <w:name w:val="日期 Char"/>
    <w:basedOn w:val="7"/>
    <w:link w:val="2"/>
    <w:semiHidden/>
    <w:qFormat/>
    <w:uiPriority w:val="99"/>
    <w:rPr>
      <w:kern w:val="2"/>
      <w:sz w:val="21"/>
      <w:szCs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Pages>
  <Words>585</Words>
  <Characters>3338</Characters>
  <Lines>27</Lines>
  <Paragraphs>7</Paragraphs>
  <TotalTime>189</TotalTime>
  <ScaleCrop>false</ScaleCrop>
  <LinksUpToDate>false</LinksUpToDate>
  <CharactersWithSpaces>3916</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2020-01-08T03:34:00Z</cp:lastPrinted>
  <dcterms:modified xsi:type="dcterms:W3CDTF">2024-03-05T09:40:11Z</dcterms:modified>
  <cp:revision>52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