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rPr>
          <w:rFonts w:ascii="方正楷体_GBK" w:hAnsi="方正楷体_GBK" w:eastAsia="方正楷体_GBK" w:cs="方正楷体_GBK"/>
          <w:b/>
          <w:color w:val="000000"/>
          <w:sz w:val="28"/>
        </w:rP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24</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br w:type="page"/>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272.41</w:t>
            </w:r>
          </w:p>
        </w:tc>
        <w:tc>
          <w:tcPr>
            <w:tcW w:w="4535" w:type="dxa"/>
            <w:vAlign w:val="center"/>
          </w:tcPr>
          <w:p>
            <w:pPr>
              <w:pStyle w:val="12"/>
            </w:pPr>
            <w:r>
              <w:t>一、一般公共服务支出</w:t>
            </w:r>
          </w:p>
        </w:tc>
        <w:tc>
          <w:tcPr>
            <w:tcW w:w="2126" w:type="dxa"/>
            <w:vAlign w:val="center"/>
          </w:tcPr>
          <w:p>
            <w:pPr>
              <w:pStyle w:val="11"/>
            </w:pPr>
            <w:r>
              <w:t>203.63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272.41</w:t>
            </w:r>
          </w:p>
        </w:tc>
        <w:tc>
          <w:tcPr>
            <w:tcW w:w="4535" w:type="dxa"/>
            <w:vAlign w:val="center"/>
          </w:tcPr>
          <w:p>
            <w:pPr>
              <w:pStyle w:val="14"/>
            </w:pPr>
            <w:r>
              <w:t>本年支出合计</w:t>
            </w:r>
          </w:p>
        </w:tc>
        <w:tc>
          <w:tcPr>
            <w:tcW w:w="2126" w:type="dxa"/>
            <w:vAlign w:val="center"/>
          </w:tcPr>
          <w:p>
            <w:pPr>
              <w:pStyle w:val="15"/>
            </w:pPr>
            <w:r>
              <w:t>272.41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272.41</w:t>
            </w:r>
          </w:p>
        </w:tc>
        <w:tc>
          <w:tcPr>
            <w:tcW w:w="4535" w:type="dxa"/>
            <w:vAlign w:val="center"/>
          </w:tcPr>
          <w:p>
            <w:pPr>
              <w:pStyle w:val="14"/>
            </w:pPr>
            <w:r>
              <w:t>支出总计</w:t>
            </w:r>
          </w:p>
        </w:tc>
        <w:tc>
          <w:tcPr>
            <w:tcW w:w="2126" w:type="dxa"/>
            <w:vAlign w:val="center"/>
          </w:tcPr>
          <w:p>
            <w:pPr>
              <w:pStyle w:val="15"/>
            </w:pPr>
            <w:r>
              <w:t>272.41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272.41</w:t>
            </w:r>
          </w:p>
        </w:tc>
        <w:tc>
          <w:tcPr>
            <w:tcW w:w="1134" w:type="dxa"/>
            <w:vAlign w:val="center"/>
          </w:tcPr>
          <w:p>
            <w:pPr>
              <w:pStyle w:val="15"/>
            </w:pPr>
            <w:r>
              <w:t>272.41</w:t>
            </w:r>
          </w:p>
        </w:tc>
        <w:tc>
          <w:tcPr>
            <w:tcW w:w="1134" w:type="dxa"/>
            <w:vAlign w:val="center"/>
          </w:tcPr>
          <w:p>
            <w:pPr>
              <w:pStyle w:val="15"/>
            </w:pPr>
            <w:r>
              <w:t>272.41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31.67</w:t>
            </w:r>
          </w:p>
        </w:tc>
        <w:tc>
          <w:tcPr>
            <w:tcW w:w="1134" w:type="dxa"/>
            <w:vAlign w:val="center"/>
          </w:tcPr>
          <w:p>
            <w:pPr>
              <w:pStyle w:val="11"/>
            </w:pPr>
            <w:r>
              <w:t>31.67</w:t>
            </w:r>
          </w:p>
        </w:tc>
        <w:tc>
          <w:tcPr>
            <w:tcW w:w="1134" w:type="dxa"/>
            <w:vAlign w:val="center"/>
          </w:tcPr>
          <w:p>
            <w:pPr>
              <w:pStyle w:val="11"/>
            </w:pPr>
            <w:r>
              <w:t>31.67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31.67</w:t>
            </w:r>
          </w:p>
        </w:tc>
        <w:tc>
          <w:tcPr>
            <w:tcW w:w="1134" w:type="dxa"/>
            <w:vAlign w:val="center"/>
          </w:tcPr>
          <w:p>
            <w:pPr>
              <w:pStyle w:val="11"/>
            </w:pPr>
            <w:r>
              <w:t>31.67</w:t>
            </w:r>
          </w:p>
        </w:tc>
        <w:tc>
          <w:tcPr>
            <w:tcW w:w="1134" w:type="dxa"/>
            <w:vAlign w:val="center"/>
          </w:tcPr>
          <w:p>
            <w:pPr>
              <w:pStyle w:val="11"/>
            </w:pPr>
            <w:r>
              <w:t>31.67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9.91</w:t>
            </w:r>
          </w:p>
        </w:tc>
        <w:tc>
          <w:tcPr>
            <w:tcW w:w="1134" w:type="dxa"/>
            <w:vAlign w:val="center"/>
          </w:tcPr>
          <w:p>
            <w:pPr>
              <w:pStyle w:val="11"/>
            </w:pPr>
            <w:r>
              <w:t>9.91</w:t>
            </w:r>
          </w:p>
        </w:tc>
        <w:tc>
          <w:tcPr>
            <w:tcW w:w="1134" w:type="dxa"/>
            <w:vAlign w:val="center"/>
          </w:tcPr>
          <w:p>
            <w:pPr>
              <w:pStyle w:val="11"/>
            </w:pPr>
            <w:r>
              <w:t>9.91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21.76</w:t>
            </w:r>
          </w:p>
        </w:tc>
        <w:tc>
          <w:tcPr>
            <w:tcW w:w="1134" w:type="dxa"/>
            <w:vAlign w:val="center"/>
          </w:tcPr>
          <w:p>
            <w:pPr>
              <w:pStyle w:val="11"/>
            </w:pPr>
            <w:r>
              <w:t>21.76</w:t>
            </w:r>
          </w:p>
        </w:tc>
        <w:tc>
          <w:tcPr>
            <w:tcW w:w="1134" w:type="dxa"/>
            <w:vAlign w:val="center"/>
          </w:tcPr>
          <w:p>
            <w:pPr>
              <w:pStyle w:val="11"/>
            </w:pPr>
            <w:r>
              <w:t>21.76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272.41</w:t>
            </w:r>
          </w:p>
        </w:tc>
        <w:tc>
          <w:tcPr>
            <w:tcW w:w="1361" w:type="dxa"/>
            <w:vAlign w:val="center"/>
          </w:tcPr>
          <w:p>
            <w:pPr>
              <w:pStyle w:val="15"/>
            </w:pPr>
            <w:r>
              <w:t>272.41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203.63</w:t>
            </w:r>
          </w:p>
        </w:tc>
        <w:tc>
          <w:tcPr>
            <w:tcW w:w="1361" w:type="dxa"/>
            <w:vAlign w:val="center"/>
          </w:tcPr>
          <w:p>
            <w:pPr>
              <w:pStyle w:val="11"/>
            </w:pPr>
            <w:r>
              <w:t>203.63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203.63</w:t>
            </w:r>
          </w:p>
        </w:tc>
        <w:tc>
          <w:tcPr>
            <w:tcW w:w="1361" w:type="dxa"/>
            <w:vAlign w:val="center"/>
          </w:tcPr>
          <w:p>
            <w:pPr>
              <w:pStyle w:val="11"/>
            </w:pPr>
            <w:r>
              <w:t>203.63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203.63</w:t>
            </w:r>
          </w:p>
        </w:tc>
        <w:tc>
          <w:tcPr>
            <w:tcW w:w="1361" w:type="dxa"/>
            <w:vAlign w:val="center"/>
          </w:tcPr>
          <w:p>
            <w:pPr>
              <w:pStyle w:val="11"/>
            </w:pPr>
            <w:r>
              <w:t>203.63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31.67</w:t>
            </w:r>
          </w:p>
        </w:tc>
        <w:tc>
          <w:tcPr>
            <w:tcW w:w="1361" w:type="dxa"/>
            <w:vAlign w:val="center"/>
          </w:tcPr>
          <w:p>
            <w:pPr>
              <w:pStyle w:val="11"/>
            </w:pPr>
            <w:r>
              <w:t>31.67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31.67</w:t>
            </w:r>
          </w:p>
        </w:tc>
        <w:tc>
          <w:tcPr>
            <w:tcW w:w="1361" w:type="dxa"/>
            <w:vAlign w:val="center"/>
          </w:tcPr>
          <w:p>
            <w:pPr>
              <w:pStyle w:val="11"/>
            </w:pPr>
            <w:r>
              <w:t>31.67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9.91</w:t>
            </w:r>
          </w:p>
        </w:tc>
        <w:tc>
          <w:tcPr>
            <w:tcW w:w="1361" w:type="dxa"/>
            <w:vAlign w:val="center"/>
          </w:tcPr>
          <w:p>
            <w:pPr>
              <w:pStyle w:val="11"/>
            </w:pPr>
            <w:r>
              <w:t>9.91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21.76</w:t>
            </w:r>
          </w:p>
        </w:tc>
        <w:tc>
          <w:tcPr>
            <w:tcW w:w="1361" w:type="dxa"/>
            <w:vAlign w:val="center"/>
          </w:tcPr>
          <w:p>
            <w:pPr>
              <w:pStyle w:val="11"/>
            </w:pPr>
            <w:r>
              <w:t>21.76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15.65</w:t>
            </w:r>
          </w:p>
        </w:tc>
        <w:tc>
          <w:tcPr>
            <w:tcW w:w="1361" w:type="dxa"/>
            <w:vAlign w:val="center"/>
          </w:tcPr>
          <w:p>
            <w:pPr>
              <w:pStyle w:val="11"/>
            </w:pPr>
            <w:r>
              <w:t>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15.65</w:t>
            </w:r>
          </w:p>
        </w:tc>
        <w:tc>
          <w:tcPr>
            <w:tcW w:w="1361" w:type="dxa"/>
            <w:vAlign w:val="center"/>
          </w:tcPr>
          <w:p>
            <w:pPr>
              <w:pStyle w:val="11"/>
            </w:pPr>
            <w:r>
              <w:t>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15.65</w:t>
            </w:r>
          </w:p>
        </w:tc>
        <w:tc>
          <w:tcPr>
            <w:tcW w:w="1361" w:type="dxa"/>
            <w:vAlign w:val="center"/>
          </w:tcPr>
          <w:p>
            <w:pPr>
              <w:pStyle w:val="11"/>
            </w:pPr>
            <w:r>
              <w:t>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21.46</w:t>
            </w:r>
          </w:p>
        </w:tc>
        <w:tc>
          <w:tcPr>
            <w:tcW w:w="1361" w:type="dxa"/>
            <w:vAlign w:val="center"/>
          </w:tcPr>
          <w:p>
            <w:pPr>
              <w:pStyle w:val="11"/>
            </w:pPr>
            <w:r>
              <w:t>21.46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21.46</w:t>
            </w:r>
          </w:p>
        </w:tc>
        <w:tc>
          <w:tcPr>
            <w:tcW w:w="1361" w:type="dxa"/>
            <w:vAlign w:val="center"/>
          </w:tcPr>
          <w:p>
            <w:pPr>
              <w:pStyle w:val="11"/>
            </w:pPr>
            <w:r>
              <w:t>21.46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21.46</w:t>
            </w:r>
          </w:p>
        </w:tc>
        <w:tc>
          <w:tcPr>
            <w:tcW w:w="1361" w:type="dxa"/>
            <w:vAlign w:val="center"/>
          </w:tcPr>
          <w:p>
            <w:pPr>
              <w:pStyle w:val="11"/>
            </w:pPr>
            <w:r>
              <w:t>21.46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272.41</w:t>
            </w:r>
          </w:p>
        </w:tc>
        <w:tc>
          <w:tcPr>
            <w:tcW w:w="3402" w:type="dxa"/>
            <w:vAlign w:val="center"/>
          </w:tcPr>
          <w:p>
            <w:pPr>
              <w:pStyle w:val="12"/>
            </w:pPr>
            <w:r>
              <w:t>一、一般公共服务支出</w:t>
            </w:r>
          </w:p>
        </w:tc>
        <w:tc>
          <w:tcPr>
            <w:tcW w:w="1474" w:type="dxa"/>
            <w:vAlign w:val="center"/>
          </w:tcPr>
          <w:p>
            <w:pPr>
              <w:pStyle w:val="11"/>
            </w:pPr>
            <w:r>
              <w:t>203.63</w:t>
            </w:r>
          </w:p>
        </w:tc>
        <w:tc>
          <w:tcPr>
            <w:tcW w:w="1474" w:type="dxa"/>
            <w:vAlign w:val="center"/>
          </w:tcPr>
          <w:p>
            <w:pPr>
              <w:pStyle w:val="11"/>
            </w:pPr>
            <w:r>
              <w:t>203.63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31.67</w:t>
            </w:r>
          </w:p>
        </w:tc>
        <w:tc>
          <w:tcPr>
            <w:tcW w:w="1474" w:type="dxa"/>
            <w:vAlign w:val="center"/>
          </w:tcPr>
          <w:p>
            <w:pPr>
              <w:pStyle w:val="11"/>
            </w:pPr>
            <w:r>
              <w:t>31.67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15.65</w:t>
            </w:r>
          </w:p>
        </w:tc>
        <w:tc>
          <w:tcPr>
            <w:tcW w:w="1474" w:type="dxa"/>
            <w:vAlign w:val="center"/>
          </w:tcPr>
          <w:p>
            <w:pPr>
              <w:pStyle w:val="11"/>
            </w:pPr>
            <w:r>
              <w:t>15.65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21.46</w:t>
            </w:r>
          </w:p>
        </w:tc>
        <w:tc>
          <w:tcPr>
            <w:tcW w:w="1474" w:type="dxa"/>
            <w:vAlign w:val="center"/>
          </w:tcPr>
          <w:p>
            <w:pPr>
              <w:pStyle w:val="11"/>
            </w:pPr>
            <w:r>
              <w:t>21.46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272.41</w:t>
            </w:r>
          </w:p>
        </w:tc>
        <w:tc>
          <w:tcPr>
            <w:tcW w:w="3402" w:type="dxa"/>
            <w:vAlign w:val="center"/>
          </w:tcPr>
          <w:p>
            <w:pPr>
              <w:pStyle w:val="14"/>
            </w:pPr>
            <w:r>
              <w:t>本年支出合计</w:t>
            </w:r>
          </w:p>
        </w:tc>
        <w:tc>
          <w:tcPr>
            <w:tcW w:w="1474" w:type="dxa"/>
            <w:vAlign w:val="center"/>
          </w:tcPr>
          <w:p>
            <w:pPr>
              <w:pStyle w:val="15"/>
            </w:pPr>
            <w:r>
              <w:t>272.41</w:t>
            </w:r>
          </w:p>
        </w:tc>
        <w:tc>
          <w:tcPr>
            <w:tcW w:w="1474" w:type="dxa"/>
            <w:vAlign w:val="center"/>
          </w:tcPr>
          <w:p>
            <w:pPr>
              <w:pStyle w:val="15"/>
            </w:pPr>
            <w:r>
              <w:t>272.41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272.41</w:t>
            </w:r>
          </w:p>
        </w:tc>
        <w:tc>
          <w:tcPr>
            <w:tcW w:w="3402" w:type="dxa"/>
            <w:vAlign w:val="center"/>
          </w:tcPr>
          <w:p>
            <w:pPr>
              <w:pStyle w:val="14"/>
            </w:pPr>
            <w:r>
              <w:t>支出总计</w:t>
            </w:r>
          </w:p>
        </w:tc>
        <w:tc>
          <w:tcPr>
            <w:tcW w:w="1474" w:type="dxa"/>
            <w:vAlign w:val="center"/>
          </w:tcPr>
          <w:p>
            <w:pPr>
              <w:pStyle w:val="15"/>
            </w:pPr>
            <w:r>
              <w:t>272.41</w:t>
            </w:r>
          </w:p>
        </w:tc>
        <w:tc>
          <w:tcPr>
            <w:tcW w:w="1474" w:type="dxa"/>
            <w:vAlign w:val="center"/>
          </w:tcPr>
          <w:p>
            <w:pPr>
              <w:pStyle w:val="15"/>
            </w:pPr>
            <w:r>
              <w:t>272.41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272.41</w:t>
            </w:r>
          </w:p>
        </w:tc>
        <w:tc>
          <w:tcPr>
            <w:tcW w:w="2551" w:type="dxa"/>
            <w:vAlign w:val="center"/>
          </w:tcPr>
          <w:p>
            <w:pPr>
              <w:pStyle w:val="15"/>
            </w:pPr>
            <w:r>
              <w:t>272.41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203.63</w:t>
            </w:r>
          </w:p>
        </w:tc>
        <w:tc>
          <w:tcPr>
            <w:tcW w:w="2551" w:type="dxa"/>
            <w:vAlign w:val="center"/>
          </w:tcPr>
          <w:p>
            <w:pPr>
              <w:pStyle w:val="11"/>
            </w:pPr>
            <w:r>
              <w:t>203.63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203.63</w:t>
            </w:r>
          </w:p>
        </w:tc>
        <w:tc>
          <w:tcPr>
            <w:tcW w:w="2551" w:type="dxa"/>
            <w:vAlign w:val="center"/>
          </w:tcPr>
          <w:p>
            <w:pPr>
              <w:pStyle w:val="11"/>
            </w:pPr>
            <w:r>
              <w:t>203.63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203.63</w:t>
            </w:r>
          </w:p>
        </w:tc>
        <w:tc>
          <w:tcPr>
            <w:tcW w:w="2551" w:type="dxa"/>
            <w:vAlign w:val="center"/>
          </w:tcPr>
          <w:p>
            <w:pPr>
              <w:pStyle w:val="11"/>
            </w:pPr>
            <w:r>
              <w:t>203.63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31.67</w:t>
            </w:r>
          </w:p>
        </w:tc>
        <w:tc>
          <w:tcPr>
            <w:tcW w:w="2551" w:type="dxa"/>
            <w:vAlign w:val="center"/>
          </w:tcPr>
          <w:p>
            <w:pPr>
              <w:pStyle w:val="11"/>
            </w:pPr>
            <w:r>
              <w:t>31.67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31.67</w:t>
            </w:r>
          </w:p>
        </w:tc>
        <w:tc>
          <w:tcPr>
            <w:tcW w:w="2551" w:type="dxa"/>
            <w:vAlign w:val="center"/>
          </w:tcPr>
          <w:p>
            <w:pPr>
              <w:pStyle w:val="11"/>
            </w:pPr>
            <w:r>
              <w:t>31.67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9.91</w:t>
            </w:r>
          </w:p>
        </w:tc>
        <w:tc>
          <w:tcPr>
            <w:tcW w:w="2551" w:type="dxa"/>
            <w:vAlign w:val="center"/>
          </w:tcPr>
          <w:p>
            <w:pPr>
              <w:pStyle w:val="11"/>
            </w:pPr>
            <w:r>
              <w:t>9.91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21.76</w:t>
            </w:r>
          </w:p>
        </w:tc>
        <w:tc>
          <w:tcPr>
            <w:tcW w:w="2551" w:type="dxa"/>
            <w:vAlign w:val="center"/>
          </w:tcPr>
          <w:p>
            <w:pPr>
              <w:pStyle w:val="11"/>
            </w:pPr>
            <w:r>
              <w:t>21.76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15.65</w:t>
            </w:r>
          </w:p>
        </w:tc>
        <w:tc>
          <w:tcPr>
            <w:tcW w:w="2551" w:type="dxa"/>
            <w:vAlign w:val="center"/>
          </w:tcPr>
          <w:p>
            <w:pPr>
              <w:pStyle w:val="11"/>
            </w:pPr>
            <w:r>
              <w:t>15.65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15.65</w:t>
            </w:r>
          </w:p>
        </w:tc>
        <w:tc>
          <w:tcPr>
            <w:tcW w:w="2551" w:type="dxa"/>
            <w:vAlign w:val="center"/>
          </w:tcPr>
          <w:p>
            <w:pPr>
              <w:pStyle w:val="11"/>
            </w:pPr>
            <w:r>
              <w:t>15.65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15.65</w:t>
            </w:r>
          </w:p>
        </w:tc>
        <w:tc>
          <w:tcPr>
            <w:tcW w:w="2551" w:type="dxa"/>
            <w:vAlign w:val="center"/>
          </w:tcPr>
          <w:p>
            <w:pPr>
              <w:pStyle w:val="11"/>
            </w:pPr>
            <w:r>
              <w:t>15.65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21.46</w:t>
            </w:r>
          </w:p>
        </w:tc>
        <w:tc>
          <w:tcPr>
            <w:tcW w:w="2551" w:type="dxa"/>
            <w:vAlign w:val="center"/>
          </w:tcPr>
          <w:p>
            <w:pPr>
              <w:pStyle w:val="11"/>
            </w:pPr>
            <w:r>
              <w:t>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21.46</w:t>
            </w:r>
          </w:p>
        </w:tc>
        <w:tc>
          <w:tcPr>
            <w:tcW w:w="2551" w:type="dxa"/>
            <w:vAlign w:val="center"/>
          </w:tcPr>
          <w:p>
            <w:pPr>
              <w:pStyle w:val="11"/>
            </w:pPr>
            <w:r>
              <w:t>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21.46</w:t>
            </w:r>
          </w:p>
        </w:tc>
        <w:tc>
          <w:tcPr>
            <w:tcW w:w="2551" w:type="dxa"/>
            <w:vAlign w:val="center"/>
          </w:tcPr>
          <w:p>
            <w:pPr>
              <w:pStyle w:val="11"/>
            </w:pPr>
            <w:r>
              <w:t>21.46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272.41</w:t>
            </w:r>
          </w:p>
        </w:tc>
        <w:tc>
          <w:tcPr>
            <w:tcW w:w="2551" w:type="dxa"/>
            <w:vAlign w:val="center"/>
          </w:tcPr>
          <w:p>
            <w:pPr>
              <w:pStyle w:val="15"/>
            </w:pPr>
            <w:r>
              <w:t>237.22</w:t>
            </w:r>
          </w:p>
        </w:tc>
        <w:tc>
          <w:tcPr>
            <w:tcW w:w="2551" w:type="dxa"/>
            <w:vAlign w:val="center"/>
          </w:tcPr>
          <w:p>
            <w:pPr>
              <w:pStyle w:val="15"/>
            </w:pPr>
            <w:r>
              <w:t>35.19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227.57</w:t>
            </w:r>
          </w:p>
        </w:tc>
        <w:tc>
          <w:tcPr>
            <w:tcW w:w="2551" w:type="dxa"/>
            <w:vAlign w:val="center"/>
          </w:tcPr>
          <w:p>
            <w:pPr>
              <w:pStyle w:val="11"/>
            </w:pPr>
            <w:r>
              <w:t>227.57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55.57</w:t>
            </w:r>
          </w:p>
        </w:tc>
        <w:tc>
          <w:tcPr>
            <w:tcW w:w="2551" w:type="dxa"/>
            <w:vAlign w:val="center"/>
          </w:tcPr>
          <w:p>
            <w:pPr>
              <w:pStyle w:val="11"/>
            </w:pPr>
            <w:r>
              <w:t>55.57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38.23</w:t>
            </w:r>
          </w:p>
        </w:tc>
        <w:tc>
          <w:tcPr>
            <w:tcW w:w="2551" w:type="dxa"/>
            <w:vAlign w:val="center"/>
          </w:tcPr>
          <w:p>
            <w:pPr>
              <w:pStyle w:val="11"/>
            </w:pPr>
            <w:r>
              <w:t>38.23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57.85</w:t>
            </w:r>
          </w:p>
        </w:tc>
        <w:tc>
          <w:tcPr>
            <w:tcW w:w="2551" w:type="dxa"/>
            <w:vAlign w:val="center"/>
          </w:tcPr>
          <w:p>
            <w:pPr>
              <w:pStyle w:val="11"/>
            </w:pPr>
            <w:r>
              <w:t>57.85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16.31</w:t>
            </w:r>
          </w:p>
        </w:tc>
        <w:tc>
          <w:tcPr>
            <w:tcW w:w="2551" w:type="dxa"/>
            <w:vAlign w:val="center"/>
          </w:tcPr>
          <w:p>
            <w:pPr>
              <w:pStyle w:val="11"/>
            </w:pPr>
            <w:r>
              <w:t>16.31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21.76</w:t>
            </w:r>
          </w:p>
        </w:tc>
        <w:tc>
          <w:tcPr>
            <w:tcW w:w="2551" w:type="dxa"/>
            <w:vAlign w:val="center"/>
          </w:tcPr>
          <w:p>
            <w:pPr>
              <w:pStyle w:val="11"/>
            </w:pPr>
            <w:r>
              <w:t>21.76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8.82</w:t>
            </w:r>
          </w:p>
        </w:tc>
        <w:tc>
          <w:tcPr>
            <w:tcW w:w="2551" w:type="dxa"/>
            <w:vAlign w:val="center"/>
          </w:tcPr>
          <w:p>
            <w:pPr>
              <w:pStyle w:val="11"/>
            </w:pPr>
            <w:r>
              <w:t>8.82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6.83</w:t>
            </w:r>
          </w:p>
        </w:tc>
        <w:tc>
          <w:tcPr>
            <w:tcW w:w="2551" w:type="dxa"/>
            <w:vAlign w:val="center"/>
          </w:tcPr>
          <w:p>
            <w:pPr>
              <w:pStyle w:val="11"/>
            </w:pPr>
            <w:r>
              <w:t>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0.74</w:t>
            </w:r>
          </w:p>
        </w:tc>
        <w:tc>
          <w:tcPr>
            <w:tcW w:w="2551" w:type="dxa"/>
            <w:vAlign w:val="center"/>
          </w:tcPr>
          <w:p>
            <w:pPr>
              <w:pStyle w:val="11"/>
            </w:pPr>
            <w:r>
              <w:t>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21.46</w:t>
            </w:r>
          </w:p>
        </w:tc>
        <w:tc>
          <w:tcPr>
            <w:tcW w:w="2551" w:type="dxa"/>
            <w:vAlign w:val="center"/>
          </w:tcPr>
          <w:p>
            <w:pPr>
              <w:pStyle w:val="11"/>
            </w:pPr>
            <w:r>
              <w:t>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35.19</w:t>
            </w:r>
          </w:p>
        </w:tc>
        <w:tc>
          <w:tcPr>
            <w:tcW w:w="2551" w:type="dxa"/>
            <w:vAlign w:val="center"/>
          </w:tcPr>
          <w:p>
            <w:pPr>
              <w:pStyle w:val="11"/>
            </w:pPr>
          </w:p>
        </w:tc>
        <w:tc>
          <w:tcPr>
            <w:tcW w:w="2551" w:type="dxa"/>
            <w:vAlign w:val="center"/>
          </w:tcPr>
          <w:p>
            <w:pPr>
              <w:pStyle w:val="11"/>
            </w:pPr>
            <w:r>
              <w:t>35.19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6.15</w:t>
            </w:r>
          </w:p>
        </w:tc>
        <w:tc>
          <w:tcPr>
            <w:tcW w:w="2551" w:type="dxa"/>
            <w:vAlign w:val="center"/>
          </w:tcPr>
          <w:p>
            <w:pPr>
              <w:pStyle w:val="11"/>
            </w:pPr>
          </w:p>
        </w:tc>
        <w:tc>
          <w:tcPr>
            <w:tcW w:w="2551" w:type="dxa"/>
            <w:vAlign w:val="center"/>
          </w:tcPr>
          <w:p>
            <w:pPr>
              <w:pStyle w:val="11"/>
            </w:pPr>
            <w:r>
              <w:t>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5.44</w:t>
            </w:r>
          </w:p>
        </w:tc>
        <w:tc>
          <w:tcPr>
            <w:tcW w:w="2551" w:type="dxa"/>
            <w:vAlign w:val="center"/>
          </w:tcPr>
          <w:p>
            <w:pPr>
              <w:pStyle w:val="11"/>
            </w:pPr>
          </w:p>
        </w:tc>
        <w:tc>
          <w:tcPr>
            <w:tcW w:w="2551" w:type="dxa"/>
            <w:vAlign w:val="center"/>
          </w:tcPr>
          <w:p>
            <w:pPr>
              <w:pStyle w:val="11"/>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9.56</w:t>
            </w:r>
          </w:p>
        </w:tc>
        <w:tc>
          <w:tcPr>
            <w:tcW w:w="2551" w:type="dxa"/>
            <w:vAlign w:val="center"/>
          </w:tcPr>
          <w:p>
            <w:pPr>
              <w:pStyle w:val="11"/>
            </w:pPr>
          </w:p>
        </w:tc>
        <w:tc>
          <w:tcPr>
            <w:tcW w:w="2551" w:type="dxa"/>
            <w:vAlign w:val="center"/>
          </w:tcPr>
          <w:p>
            <w:pPr>
              <w:pStyle w:val="11"/>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1.21</w:t>
            </w:r>
          </w:p>
        </w:tc>
        <w:tc>
          <w:tcPr>
            <w:tcW w:w="2551" w:type="dxa"/>
            <w:vAlign w:val="center"/>
          </w:tcPr>
          <w:p>
            <w:pPr>
              <w:pStyle w:val="11"/>
            </w:pPr>
          </w:p>
        </w:tc>
        <w:tc>
          <w:tcPr>
            <w:tcW w:w="2551"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1.39</w:t>
            </w:r>
          </w:p>
        </w:tc>
        <w:tc>
          <w:tcPr>
            <w:tcW w:w="2551" w:type="dxa"/>
            <w:vAlign w:val="center"/>
          </w:tcPr>
          <w:p>
            <w:pPr>
              <w:pStyle w:val="11"/>
            </w:pPr>
          </w:p>
        </w:tc>
        <w:tc>
          <w:tcPr>
            <w:tcW w:w="2551" w:type="dxa"/>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6.42</w:t>
            </w:r>
          </w:p>
        </w:tc>
        <w:tc>
          <w:tcPr>
            <w:tcW w:w="2551" w:type="dxa"/>
            <w:vAlign w:val="center"/>
          </w:tcPr>
          <w:p>
            <w:pPr>
              <w:pStyle w:val="11"/>
            </w:pPr>
          </w:p>
        </w:tc>
        <w:tc>
          <w:tcPr>
            <w:tcW w:w="2551" w:type="dxa"/>
            <w:vAlign w:val="center"/>
          </w:tcPr>
          <w:p>
            <w:pPr>
              <w:pStyle w:val="11"/>
            </w:pPr>
            <w:r>
              <w:t>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0.51</w:t>
            </w:r>
          </w:p>
        </w:tc>
        <w:tc>
          <w:tcPr>
            <w:tcW w:w="2551" w:type="dxa"/>
            <w:vAlign w:val="center"/>
          </w:tcPr>
          <w:p>
            <w:pPr>
              <w:pStyle w:val="11"/>
            </w:pPr>
          </w:p>
        </w:tc>
        <w:tc>
          <w:tcPr>
            <w:tcW w:w="2551"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9.66</w:t>
            </w:r>
          </w:p>
        </w:tc>
        <w:tc>
          <w:tcPr>
            <w:tcW w:w="2551" w:type="dxa"/>
            <w:vAlign w:val="center"/>
          </w:tcPr>
          <w:p>
            <w:pPr>
              <w:pStyle w:val="11"/>
            </w:pPr>
            <w:r>
              <w:t>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9.66</w:t>
            </w:r>
          </w:p>
        </w:tc>
        <w:tc>
          <w:tcPr>
            <w:tcW w:w="2551" w:type="dxa"/>
            <w:vAlign w:val="center"/>
          </w:tcPr>
          <w:p>
            <w:pPr>
              <w:pStyle w:val="11"/>
            </w:pPr>
            <w:r>
              <w:t>9.66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中共石家庄市鹿泉区委机构编制委员会办公室2023年部门预算信息公开情况说明</w:t>
      </w:r>
    </w:p>
    <w:p>
      <w:pPr>
        <w:jc w:val="center"/>
      </w:pPr>
      <w:r>
        <w:rPr>
          <w:rFonts w:ascii="方正小标宋_GBK" w:hAnsi="方正小标宋_GBK" w:eastAsia="方正小标宋_GBK" w:cs="方正小标宋_GBK"/>
          <w:color w:val="000000"/>
          <w:sz w:val="44"/>
        </w:rPr>
        <w:t>中共石家庄市鹿泉区委机构编制委员会办公室2023年部门预算信息公开情况说明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、《地方预决算公开操作规程》和《关于进一步推进预算公开工作的实施意见》规定，现将中共石家庄市鹿泉区委机构编制委员会办公室2023年部门预算公开如下：</w:t>
      </w:r>
    </w:p>
    <w:p>
      <w:pPr>
        <w:spacing w:beforeLines="50" w:afterLines="50"/>
        <w:ind w:firstLine="641"/>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贯彻落实党中央和省、市、区委关于行政管理体制和机构改革以及机构编制管理的政策法规，执行相关政策规定和地方性法规、规章等规范性文件并监督实施。管理和指导区纪委监委机关及其派驻机构、区委各机关、区人大</w:t>
      </w:r>
      <w:r>
        <w:rPr>
          <w:rFonts w:hint="eastAsia"/>
          <w:lang w:eastAsia="zh-CN"/>
        </w:rPr>
        <w:t>常委会</w:t>
      </w:r>
      <w:bookmarkStart w:id="18" w:name="_GoBack"/>
      <w:bookmarkEnd w:id="18"/>
      <w:r>
        <w:t>机关、区政府各部门、区政协机关、人民团体区级机关（以下简称“党政群机关”），以及事业单位机构编制工作。组织开展行政管理体制改革、事业单位管理体制改革及机构编制工作基础性、创新性和前瞻性研究。</w:t>
      </w:r>
    </w:p>
    <w:p>
      <w:pPr>
        <w:pStyle w:val="17"/>
      </w:pPr>
      <w:r>
        <w:t>（二）组织拟订全区行政管理体制改革和区委、区政府机构改革方案并组织实施。负责全区行政管理体制和机构改革以及机构编制管理工作；负责行政执法体制改革工作。</w:t>
      </w:r>
    </w:p>
    <w:p>
      <w:pPr>
        <w:pStyle w:val="17"/>
      </w:pPr>
      <w:r>
        <w:t>（三）按照规定权限，负责区级党政群机关以及部门派出机构的职能配置、机构设置、人员编制和领导职数管理工作；负责协调区委、区政府各部门职能配置及其调整，协调区委、区政府各部门之间以及区直部门与乡（镇、区）之间职责分工。</w:t>
      </w:r>
    </w:p>
    <w:p>
      <w:pPr>
        <w:pStyle w:val="17"/>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pPr>
        <w:pStyle w:val="17"/>
      </w:pPr>
      <w:r>
        <w:t>（五）负责各乡（镇）的行政管理体制改革、事业单位管理体制改革和机构改革工作，审核上报机构改革方案。审核上报各乡（镇）机构编制分类。</w:t>
      </w:r>
    </w:p>
    <w:p>
      <w:pPr>
        <w:pStyle w:val="17"/>
      </w:pPr>
      <w:r>
        <w:t>（六）负责全区党政群机关统一社会信用代码赋码管理工作，负责全区事业单位法人登记管理和监督检查工作。</w:t>
      </w:r>
    </w:p>
    <w:p>
      <w:pPr>
        <w:pStyle w:val="17"/>
      </w:pPr>
      <w:r>
        <w:t>（七）负责全区开发区（园区）行政管理体制改革工作。贯彻落实开发区（园区）机构编制管理办法；负责全区开发区（园区）职能配置、机构设置、人员编制和领导职数审核及上报工作。</w:t>
      </w:r>
    </w:p>
    <w:p>
      <w:pPr>
        <w:pStyle w:val="17"/>
      </w:pPr>
      <w:r>
        <w:t>（八）负责全区机构编制的总量控制、动态管理。组织拟订区本级年度编制使用计划，审核全区机关事业单位招录、招聘和政策性安置等计划；负责全区机关事业单位编制使用核准；负责机构编制实名制管理工作；建立健全机构编制部门与有关部门的协调配合约束机制。</w:t>
      </w:r>
    </w:p>
    <w:p>
      <w:pPr>
        <w:pStyle w:val="17"/>
      </w:pPr>
      <w:r>
        <w:t>（九）负责跟踪评估、监督检查全区行政、事业单位管理体制改革、机构改革及机构编制政策执行情况；负责受理违反机构编制法规、纪律的检举、控告和投诉，对违反机构编制法规、纪律问题进行调查处理。</w:t>
      </w:r>
    </w:p>
    <w:p>
      <w:pPr>
        <w:pStyle w:val="17"/>
      </w:pPr>
      <w:r>
        <w:t>（十）负责全区机构编制电子政务和信息化工作。负责全区机构编制统计工作；负责机构编制网站的管理、使用和维护；负责党政群机关、事业单位网上名称管理工作。</w:t>
      </w:r>
    </w:p>
    <w:p>
      <w:pPr>
        <w:pStyle w:val="17"/>
      </w:pPr>
      <w:r>
        <w:t>（十一）完成区委、区政府和区委机构编制委员会交办的其他任务。</w:t>
      </w:r>
    </w:p>
    <w:p>
      <w:pPr>
        <w:pStyle w:val="17"/>
      </w:pPr>
      <w:r>
        <w:t>（十二）有关职责分工。</w:t>
      </w:r>
    </w:p>
    <w:p>
      <w:pPr>
        <w:pStyle w:val="17"/>
      </w:pPr>
      <w:r>
        <w:t>区委编办负责全区公益类事业单位管理体制改革工作。区发展和改革局负责生产经营类事业单位管理体制改革工作。</w:t>
      </w:r>
    </w:p>
    <w:p>
      <w:pPr>
        <w:spacing w:beforeLines="50" w:afterLines="50"/>
        <w:ind w:firstLine="641"/>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Lines="50" w:afterLines="50"/>
        <w:ind w:firstLine="641"/>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按照预算管理有关规定，目前我区部门预算的编制实行综合预算管理，即全部收入和支出都反映在预算中。中共石家庄市鹿泉区委机构编制委员会办公室机关及所属事业单位的收支包含在部门预算中。</w:t>
      </w:r>
    </w:p>
    <w:p>
      <w:pPr>
        <w:pStyle w:val="18"/>
      </w:pPr>
      <w:r>
        <w:t>1、收入说明</w:t>
      </w:r>
    </w:p>
    <w:p>
      <w:pPr>
        <w:pStyle w:val="18"/>
      </w:pPr>
      <w:r>
        <w:t>反映本部门当年全部收入。2023年预算收入272.41万元，其中：一般公共预算收入272.41万元，基金预算收入0万元，财政专户核拨收入0万元，其他来源收入（单位资金）0万元，上年结转结余0万元。</w:t>
      </w:r>
    </w:p>
    <w:p>
      <w:pPr>
        <w:pStyle w:val="18"/>
      </w:pPr>
      <w:r>
        <w:t>2、支出说明</w:t>
      </w:r>
    </w:p>
    <w:p>
      <w:pPr>
        <w:pStyle w:val="18"/>
      </w:pPr>
      <w:r>
        <w:t>收支预算总表支出栏、基本支出表、项目支出表按经济分类和支出功能分类科目编制，反映中共石家庄市鹿泉区委机构编制委员会办公室年度部门预算中支出预算的总体情况。2023年支出预算272.41万元，其中基本支出272.41万元，包括人员经费237.22万元和日常公用经费35.19万元；项目支出0万元，主要为避免给我区财政资金造成浪费，预算时暂停原项目经费，结合事业单位改革工作统一部署的推进情况，对所需项目经费酌情变化，根据实际情况合理申请资金；上年结转安排0万元。</w:t>
      </w:r>
    </w:p>
    <w:p>
      <w:pPr>
        <w:pStyle w:val="18"/>
      </w:pPr>
      <w:r>
        <w:t>3、比上年增减情况</w:t>
      </w:r>
    </w:p>
    <w:p>
      <w:pPr>
        <w:pStyle w:val="18"/>
        <w:rPr>
          <w:rFonts w:eastAsiaTheme="minorEastAsia"/>
          <w:lang w:eastAsia="zh-CN"/>
        </w:rPr>
      </w:pPr>
      <w:r>
        <w:t>2023年预算收支安排272.41万元，较2022年预算增加22.85万元，其中：基本支出增加22.85万元，主要为</w:t>
      </w:r>
      <w:r>
        <w:rPr>
          <w:rFonts w:hint="eastAsia"/>
          <w:lang w:eastAsia="zh-CN"/>
        </w:rPr>
        <w:t>人员工资调整标准、在职人数减少，</w:t>
      </w:r>
      <w:r>
        <w:t>人员经费支出增加23.97万元、日常公用经费减少1.11万元；项目支出减少0万元，</w:t>
      </w:r>
      <w:r>
        <w:rPr>
          <w:rFonts w:hint="eastAsia"/>
          <w:lang w:eastAsia="zh-CN"/>
        </w:rPr>
        <w:t>与上年持平，</w:t>
      </w:r>
      <w:r>
        <w:t>主要为避免给我区财政资金造成浪费，暂停原项目经费；结转安排增加0万元，与2022年持平。</w:t>
      </w:r>
    </w:p>
    <w:p>
      <w:pPr>
        <w:spacing w:beforeLines="50" w:afterLines="50"/>
        <w:ind w:firstLine="641"/>
        <w:outlineLvl w:val="2"/>
      </w:pPr>
      <w:bookmarkStart w:id="11" w:name="_Toc_3_3_0000000012"/>
      <w:r>
        <w:rPr>
          <w:rFonts w:ascii="黑体" w:hAnsi="黑体" w:eastAsia="黑体" w:cs="黑体"/>
          <w:color w:val="000000"/>
          <w:sz w:val="32"/>
        </w:rPr>
        <w:t>三、机关运行经费安排情况</w:t>
      </w:r>
      <w:bookmarkEnd w:id="11"/>
    </w:p>
    <w:p>
      <w:pPr>
        <w:pStyle w:val="19"/>
        <w:spacing w:beforeLines="50" w:afterLines="50" w:line="360" w:lineRule="auto"/>
        <w:ind w:firstLine="561"/>
      </w:pPr>
      <w:r>
        <w:t>2023年，我办机关运行经费共计安排35.19万元，主要用于保证机关正常运转的办公及印刷费、邮电费、差旅费、一般设备购置费、日常维修费、公务车运行维护费、工会经费等日常运行支出。</w:t>
      </w:r>
    </w:p>
    <w:p>
      <w:pPr>
        <w:spacing w:beforeLines="50" w:afterLines="50"/>
        <w:ind w:firstLine="641"/>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9"/>
        <w:spacing w:beforeLines="50" w:afterLines="50" w:line="360" w:lineRule="auto"/>
        <w:ind w:firstLine="561"/>
      </w:pPr>
      <w:r>
        <w:t>2023年，我办财政拨款“三公”经费预算安排2.7万元，其中：因公出国（境）费0万元；公务用车购置及运维费2.7万元（其中：公务用车购置费0万元，公务用车运行维护费2.7万元)；公务接待费0万元。与2022年相比，“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坚持以习近平新时代中国特色社会主义思想为指导，紧紧围绕改革发展主题，紧紧围绕省会高质量发展大局，围绕区委、区政府中心工作，在抓好疫情防控前提下，全面统筹推进各项改革工作，统筹配置机构编制资源，加强机构编制管理、事业单位法人监督管理工作等各项工作，继续深化乡镇改革，落实政府权责清单制度，按照上级统一部署，稳步推进事业单位改革，结合改革有关情况，落实全区机关事业单位中文域名和网络标识规范化管理有关工作。为建设经济强区、魅力鹿泉、宜居宜业宜游新城区提供坚强有力的体制机制保障。</w:t>
      </w:r>
    </w:p>
    <w:p>
      <w:pPr>
        <w:spacing w:line="500" w:lineRule="exact"/>
        <w:ind w:firstLine="560"/>
      </w:pPr>
      <w:r>
        <w:rPr>
          <w:rFonts w:eastAsia="方正仿宋_GBK"/>
          <w:color w:val="000000"/>
          <w:sz w:val="28"/>
        </w:rPr>
        <w:t>（二）分项绩效目标</w:t>
      </w:r>
    </w:p>
    <w:p>
      <w:pPr>
        <w:pStyle w:val="22"/>
      </w:pPr>
      <w:r>
        <w:t>1、党政机构职能体系持续完善</w:t>
      </w:r>
    </w:p>
    <w:p>
      <w:pPr>
        <w:pStyle w:val="22"/>
      </w:pPr>
      <w:r>
        <w:t>绩效目标：进一步构建简约高效的基层治理体系，及时发现并解决机构运行中出现的新问题，不断巩固乡镇改革成果。按照中央编办和省委编办、市委编办统一部署，持续深化重点领域体制改革.</w:t>
      </w:r>
    </w:p>
    <w:p>
      <w:pPr>
        <w:pStyle w:val="22"/>
      </w:pPr>
      <w:r>
        <w:t>绩效指标：完善乡镇职能体系，因地制宜明确乡镇防灾减灾、应急管理等工作重点，统筹使用基层人员编制，推动更多资源、管理权下放到基层。在对上充分与市对接、对下广泛调研的基础上，立足长远发展和现实需要，按照上级批复方案优化整合开发区管理机构，引领开发区跨越发展。</w:t>
      </w:r>
    </w:p>
    <w:p>
      <w:pPr>
        <w:pStyle w:val="22"/>
      </w:pPr>
      <w:r>
        <w:t>2、着力明晰政府权责关系</w:t>
      </w:r>
    </w:p>
    <w:p>
      <w:pPr>
        <w:pStyle w:val="22"/>
      </w:pPr>
      <w:r>
        <w:t>绩效目标：紧紧围绕完善机构职能体系主责主业，根据重点领域改革情况或“三定”变动情况，坚持对外亮权责、对内明职责、对下晰界限，助推治理体系和治理能力现代化。</w:t>
      </w:r>
    </w:p>
    <w:p>
      <w:pPr>
        <w:pStyle w:val="22"/>
      </w:pPr>
      <w:r>
        <w:t>绩效指标：按照“职权法定、权责一致、规范透明、简政便民、运行高效”的原则，继续深化完善清单制度建设，动态调整，进一步推进机构职责法定化、权力运行规范化。</w:t>
      </w:r>
    </w:p>
    <w:p>
      <w:pPr>
        <w:pStyle w:val="22"/>
      </w:pPr>
      <w:r>
        <w:t>3、稳妥做好公益类事业单位改革准备工作</w:t>
      </w:r>
    </w:p>
    <w:p>
      <w:pPr>
        <w:pStyle w:val="22"/>
      </w:pPr>
      <w:r>
        <w:t>绩效目标：借鉴试点城市改革经验成果，融合调研数据分析结果和我区实际，全面做好改革准备工作，按照上级统一部署，适时启动公益类事业单位改革工作，持续巩固行政类和经营类事业单位改革成果，进一步加大对“小、散、弱”事业单位的撤并整合力度，推进事业单位机构功能重塑再造和整体效能提升，促进公益事业更好更快发展。</w:t>
      </w:r>
    </w:p>
    <w:p>
      <w:pPr>
        <w:pStyle w:val="22"/>
      </w:pPr>
      <w:r>
        <w:t>绩效指标：对全区公益类事业单位继续开展调研，梳理细化各项问题，逐项制定整改措施，结合上级改革精神推进。</w:t>
      </w:r>
    </w:p>
    <w:p>
      <w:pPr>
        <w:pStyle w:val="22"/>
      </w:pPr>
      <w:r>
        <w:t>4、加强机构编制资源配置</w:t>
      </w:r>
    </w:p>
    <w:p>
      <w:pPr>
        <w:pStyle w:val="22"/>
      </w:pPr>
      <w:r>
        <w:t>绩效目标：深入贯彻落实《中国共产党机构编制工作条例》《中共河北省委机构编制管理规定》，坚持机构编制瘦身和健身相结合，围绕全区重大战略和工作大局，将有限的机构编制资源向关键环节和民生领域倾斜，有力保障各项事业发展的需要。</w:t>
      </w:r>
    </w:p>
    <w:p>
      <w:pPr>
        <w:pStyle w:val="22"/>
      </w:pPr>
      <w:r>
        <w:t>绩效指标：完善机构编制工作制度体系，从严机构编制监督检查，从严规范事业单位登记管理工作，推进事业单位登记管理规范化运行。</w:t>
      </w:r>
    </w:p>
    <w:p>
      <w:pPr>
        <w:spacing w:line="500" w:lineRule="exact"/>
        <w:ind w:firstLine="560"/>
      </w:pPr>
      <w:r>
        <w:rPr>
          <w:rFonts w:eastAsia="方正仿宋_GBK"/>
          <w:color w:val="000000"/>
          <w:sz w:val="28"/>
        </w:rPr>
        <w:t>（三）工作保障措施</w:t>
      </w:r>
    </w:p>
    <w:p>
      <w:pPr>
        <w:pStyle w:val="23"/>
      </w:pPr>
      <w:r>
        <w:t>1、明确任务，找准目标。全面加强党的领导，针对工作目标任务实施进展情况，及时梳理排查目标任务实施过程中存在的困难和问题，及时完善工作制度，结合实际，采取“任务倒排、时间倒逼”等多种办法，强力推进年度目标任务实施进度，力保年度目标任务实现。</w:t>
      </w:r>
    </w:p>
    <w:p>
      <w:pPr>
        <w:pStyle w:val="23"/>
      </w:pPr>
      <w:r>
        <w:t>2、完善制度建设。制定完善财务管理制度，加强预算绩效管理制度，强化工作保障等，为全年预算绩效目标的实现奠定制度基础。</w:t>
      </w:r>
    </w:p>
    <w:p>
      <w:pPr>
        <w:pStyle w:val="23"/>
      </w:pPr>
      <w:r>
        <w:t>3、加强支出管理。优化支出结构、编细编实预算、加快履行政府采购手续、尽快启动项目、及时支付资金，确保支出进度达标。</w:t>
      </w:r>
    </w:p>
    <w:p>
      <w:pPr>
        <w:pStyle w:val="23"/>
      </w:pPr>
      <w:r>
        <w:t>4、加强绩效运行监控。按要求开展绩效运行监控，发现问题及时采取措施，确保绩效目标如期保质实现。</w:t>
      </w:r>
    </w:p>
    <w:p>
      <w:pPr>
        <w:pStyle w:val="23"/>
      </w:pPr>
      <w:r>
        <w:t>5、做好绩效自评。按要求开展部门预算绩效自评和重点评价工作，对评价中发现的问题及时整改，调整优化支出结构，提高财政资金使用效益。</w:t>
      </w:r>
    </w:p>
    <w:p>
      <w:pPr>
        <w:pStyle w:val="23"/>
      </w:pPr>
      <w:r>
        <w:t>6、规范资产管理。完善财务管理制度，严格审批程序，加强固定资产登记、使用和报废处置管理，做到支出合理，物尽其用。</w:t>
      </w:r>
    </w:p>
    <w:p>
      <w:pPr>
        <w:pStyle w:val="23"/>
      </w:pPr>
      <w:r>
        <w:t>7、加强内部监督。加强内部监督制度建设，对绩效运行情况、重大支出决策、资产处置及其他重要经济业务事项的决策和执行进行监督，对会计资料进行内部核查，并配合做好审计、财政监督等外部监督工作，确保财政资金安全有效。</w:t>
      </w:r>
    </w:p>
    <w:p>
      <w:pPr>
        <w:pStyle w:val="23"/>
      </w:pPr>
      <w:r>
        <w:t>8、加强宣传培训调研等。加强人员培训，提高本部门职工业务素质；加强调研，提出优化财政资金配置、提高资金使用效益的意见；加大宣传力度，强化预算绩效管理意识，促进预算绩效管理水平进一步提升。</w:t>
      </w:r>
    </w:p>
    <w:p>
      <w:pPr>
        <w:pStyle w:val="23"/>
      </w:pPr>
      <w:r>
        <w:t>9、落实责任，确保年度目标全面完成。针对年度目标任务，对未按时序进度完成的目标任务实行分线分层负责，落实责任领导、责任单位、责任人员专抓落实，确保目标任务实现。</w:t>
      </w:r>
    </w:p>
    <w:p>
      <w:pPr>
        <w:spacing w:beforeLines="50" w:afterLines="50"/>
        <w:ind w:firstLine="641"/>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eastAsiaTheme="minorEastAsia"/>
          <w:sz w:val="28"/>
          <w:lang w:eastAsia="zh-CN"/>
        </w:rPr>
      </w:pPr>
      <w:r>
        <w:rPr>
          <w:rFonts w:hint="eastAsia" w:eastAsia="方正仿宋_GBK"/>
          <w:sz w:val="28"/>
          <w:lang w:eastAsia="zh-CN"/>
        </w:rPr>
        <w:t>202</w:t>
      </w:r>
      <w:r>
        <w:rPr>
          <w:rFonts w:hint="eastAsia" w:eastAsiaTheme="minorEastAsia"/>
          <w:sz w:val="28"/>
          <w:lang w:eastAsia="zh-CN"/>
        </w:rPr>
        <w:t>3</w:t>
      </w:r>
      <w:r>
        <w:rPr>
          <w:rFonts w:hint="eastAsia" w:eastAsia="方正仿宋_GBK"/>
          <w:sz w:val="28"/>
          <w:lang w:eastAsia="zh-CN"/>
        </w:rPr>
        <w:t>年我办无专项资金预算。</w:t>
      </w:r>
    </w:p>
    <w:p>
      <w:pPr>
        <w:spacing w:beforeLines="50" w:afterLines="50"/>
        <w:ind w:firstLine="641"/>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第三部分  预算项目绩效目标</w:t>
      </w:r>
      <w:bookmarkStart w:id="14" w:name="_Toc_3_3_0000000015"/>
    </w:p>
    <w:p>
      <w:pPr>
        <w:pStyle w:val="18"/>
      </w:pPr>
      <w:r>
        <w:rPr>
          <w:rFonts w:hint="eastAsia"/>
          <w:lang w:eastAsia="zh-CN"/>
        </w:rPr>
        <w:t>202</w:t>
      </w:r>
      <w:r>
        <w:rPr>
          <w:rFonts w:hint="eastAsia" w:eastAsiaTheme="minorEastAsia"/>
          <w:lang w:eastAsia="zh-CN"/>
        </w:rPr>
        <w:t>3</w:t>
      </w:r>
      <w:r>
        <w:rPr>
          <w:rFonts w:hint="eastAsia"/>
          <w:lang w:eastAsia="zh-CN"/>
        </w:rPr>
        <w:t>年我办无预算项目。</w:t>
      </w:r>
    </w:p>
    <w:p>
      <w:pPr>
        <w:spacing w:beforeLines="50" w:afterLines="50"/>
        <w:ind w:firstLine="641"/>
      </w:pPr>
      <w:r>
        <w:rPr>
          <w:rFonts w:ascii="黑体" w:hAnsi="黑体" w:eastAsia="黑体" w:cs="黑体"/>
          <w:color w:val="000000"/>
          <w:sz w:val="32"/>
        </w:rPr>
        <w:t>六、政府采购预算情况</w:t>
      </w:r>
      <w:bookmarkEnd w:id="14"/>
    </w:p>
    <w:p>
      <w:pPr>
        <w:spacing w:beforeLines="50" w:afterLines="50" w:line="500" w:lineRule="exact"/>
        <w:ind w:firstLine="561"/>
        <w:rPr>
          <w:rFonts w:eastAsiaTheme="minorEastAsia"/>
          <w:color w:val="000000"/>
          <w:sz w:val="28"/>
          <w:lang w:eastAsia="zh-CN"/>
        </w:rPr>
      </w:pPr>
      <w:r>
        <w:rPr>
          <w:rFonts w:eastAsia="方正仿宋_GBK"/>
          <w:color w:val="000000"/>
          <w:sz w:val="28"/>
        </w:rPr>
        <w:t>2023年，中共石家庄市鹿泉区委机构编制委员会办公室安排政府采购预算0.00万元。具体内容见下表。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063"/>
        <w:gridCol w:w="992"/>
        <w:gridCol w:w="709"/>
        <w:gridCol w:w="709"/>
        <w:gridCol w:w="850"/>
        <w:gridCol w:w="709"/>
        <w:gridCol w:w="1134"/>
        <w:gridCol w:w="992"/>
        <w:gridCol w:w="1276"/>
        <w:gridCol w:w="1063"/>
        <w:gridCol w:w="780"/>
        <w:gridCol w:w="850"/>
        <w:gridCol w:w="1134"/>
        <w:gridCol w:w="10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88" w:type="dxa"/>
            <w:gridSpan w:val="7"/>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9030"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063" w:type="dxa"/>
            <w:vMerge w:val="restart"/>
            <w:vAlign w:val="center"/>
          </w:tcPr>
          <w:p>
            <w:pPr>
              <w:pStyle w:val="10"/>
            </w:pPr>
            <w:r>
              <w:t>采购物品名称</w:t>
            </w:r>
          </w:p>
        </w:tc>
        <w:tc>
          <w:tcPr>
            <w:tcW w:w="992" w:type="dxa"/>
            <w:vMerge w:val="restart"/>
            <w:vAlign w:val="center"/>
          </w:tcPr>
          <w:p>
            <w:pPr>
              <w:pStyle w:val="10"/>
            </w:pPr>
            <w:r>
              <w:t>政府采购目录序号</w:t>
            </w:r>
          </w:p>
        </w:tc>
        <w:tc>
          <w:tcPr>
            <w:tcW w:w="709" w:type="dxa"/>
            <w:vMerge w:val="restart"/>
            <w:vAlign w:val="center"/>
          </w:tcPr>
          <w:p>
            <w:pPr>
              <w:pStyle w:val="10"/>
            </w:pPr>
            <w:r>
              <w:t>计量  单位</w:t>
            </w:r>
          </w:p>
        </w:tc>
        <w:tc>
          <w:tcPr>
            <w:tcW w:w="709" w:type="dxa"/>
            <w:vMerge w:val="restart"/>
            <w:vAlign w:val="center"/>
          </w:tcPr>
          <w:p>
            <w:pPr>
              <w:pStyle w:val="10"/>
            </w:pPr>
            <w:r>
              <w:t>数量</w:t>
            </w:r>
          </w:p>
        </w:tc>
        <w:tc>
          <w:tcPr>
            <w:tcW w:w="850" w:type="dxa"/>
            <w:vMerge w:val="restart"/>
            <w:vAlign w:val="center"/>
          </w:tcPr>
          <w:p>
            <w:pPr>
              <w:pStyle w:val="10"/>
            </w:pPr>
            <w:r>
              <w:t>单价</w:t>
            </w:r>
          </w:p>
        </w:tc>
        <w:tc>
          <w:tcPr>
            <w:tcW w:w="7938" w:type="dxa"/>
            <w:gridSpan w:val="8"/>
            <w:vAlign w:val="center"/>
          </w:tcPr>
          <w:p>
            <w:pPr>
              <w:pStyle w:val="10"/>
            </w:pPr>
            <w:r>
              <w:t>政府采购金额（当年部门预算安排资金）</w:t>
            </w:r>
          </w:p>
        </w:tc>
        <w:tc>
          <w:tcPr>
            <w:tcW w:w="1092"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063" w:type="dxa"/>
            <w:vMerge w:val="continue"/>
          </w:tcPr>
          <w:p/>
        </w:tc>
        <w:tc>
          <w:tcPr>
            <w:tcW w:w="992" w:type="dxa"/>
            <w:vMerge w:val="continue"/>
          </w:tcPr>
          <w:p/>
        </w:tc>
        <w:tc>
          <w:tcPr>
            <w:tcW w:w="709" w:type="dxa"/>
            <w:vMerge w:val="continue"/>
          </w:tcPr>
          <w:p/>
        </w:tc>
        <w:tc>
          <w:tcPr>
            <w:tcW w:w="709" w:type="dxa"/>
            <w:vMerge w:val="continue"/>
          </w:tcPr>
          <w:p/>
        </w:tc>
        <w:tc>
          <w:tcPr>
            <w:tcW w:w="850" w:type="dxa"/>
            <w:vMerge w:val="continue"/>
          </w:tcPr>
          <w:p/>
        </w:tc>
        <w:tc>
          <w:tcPr>
            <w:tcW w:w="709" w:type="dxa"/>
            <w:vAlign w:val="center"/>
          </w:tcPr>
          <w:p>
            <w:pPr>
              <w:pStyle w:val="10"/>
            </w:pPr>
            <w:r>
              <w:t>合计</w:t>
            </w:r>
          </w:p>
        </w:tc>
        <w:tc>
          <w:tcPr>
            <w:tcW w:w="1134" w:type="dxa"/>
            <w:vAlign w:val="center"/>
          </w:tcPr>
          <w:p>
            <w:pPr>
              <w:pStyle w:val="10"/>
            </w:pPr>
            <w:r>
              <w:t>一般公共预算拨款</w:t>
            </w:r>
          </w:p>
        </w:tc>
        <w:tc>
          <w:tcPr>
            <w:tcW w:w="992" w:type="dxa"/>
            <w:vAlign w:val="center"/>
          </w:tcPr>
          <w:p>
            <w:pPr>
              <w:pStyle w:val="10"/>
            </w:pPr>
            <w:r>
              <w:t>基金预算拨款</w:t>
            </w:r>
          </w:p>
        </w:tc>
        <w:tc>
          <w:tcPr>
            <w:tcW w:w="1276" w:type="dxa"/>
            <w:vAlign w:val="center"/>
          </w:tcPr>
          <w:p>
            <w:pPr>
              <w:pStyle w:val="10"/>
            </w:pPr>
            <w:r>
              <w:t>国有资本经营预算拨款</w:t>
            </w:r>
          </w:p>
        </w:tc>
        <w:tc>
          <w:tcPr>
            <w:tcW w:w="1063" w:type="dxa"/>
            <w:vAlign w:val="center"/>
          </w:tcPr>
          <w:p>
            <w:pPr>
              <w:pStyle w:val="10"/>
            </w:pPr>
            <w:r>
              <w:t>财政专户核拨</w:t>
            </w:r>
          </w:p>
        </w:tc>
        <w:tc>
          <w:tcPr>
            <w:tcW w:w="780" w:type="dxa"/>
            <w:vAlign w:val="center"/>
          </w:tcPr>
          <w:p>
            <w:pPr>
              <w:pStyle w:val="10"/>
            </w:pPr>
            <w:r>
              <w:t>单位    资金</w:t>
            </w:r>
          </w:p>
        </w:tc>
        <w:tc>
          <w:tcPr>
            <w:tcW w:w="850" w:type="dxa"/>
            <w:vAlign w:val="center"/>
          </w:tcPr>
          <w:p>
            <w:pPr>
              <w:pStyle w:val="10"/>
            </w:pPr>
            <w:r>
              <w:t>财政拨    款结转</w:t>
            </w:r>
          </w:p>
        </w:tc>
        <w:tc>
          <w:tcPr>
            <w:tcW w:w="1134" w:type="dxa"/>
            <w:vAlign w:val="center"/>
          </w:tcPr>
          <w:p>
            <w:pPr>
              <w:pStyle w:val="10"/>
            </w:pPr>
            <w:r>
              <w:t>非财政    拨款结    转结余</w:t>
            </w:r>
          </w:p>
        </w:tc>
        <w:tc>
          <w:tcPr>
            <w:tcW w:w="10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063" w:type="dxa"/>
            <w:vAlign w:val="center"/>
          </w:tcPr>
          <w:p>
            <w:pPr>
              <w:pStyle w:val="12"/>
            </w:pPr>
          </w:p>
        </w:tc>
        <w:tc>
          <w:tcPr>
            <w:tcW w:w="992" w:type="dxa"/>
            <w:vAlign w:val="center"/>
          </w:tcPr>
          <w:p>
            <w:pPr>
              <w:pStyle w:val="12"/>
            </w:pPr>
          </w:p>
        </w:tc>
        <w:tc>
          <w:tcPr>
            <w:tcW w:w="709" w:type="dxa"/>
            <w:vAlign w:val="center"/>
          </w:tcPr>
          <w:p>
            <w:pPr>
              <w:pStyle w:val="13"/>
            </w:pPr>
          </w:p>
        </w:tc>
        <w:tc>
          <w:tcPr>
            <w:tcW w:w="709" w:type="dxa"/>
            <w:vAlign w:val="center"/>
          </w:tcPr>
          <w:p>
            <w:pPr>
              <w:pStyle w:val="11"/>
            </w:pPr>
          </w:p>
        </w:tc>
        <w:tc>
          <w:tcPr>
            <w:tcW w:w="850" w:type="dxa"/>
            <w:vAlign w:val="center"/>
          </w:tcPr>
          <w:p>
            <w:pPr>
              <w:pStyle w:val="11"/>
            </w:pPr>
          </w:p>
        </w:tc>
        <w:tc>
          <w:tcPr>
            <w:tcW w:w="709" w:type="dxa"/>
            <w:vAlign w:val="center"/>
          </w:tcPr>
          <w:p>
            <w:pPr>
              <w:pStyle w:val="11"/>
            </w:pPr>
          </w:p>
        </w:tc>
        <w:tc>
          <w:tcPr>
            <w:tcW w:w="1134" w:type="dxa"/>
            <w:vAlign w:val="center"/>
          </w:tcPr>
          <w:p>
            <w:pPr>
              <w:pStyle w:val="11"/>
            </w:pPr>
          </w:p>
        </w:tc>
        <w:tc>
          <w:tcPr>
            <w:tcW w:w="992" w:type="dxa"/>
            <w:vAlign w:val="center"/>
          </w:tcPr>
          <w:p>
            <w:pPr>
              <w:pStyle w:val="11"/>
            </w:pPr>
          </w:p>
        </w:tc>
        <w:tc>
          <w:tcPr>
            <w:tcW w:w="1276" w:type="dxa"/>
            <w:vAlign w:val="center"/>
          </w:tcPr>
          <w:p>
            <w:pPr>
              <w:pStyle w:val="11"/>
            </w:pPr>
          </w:p>
        </w:tc>
        <w:tc>
          <w:tcPr>
            <w:tcW w:w="1063" w:type="dxa"/>
            <w:vAlign w:val="center"/>
          </w:tcPr>
          <w:p>
            <w:pPr>
              <w:pStyle w:val="11"/>
            </w:pPr>
          </w:p>
        </w:tc>
        <w:tc>
          <w:tcPr>
            <w:tcW w:w="780" w:type="dxa"/>
            <w:vAlign w:val="center"/>
          </w:tcPr>
          <w:p>
            <w:pPr>
              <w:pStyle w:val="11"/>
            </w:pPr>
          </w:p>
        </w:tc>
        <w:tc>
          <w:tcPr>
            <w:tcW w:w="850" w:type="dxa"/>
            <w:vAlign w:val="center"/>
          </w:tcPr>
          <w:p>
            <w:pPr>
              <w:pStyle w:val="11"/>
            </w:pPr>
          </w:p>
        </w:tc>
        <w:tc>
          <w:tcPr>
            <w:tcW w:w="1134" w:type="dxa"/>
            <w:vAlign w:val="center"/>
          </w:tcPr>
          <w:p>
            <w:pPr>
              <w:pStyle w:val="11"/>
            </w:pPr>
          </w:p>
        </w:tc>
        <w:tc>
          <w:tcPr>
            <w:tcW w:w="1092"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rFonts w:hint="eastAsia" w:eastAsia="方正仿宋_GBK"/>
          <w:lang w:val="en-US" w:eastAsia="zh-CN"/>
        </w:rPr>
      </w:pPr>
      <w:r>
        <w:rPr>
          <w:rFonts w:eastAsia="方正仿宋_GBK"/>
          <w:color w:val="000000"/>
          <w:sz w:val="28"/>
        </w:rPr>
        <w:t>中共石家庄市鹿泉区委机构编制委员会办公室（含所属单位）上年末固定资产金额为6.59万元（详见下表）。本年度拟购置固定资产总额为0.00万元</w:t>
      </w:r>
      <w:r>
        <w:rPr>
          <w:rFonts w:hint="eastAsia" w:eastAsia="方正仿宋_GBK"/>
          <w:color w:val="000000"/>
          <w:sz w:val="28"/>
          <w:lang w:eastAsia="zh-CN"/>
        </w:rPr>
        <w:t>。</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lang w:eastAsia="zh-CN"/>
              </w:rPr>
            </w:pPr>
            <w:r>
              <w:rPr>
                <w:rFonts w:hint="eastAsia"/>
                <w:lang w:eastAsia="zh-CN"/>
              </w:rPr>
              <w:t>102</w:t>
            </w:r>
          </w:p>
        </w:tc>
        <w:tc>
          <w:tcPr>
            <w:tcW w:w="2835" w:type="dxa"/>
            <w:vAlign w:val="center"/>
          </w:tcPr>
          <w:p>
            <w:pPr>
              <w:pStyle w:val="11"/>
            </w:pPr>
            <w:r>
              <w:t>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101</w:t>
            </w:r>
          </w:p>
        </w:tc>
        <w:tc>
          <w:tcPr>
            <w:tcW w:w="2835" w:type="dxa"/>
            <w:vAlign w:val="center"/>
          </w:tcPr>
          <w:p>
            <w:pPr>
              <w:pStyle w:val="11"/>
            </w:pPr>
            <w:r>
              <w:t>6.59</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Lines="50" w:afterLines="50"/>
        <w:ind w:firstLine="641"/>
        <w:outlineLvl w:val="2"/>
      </w:pPr>
      <w:bookmarkStart w:id="17" w:name="_Toc_3_3_0000000018"/>
      <w:r>
        <w:rPr>
          <w:rFonts w:ascii="黑体" w:hAnsi="黑体" w:eastAsia="黑体" w:cs="黑体"/>
          <w:color w:val="000000"/>
          <w:sz w:val="32"/>
        </w:rPr>
        <w:t>九、其他需要说明的事项</w:t>
      </w:r>
      <w:bookmarkEnd w:id="17"/>
    </w:p>
    <w:p>
      <w:pPr>
        <w:spacing w:line="360" w:lineRule="auto"/>
        <w:ind w:firstLine="560" w:firstLineChars="200"/>
        <w:rPr>
          <w:rFonts w:eastAsia="方正仿宋_GBK"/>
          <w:color w:val="000000"/>
          <w:sz w:val="28"/>
        </w:rPr>
      </w:pPr>
      <w:r>
        <w:rPr>
          <w:rFonts w:hint="eastAsia" w:eastAsia="方正仿宋_GBK"/>
          <w:color w:val="000000"/>
          <w:sz w:val="28"/>
        </w:rPr>
        <w:t>由于预算公开中金额数值保留两位小数，公开数据为四舍五入计算结果，单位为万元，个别数据合计项与分项之和存在小数点后差额，特此说明。</w:t>
      </w:r>
      <w:r>
        <w:rPr>
          <w:rFonts w:eastAsia="方正仿宋_GBK"/>
          <w:color w:val="000000"/>
          <w:sz w:val="28"/>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script"/>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056D1"/>
    <w:rsid w:val="00045813"/>
    <w:rsid w:val="00071271"/>
    <w:rsid w:val="00111138"/>
    <w:rsid w:val="00193CA4"/>
    <w:rsid w:val="001C4FD4"/>
    <w:rsid w:val="003B7FCB"/>
    <w:rsid w:val="003F76D1"/>
    <w:rsid w:val="004E39B1"/>
    <w:rsid w:val="004F4880"/>
    <w:rsid w:val="005D4D7C"/>
    <w:rsid w:val="0067376E"/>
    <w:rsid w:val="00756AD5"/>
    <w:rsid w:val="0075701A"/>
    <w:rsid w:val="00761AEF"/>
    <w:rsid w:val="007C57FA"/>
    <w:rsid w:val="00830F67"/>
    <w:rsid w:val="00885BA6"/>
    <w:rsid w:val="0090262D"/>
    <w:rsid w:val="00931798"/>
    <w:rsid w:val="00936941"/>
    <w:rsid w:val="009C6448"/>
    <w:rsid w:val="009D2ED5"/>
    <w:rsid w:val="009E0EED"/>
    <w:rsid w:val="00B156DE"/>
    <w:rsid w:val="00B27E02"/>
    <w:rsid w:val="00B92194"/>
    <w:rsid w:val="00BF275B"/>
    <w:rsid w:val="00C55DB3"/>
    <w:rsid w:val="00C91240"/>
    <w:rsid w:val="00D056D1"/>
    <w:rsid w:val="00DB5B66"/>
    <w:rsid w:val="00E11ACB"/>
    <w:rsid w:val="00E17BF3"/>
    <w:rsid w:val="00F538CE"/>
    <w:rsid w:val="00F847D8"/>
    <w:rsid w:val="00FC2D7C"/>
    <w:rsid w:val="0EB765A4"/>
    <w:rsid w:val="134509F1"/>
    <w:rsid w:val="199A03C6"/>
    <w:rsid w:val="3638660D"/>
    <w:rsid w:val="38960CF6"/>
    <w:rsid w:val="441E10A2"/>
    <w:rsid w:val="44F4224F"/>
    <w:rsid w:val="527D5D4D"/>
    <w:rsid w:val="53C66305"/>
    <w:rsid w:val="5B6E2159"/>
    <w:rsid w:val="5C936448"/>
    <w:rsid w:val="60AD126C"/>
    <w:rsid w:val="66A43032"/>
    <w:rsid w:val="746972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2023-02-21T17:03:30Z</dcterms:created>
  <dcterms:modified xsi:type="dcterms:W3CDTF">2023-02-21T09:03:30Z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2023-02-21T17:03:35Z</dcterms:created>
  <dcterms:modified xsi:type="dcterms:W3CDTF">2023-02-21T09:03:35Z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2023-02-21T17:03:31Z</dcterms:created>
  <dcterms:modified xsi:type="dcterms:W3CDTF">2023-02-21T09:03:31Z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2023-02-21T17:03:30Z</dcterms:created>
  <dcterms:modified xsi:type="dcterms:W3CDTF">2023-02-21T09:03:30Z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2023-02-21T17:03:35Z</dcterms:created>
  <dcterms:modified xsi:type="dcterms:W3CDTF">2023-02-21T09:03:34Z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9A2A3C8-0F6C-461D-A5BA-EF362BE3AAF7}">
  <ds:schemaRefs/>
</ds:datastoreItem>
</file>

<file path=customXml/itemProps11.xml><?xml version="1.0" encoding="utf-8"?>
<ds:datastoreItem xmlns:ds="http://schemas.openxmlformats.org/officeDocument/2006/customXml" ds:itemID="{F7CCEC44-4AE7-4E70-9FCC-97D7772B814B}">
  <ds:schemaRefs/>
</ds:datastoreItem>
</file>

<file path=customXml/itemProps2.xml><?xml version="1.0" encoding="utf-8"?>
<ds:datastoreItem xmlns:ds="http://schemas.openxmlformats.org/officeDocument/2006/customXml" ds:itemID="{B559CE39-94A9-4BA8-9581-E719343AAD9F}">
  <ds:schemaRefs/>
</ds:datastoreItem>
</file>

<file path=customXml/itemProps3.xml><?xml version="1.0" encoding="utf-8"?>
<ds:datastoreItem xmlns:ds="http://schemas.openxmlformats.org/officeDocument/2006/customXml" ds:itemID="{CE1E71D5-29A9-4DB7-9143-58D5F296762C}">
  <ds:schemaRefs/>
</ds:datastoreItem>
</file>

<file path=customXml/itemProps4.xml><?xml version="1.0" encoding="utf-8"?>
<ds:datastoreItem xmlns:ds="http://schemas.openxmlformats.org/officeDocument/2006/customXml" ds:itemID="{9F40E555-6B86-4AA7-81F4-6330B9479761}">
  <ds:schemaRefs/>
</ds:datastoreItem>
</file>

<file path=customXml/itemProps5.xml><?xml version="1.0" encoding="utf-8"?>
<ds:datastoreItem xmlns:ds="http://schemas.openxmlformats.org/officeDocument/2006/customXml" ds:itemID="{B892E771-C185-463B-B8C9-D8173E71884B}">
  <ds:schemaRefs/>
</ds:datastoreItem>
</file>

<file path=customXml/itemProps6.xml><?xml version="1.0" encoding="utf-8"?>
<ds:datastoreItem xmlns:ds="http://schemas.openxmlformats.org/officeDocument/2006/customXml" ds:itemID="{943E9779-6881-4083-A4D7-F404F80A2F31}">
  <ds:schemaRefs/>
</ds:datastoreItem>
</file>

<file path=customXml/itemProps7.xml><?xml version="1.0" encoding="utf-8"?>
<ds:datastoreItem xmlns:ds="http://schemas.openxmlformats.org/officeDocument/2006/customXml" ds:itemID="{9ECBE824-13E2-4272-8150-DF7F075BAACC}">
  <ds:schemaRefs/>
</ds:datastoreItem>
</file>

<file path=customXml/itemProps8.xml><?xml version="1.0" encoding="utf-8"?>
<ds:datastoreItem xmlns:ds="http://schemas.openxmlformats.org/officeDocument/2006/customXml" ds:itemID="{FEFA4E7E-7108-4132-9F61-44A516623D96}">
  <ds:schemaRefs/>
</ds:datastoreItem>
</file>

<file path=customXml/itemProps9.xml><?xml version="1.0" encoding="utf-8"?>
<ds:datastoreItem xmlns:ds="http://schemas.openxmlformats.org/officeDocument/2006/customXml" ds:itemID="{89E4C64D-8157-41AF-8BB5-D7A526E5CB2C}">
  <ds:schemaRefs/>
</ds:datastoreItem>
</file>

<file path=docProps/app.xml><?xml version="1.0" encoding="utf-8"?>
<Properties xmlns="http://schemas.openxmlformats.org/officeDocument/2006/extended-properties" xmlns:vt="http://schemas.openxmlformats.org/officeDocument/2006/docPropsVTypes">
  <Template>Normal.dotm</Template>
  <Pages>50</Pages>
  <Words>3496</Words>
  <Characters>19930</Characters>
  <Lines>166</Lines>
  <Paragraphs>46</Paragraphs>
  <TotalTime>53</TotalTime>
  <ScaleCrop>false</ScaleCrop>
  <LinksUpToDate>false</LinksUpToDate>
  <CharactersWithSpaces>23380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2023-02-21T17:03:00Z</dcterms:created>
  <dc:creator>Administrator</dc:creator>
  <cp:lastModifiedBy>Administrator</cp:lastModifiedBy>
  <dcterms:modified xsi:type="dcterms:W3CDTF">2024-03-05T09:19:26Z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