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2.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一、中共石家庄市鹿泉区委网络安全和信息化委员会办公室本级收支预算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一、中共石家庄市鹿泉区委网络安全和信息化委员会办公室本级收支预算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423.06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352.71</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35.33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14.94</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20.07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423.06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423.06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423.06</w:t>
            </w:r>
          </w:p>
        </w:tc>
        <w:tc>
          <w:tcPr>
            <w:tcW w:w="4535" w:type="dxa"/>
            <w:vAlign w:val="center"/>
          </w:tcPr>
          <w:p>
            <w:pPr>
              <w:pStyle w:val="单元格样式6"/>
            </w:pPr>
            <w:r>
              <w:t xml:space="preserve">支出总计</w:t>
            </w:r>
          </w:p>
        </w:tc>
        <w:tc>
          <w:tcPr>
            <w:tcW w:w="2126" w:type="dxa"/>
            <w:vAlign w:val="center"/>
          </w:tcPr>
          <w:p>
            <w:pPr>
              <w:pStyle w:val="单元格样式7"/>
            </w:pPr>
            <w:r>
              <w:t xml:space="preserve">423.06</w:t>
            </w:r>
          </w:p>
        </w:tc>
      </w:tr>
    </w:tbl>
    <w:p>
      <w:pPr>
        <w:sectPr>
          <w:footerReference w:type="even" r:id="rId19"/>
          <w:footerReference w:type="default" r:id="rId20"/>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423.06</w:t>
            </w:r>
          </w:p>
        </w:tc>
        <w:tc>
          <w:tcPr>
            <w:tcW w:w="1134" w:type="dxa"/>
            <w:vAlign w:val="center"/>
          </w:tcPr>
          <w:p>
            <w:pPr>
              <w:pStyle w:val="单元格样式7"/>
            </w:pPr>
            <w:r>
              <w:t xml:space="preserve">423.06</w:t>
            </w:r>
          </w:p>
        </w:tc>
        <w:tc>
          <w:tcPr>
            <w:tcW w:w="1134" w:type="dxa"/>
            <w:vAlign w:val="center"/>
          </w:tcPr>
          <w:p>
            <w:pPr>
              <w:pStyle w:val="单元格样式7"/>
            </w:pPr>
            <w:r>
              <w:t xml:space="preserve">423.06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352.71</w:t>
            </w:r>
          </w:p>
        </w:tc>
        <w:tc>
          <w:tcPr>
            <w:tcW w:w="1134" w:type="dxa"/>
            <w:vAlign w:val="center"/>
          </w:tcPr>
          <w:p>
            <w:pPr>
              <w:pStyle w:val="单元格样式4"/>
            </w:pPr>
            <w:r>
              <w:t xml:space="preserve">352.71</w:t>
            </w:r>
          </w:p>
        </w:tc>
        <w:tc>
          <w:tcPr>
            <w:tcW w:w="1134" w:type="dxa"/>
            <w:vAlign w:val="center"/>
          </w:tcPr>
          <w:p>
            <w:pPr>
              <w:pStyle w:val="单元格样式4"/>
            </w:pPr>
            <w:r>
              <w:t xml:space="preserve">352.71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20133</w:t>
            </w:r>
          </w:p>
        </w:tc>
        <w:tc>
          <w:tcPr>
            <w:tcW w:w="1559" w:type="dxa"/>
            <w:vAlign w:val="center"/>
          </w:tcPr>
          <w:p>
            <w:pPr>
              <w:pStyle w:val="单元格样式2"/>
            </w:pPr>
            <w:r>
              <w:t xml:space="preserve">宣传事务</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20137</w:t>
            </w:r>
          </w:p>
        </w:tc>
        <w:tc>
          <w:tcPr>
            <w:tcW w:w="1559" w:type="dxa"/>
            <w:vAlign w:val="center"/>
          </w:tcPr>
          <w:p>
            <w:pPr>
              <w:pStyle w:val="单元格样式2"/>
            </w:pPr>
            <w:r>
              <w:t xml:space="preserve">网信事务</w:t>
            </w:r>
          </w:p>
        </w:tc>
        <w:tc>
          <w:tcPr>
            <w:tcW w:w="1134" w:type="dxa"/>
            <w:vAlign w:val="center"/>
          </w:tcPr>
          <w:p>
            <w:pPr>
              <w:pStyle w:val="单元格样式4"/>
            </w:pPr>
            <w:r>
              <w:t xml:space="preserve">151.43</w:t>
            </w:r>
          </w:p>
        </w:tc>
        <w:tc>
          <w:tcPr>
            <w:tcW w:w="1134" w:type="dxa"/>
            <w:vAlign w:val="center"/>
          </w:tcPr>
          <w:p>
            <w:pPr>
              <w:pStyle w:val="单元格样式4"/>
            </w:pPr>
            <w:r>
              <w:t xml:space="preserve">151.43</w:t>
            </w:r>
          </w:p>
        </w:tc>
        <w:tc>
          <w:tcPr>
            <w:tcW w:w="1134" w:type="dxa"/>
            <w:vAlign w:val="center"/>
          </w:tcPr>
          <w:p>
            <w:pPr>
              <w:pStyle w:val="单元格样式4"/>
            </w:pPr>
            <w:r>
              <w:t xml:space="preserve">151.43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2013701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11.43</w:t>
            </w:r>
          </w:p>
        </w:tc>
        <w:tc>
          <w:tcPr>
            <w:tcW w:w="1134" w:type="dxa"/>
            <w:vAlign w:val="center"/>
          </w:tcPr>
          <w:p>
            <w:pPr>
              <w:pStyle w:val="单元格样式4"/>
            </w:pPr>
            <w:r>
              <w:t xml:space="preserve">11.43</w:t>
            </w:r>
          </w:p>
        </w:tc>
        <w:tc>
          <w:tcPr>
            <w:tcW w:w="1134" w:type="dxa"/>
            <w:vAlign w:val="center"/>
          </w:tcPr>
          <w:p>
            <w:pPr>
              <w:pStyle w:val="单元格样式4"/>
            </w:pPr>
            <w:r>
              <w:t xml:space="preserve">11.43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2013704</w:t>
            </w:r>
          </w:p>
        </w:tc>
        <w:tc>
          <w:tcPr>
            <w:tcW w:w="1559" w:type="dxa"/>
            <w:vAlign w:val="center"/>
          </w:tcPr>
          <w:p>
            <w:pPr>
              <w:pStyle w:val="单元格样式2"/>
            </w:pPr>
            <w:r>
              <w:t xml:space="preserve">信息安全事务</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20.66</w:t>
            </w:r>
          </w:p>
        </w:tc>
        <w:tc>
          <w:tcPr>
            <w:tcW w:w="1134" w:type="dxa"/>
            <w:vAlign w:val="center"/>
          </w:tcPr>
          <w:p>
            <w:pPr>
              <w:pStyle w:val="单元格样式4"/>
            </w:pPr>
            <w:r>
              <w:t xml:space="preserve">20.66</w:t>
            </w:r>
          </w:p>
        </w:tc>
        <w:tc>
          <w:tcPr>
            <w:tcW w:w="1134" w:type="dxa"/>
            <w:vAlign w:val="center"/>
          </w:tcPr>
          <w:p>
            <w:pPr>
              <w:pStyle w:val="单元格样式4"/>
            </w:pPr>
            <w:r>
              <w:t xml:space="preserve">20.66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423.06</w:t>
            </w:r>
          </w:p>
        </w:tc>
        <w:tc>
          <w:tcPr>
            <w:tcW w:w="1361" w:type="dxa"/>
            <w:vAlign w:val="center"/>
          </w:tcPr>
          <w:p>
            <w:pPr>
              <w:pStyle w:val="单元格样式7"/>
            </w:pPr>
            <w:r>
              <w:t xml:space="preserve">271.63</w:t>
            </w:r>
          </w:p>
        </w:tc>
        <w:tc>
          <w:tcPr>
            <w:tcW w:w="1361" w:type="dxa"/>
            <w:vAlign w:val="center"/>
          </w:tcPr>
          <w:p>
            <w:pPr>
              <w:pStyle w:val="单元格样式7"/>
            </w:pPr>
            <w:r>
              <w:t xml:space="preserve">151.43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352.71</w:t>
            </w:r>
          </w:p>
        </w:tc>
        <w:tc>
          <w:tcPr>
            <w:tcW w:w="1361" w:type="dxa"/>
            <w:vAlign w:val="center"/>
          </w:tcPr>
          <w:p>
            <w:pPr>
              <w:pStyle w:val="单元格样式4"/>
            </w:pPr>
            <w:r>
              <w:t xml:space="preserve">201.28</w:t>
            </w: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20133</w:t>
            </w:r>
          </w:p>
        </w:tc>
        <w:tc>
          <w:tcPr>
            <w:tcW w:w="4535" w:type="dxa"/>
            <w:vAlign w:val="center"/>
          </w:tcPr>
          <w:p>
            <w:pPr>
              <w:pStyle w:val="单元格样式2"/>
            </w:pPr>
            <w:r>
              <w:t xml:space="preserve">宣传事务</w:t>
            </w:r>
          </w:p>
        </w:tc>
        <w:tc>
          <w:tcPr>
            <w:tcW w:w="1361" w:type="dxa"/>
            <w:vAlign w:val="center"/>
          </w:tcPr>
          <w:p>
            <w:pPr>
              <w:pStyle w:val="单元格样式4"/>
            </w:pPr>
            <w:r>
              <w:t xml:space="preserve">201.28</w:t>
            </w:r>
          </w:p>
        </w:tc>
        <w:tc>
          <w:tcPr>
            <w:tcW w:w="1361" w:type="dxa"/>
            <w:vAlign w:val="center"/>
          </w:tcPr>
          <w:p>
            <w:pPr>
              <w:pStyle w:val="单元格样式4"/>
            </w:pPr>
            <w:r>
              <w:t xml:space="preserve">201.28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201.28</w:t>
            </w:r>
          </w:p>
        </w:tc>
        <w:tc>
          <w:tcPr>
            <w:tcW w:w="1361" w:type="dxa"/>
            <w:vAlign w:val="center"/>
          </w:tcPr>
          <w:p>
            <w:pPr>
              <w:pStyle w:val="单元格样式4"/>
            </w:pPr>
            <w:r>
              <w:t xml:space="preserve">201.28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20137</w:t>
            </w:r>
          </w:p>
        </w:tc>
        <w:tc>
          <w:tcPr>
            <w:tcW w:w="4535" w:type="dxa"/>
            <w:vAlign w:val="center"/>
          </w:tcPr>
          <w:p>
            <w:pPr>
              <w:pStyle w:val="单元格样式2"/>
            </w:pPr>
            <w:r>
              <w:t xml:space="preserve">网信事务</w:t>
            </w: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11.43</w:t>
            </w:r>
          </w:p>
        </w:tc>
        <w:tc>
          <w:tcPr>
            <w:tcW w:w="1361" w:type="dxa"/>
            <w:vAlign w:val="center"/>
          </w:tcPr>
          <w:p>
            <w:pPr>
              <w:pStyle w:val="单元格样式4"/>
            </w:pPr>
          </w:p>
        </w:tc>
        <w:tc>
          <w:tcPr>
            <w:tcW w:w="1361" w:type="dxa"/>
            <w:vAlign w:val="center"/>
          </w:tcPr>
          <w:p>
            <w:pPr>
              <w:pStyle w:val="单元格样式4"/>
            </w:pPr>
            <w:r>
              <w:t xml:space="preserve">11.43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35.33</w:t>
            </w:r>
          </w:p>
        </w:tc>
        <w:tc>
          <w:tcPr>
            <w:tcW w:w="1361" w:type="dxa"/>
            <w:vAlign w:val="center"/>
          </w:tcPr>
          <w:p>
            <w:pPr>
              <w:pStyle w:val="单元格样式4"/>
            </w:pPr>
            <w:r>
              <w:t xml:space="preserve">35.33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35.33</w:t>
            </w:r>
          </w:p>
        </w:tc>
        <w:tc>
          <w:tcPr>
            <w:tcW w:w="1361" w:type="dxa"/>
            <w:vAlign w:val="center"/>
          </w:tcPr>
          <w:p>
            <w:pPr>
              <w:pStyle w:val="单元格样式4"/>
            </w:pPr>
            <w:r>
              <w:t xml:space="preserve">35.33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14.67</w:t>
            </w:r>
          </w:p>
        </w:tc>
        <w:tc>
          <w:tcPr>
            <w:tcW w:w="1361" w:type="dxa"/>
            <w:vAlign w:val="center"/>
          </w:tcPr>
          <w:p>
            <w:pPr>
              <w:pStyle w:val="单元格样式4"/>
            </w:pPr>
            <w:r>
              <w:t xml:space="preserve">14.67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20.66</w:t>
            </w:r>
          </w:p>
        </w:tc>
        <w:tc>
          <w:tcPr>
            <w:tcW w:w="1361" w:type="dxa"/>
            <w:vAlign w:val="center"/>
          </w:tcPr>
          <w:p>
            <w:pPr>
              <w:pStyle w:val="单元格样式4"/>
            </w:pPr>
            <w:r>
              <w:t xml:space="preserve">20.66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423.06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352.71</w:t>
            </w:r>
          </w:p>
        </w:tc>
        <w:tc>
          <w:tcPr>
            <w:tcW w:w="1474" w:type="dxa"/>
            <w:vAlign w:val="center"/>
          </w:tcPr>
          <w:p>
            <w:pPr>
              <w:pStyle w:val="单元格样式4"/>
            </w:pPr>
            <w:r>
              <w:t xml:space="preserve">352.71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35.33</w:t>
            </w:r>
          </w:p>
        </w:tc>
        <w:tc>
          <w:tcPr>
            <w:tcW w:w="1474" w:type="dxa"/>
            <w:vAlign w:val="center"/>
          </w:tcPr>
          <w:p>
            <w:pPr>
              <w:pStyle w:val="单元格样式4"/>
            </w:pPr>
            <w:r>
              <w:t xml:space="preserve">35.33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14.94</w:t>
            </w:r>
          </w:p>
        </w:tc>
        <w:tc>
          <w:tcPr>
            <w:tcW w:w="1474" w:type="dxa"/>
            <w:vAlign w:val="center"/>
          </w:tcPr>
          <w:p>
            <w:pPr>
              <w:pStyle w:val="单元格样式4"/>
            </w:pPr>
            <w:r>
              <w:t xml:space="preserve">14.94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20.07</w:t>
            </w:r>
          </w:p>
        </w:tc>
        <w:tc>
          <w:tcPr>
            <w:tcW w:w="1474" w:type="dxa"/>
            <w:vAlign w:val="center"/>
          </w:tcPr>
          <w:p>
            <w:pPr>
              <w:pStyle w:val="单元格样式4"/>
            </w:pPr>
            <w:r>
              <w:t xml:space="preserve">20.07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423.06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423.06</w:t>
            </w:r>
          </w:p>
        </w:tc>
        <w:tc>
          <w:tcPr>
            <w:tcW w:w="1474" w:type="dxa"/>
            <w:vAlign w:val="center"/>
          </w:tcPr>
          <w:p>
            <w:pPr>
              <w:pStyle w:val="单元格样式7"/>
            </w:pPr>
            <w:r>
              <w:t xml:space="preserve">423.06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423.06</w:t>
            </w:r>
          </w:p>
        </w:tc>
        <w:tc>
          <w:tcPr>
            <w:tcW w:w="3402" w:type="dxa"/>
            <w:vAlign w:val="center"/>
          </w:tcPr>
          <w:p>
            <w:pPr>
              <w:pStyle w:val="单元格样式6"/>
            </w:pPr>
            <w:r>
              <w:t xml:space="preserve">支出总计</w:t>
            </w:r>
          </w:p>
        </w:tc>
        <w:tc>
          <w:tcPr>
            <w:tcW w:w="1474" w:type="dxa"/>
            <w:vAlign w:val="center"/>
          </w:tcPr>
          <w:p>
            <w:pPr>
              <w:pStyle w:val="单元格样式7"/>
            </w:pPr>
            <w:r>
              <w:t xml:space="preserve">423.06</w:t>
            </w:r>
          </w:p>
        </w:tc>
        <w:tc>
          <w:tcPr>
            <w:tcW w:w="1474" w:type="dxa"/>
            <w:vAlign w:val="center"/>
          </w:tcPr>
          <w:p>
            <w:pPr>
              <w:pStyle w:val="单元格样式7"/>
            </w:pPr>
            <w:r>
              <w:t xml:space="preserve">423.06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423.06</w:t>
            </w:r>
          </w:p>
        </w:tc>
        <w:tc>
          <w:tcPr>
            <w:tcW w:w="2551" w:type="dxa"/>
            <w:vAlign w:val="center"/>
          </w:tcPr>
          <w:p>
            <w:pPr>
              <w:pStyle w:val="单元格样式7"/>
            </w:pPr>
            <w:r>
              <w:t xml:space="preserve">271.63</w:t>
            </w:r>
          </w:p>
        </w:tc>
        <w:tc>
          <w:tcPr>
            <w:tcW w:w="2551" w:type="dxa"/>
            <w:vAlign w:val="center"/>
          </w:tcPr>
          <w:p>
            <w:pPr>
              <w:pStyle w:val="单元格样式7"/>
            </w:pPr>
            <w:r>
              <w:t xml:space="preserve">151.43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352.71</w:t>
            </w:r>
          </w:p>
        </w:tc>
        <w:tc>
          <w:tcPr>
            <w:tcW w:w="2551" w:type="dxa"/>
            <w:vAlign w:val="center"/>
          </w:tcPr>
          <w:p>
            <w:pPr>
              <w:pStyle w:val="单元格样式4"/>
            </w:pPr>
            <w:r>
              <w:t xml:space="preserve">201.28</w:t>
            </w:r>
          </w:p>
        </w:tc>
        <w:tc>
          <w:tcPr>
            <w:tcW w:w="2551" w:type="dxa"/>
            <w:vAlign w:val="center"/>
          </w:tcPr>
          <w:p>
            <w:pPr>
              <w:pStyle w:val="单元格样式4"/>
            </w:pPr>
            <w:r>
              <w:t xml:space="preserve">151.43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20133</w:t>
            </w:r>
          </w:p>
        </w:tc>
        <w:tc>
          <w:tcPr>
            <w:tcW w:w="4535" w:type="dxa"/>
            <w:vAlign w:val="center"/>
          </w:tcPr>
          <w:p>
            <w:pPr>
              <w:pStyle w:val="单元格样式2"/>
            </w:pPr>
            <w:r>
              <w:t xml:space="preserve">宣传事务</w:t>
            </w:r>
          </w:p>
        </w:tc>
        <w:tc>
          <w:tcPr>
            <w:tcW w:w="2551" w:type="dxa"/>
            <w:vAlign w:val="center"/>
          </w:tcPr>
          <w:p>
            <w:pPr>
              <w:pStyle w:val="单元格样式4"/>
            </w:pPr>
            <w:r>
              <w:t xml:space="preserve">201.28</w:t>
            </w:r>
          </w:p>
        </w:tc>
        <w:tc>
          <w:tcPr>
            <w:tcW w:w="2551" w:type="dxa"/>
            <w:vAlign w:val="center"/>
          </w:tcPr>
          <w:p>
            <w:pPr>
              <w:pStyle w:val="单元格样式4"/>
            </w:pPr>
            <w:r>
              <w:t xml:space="preserve">201.28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201.28</w:t>
            </w:r>
          </w:p>
        </w:tc>
        <w:tc>
          <w:tcPr>
            <w:tcW w:w="2551" w:type="dxa"/>
            <w:vAlign w:val="center"/>
          </w:tcPr>
          <w:p>
            <w:pPr>
              <w:pStyle w:val="单元格样式4"/>
            </w:pPr>
            <w:r>
              <w:t xml:space="preserve">201.28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20137</w:t>
            </w:r>
          </w:p>
        </w:tc>
        <w:tc>
          <w:tcPr>
            <w:tcW w:w="4535" w:type="dxa"/>
            <w:vAlign w:val="center"/>
          </w:tcPr>
          <w:p>
            <w:pPr>
              <w:pStyle w:val="单元格样式2"/>
            </w:pPr>
            <w:r>
              <w:t xml:space="preserve">网信事务</w:t>
            </w:r>
          </w:p>
        </w:tc>
        <w:tc>
          <w:tcPr>
            <w:tcW w:w="2551" w:type="dxa"/>
            <w:vAlign w:val="center"/>
          </w:tcPr>
          <w:p>
            <w:pPr>
              <w:pStyle w:val="单元格样式4"/>
            </w:pPr>
            <w:r>
              <w:t xml:space="preserve">151.43</w:t>
            </w:r>
          </w:p>
        </w:tc>
        <w:tc>
          <w:tcPr>
            <w:tcW w:w="2551" w:type="dxa"/>
            <w:vAlign w:val="center"/>
          </w:tcPr>
          <w:p>
            <w:pPr>
              <w:pStyle w:val="单元格样式4"/>
            </w:pPr>
          </w:p>
        </w:tc>
        <w:tc>
          <w:tcPr>
            <w:tcW w:w="2551" w:type="dxa"/>
            <w:vAlign w:val="center"/>
          </w:tcPr>
          <w:p>
            <w:pPr>
              <w:pStyle w:val="单元格样式4"/>
            </w:pPr>
            <w:r>
              <w:t xml:space="preserve">151.43</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11.43</w:t>
            </w:r>
          </w:p>
        </w:tc>
        <w:tc>
          <w:tcPr>
            <w:tcW w:w="2551" w:type="dxa"/>
            <w:vAlign w:val="center"/>
          </w:tcPr>
          <w:p>
            <w:pPr>
              <w:pStyle w:val="单元格样式4"/>
            </w:pPr>
          </w:p>
        </w:tc>
        <w:tc>
          <w:tcPr>
            <w:tcW w:w="2551" w:type="dxa"/>
            <w:vAlign w:val="center"/>
          </w:tcPr>
          <w:p>
            <w:pPr>
              <w:pStyle w:val="单元格样式4"/>
            </w:pPr>
            <w:r>
              <w:t xml:space="preserve">11.43</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2551" w:type="dxa"/>
            <w:vAlign w:val="center"/>
          </w:tcPr>
          <w:p>
            <w:pPr>
              <w:pStyle w:val="单元格样式4"/>
            </w:pPr>
            <w:r>
              <w:t xml:space="preserve">140.00</w:t>
            </w:r>
          </w:p>
        </w:tc>
        <w:tc>
          <w:tcPr>
            <w:tcW w:w="2551" w:type="dxa"/>
            <w:vAlign w:val="center"/>
          </w:tcPr>
          <w:p>
            <w:pPr>
              <w:pStyle w:val="单元格样式4"/>
            </w:pPr>
          </w:p>
        </w:tc>
        <w:tc>
          <w:tcPr>
            <w:tcW w:w="2551" w:type="dxa"/>
            <w:vAlign w:val="center"/>
          </w:tcPr>
          <w:p>
            <w:pPr>
              <w:pStyle w:val="单元格样式4"/>
            </w:pPr>
            <w:r>
              <w:t xml:space="preserve">140.00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35.33</w:t>
            </w:r>
          </w:p>
        </w:tc>
        <w:tc>
          <w:tcPr>
            <w:tcW w:w="2551" w:type="dxa"/>
            <w:vAlign w:val="center"/>
          </w:tcPr>
          <w:p>
            <w:pPr>
              <w:pStyle w:val="单元格样式4"/>
            </w:pPr>
            <w:r>
              <w:t xml:space="preserve">35.33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35.33</w:t>
            </w:r>
          </w:p>
        </w:tc>
        <w:tc>
          <w:tcPr>
            <w:tcW w:w="2551" w:type="dxa"/>
            <w:vAlign w:val="center"/>
          </w:tcPr>
          <w:p>
            <w:pPr>
              <w:pStyle w:val="单元格样式4"/>
            </w:pPr>
            <w:r>
              <w:t xml:space="preserve">35.33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14.67</w:t>
            </w:r>
          </w:p>
        </w:tc>
        <w:tc>
          <w:tcPr>
            <w:tcW w:w="2551" w:type="dxa"/>
            <w:vAlign w:val="center"/>
          </w:tcPr>
          <w:p>
            <w:pPr>
              <w:pStyle w:val="单元格样式4"/>
            </w:pPr>
            <w:r>
              <w:t xml:space="preserve">14.67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20.66</w:t>
            </w:r>
          </w:p>
        </w:tc>
        <w:tc>
          <w:tcPr>
            <w:tcW w:w="2551" w:type="dxa"/>
            <w:vAlign w:val="center"/>
          </w:tcPr>
          <w:p>
            <w:pPr>
              <w:pStyle w:val="单元格样式4"/>
            </w:pPr>
            <w:r>
              <w:t xml:space="preserve">20.66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271.63</w:t>
            </w:r>
          </w:p>
        </w:tc>
        <w:tc>
          <w:tcPr>
            <w:tcW w:w="2551" w:type="dxa"/>
            <w:vAlign w:val="center"/>
          </w:tcPr>
          <w:p>
            <w:pPr>
              <w:pStyle w:val="单元格样式7"/>
            </w:pPr>
            <w:r>
              <w:t xml:space="preserve">233.32</w:t>
            </w:r>
          </w:p>
        </w:tc>
        <w:tc>
          <w:tcPr>
            <w:tcW w:w="2551" w:type="dxa"/>
            <w:vAlign w:val="center"/>
          </w:tcPr>
          <w:p>
            <w:pPr>
              <w:pStyle w:val="单元格样式7"/>
            </w:pPr>
            <w:r>
              <w:t xml:space="preserve">38.30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218.95</w:t>
            </w:r>
          </w:p>
        </w:tc>
        <w:tc>
          <w:tcPr>
            <w:tcW w:w="2551" w:type="dxa"/>
            <w:vAlign w:val="center"/>
          </w:tcPr>
          <w:p>
            <w:pPr>
              <w:pStyle w:val="单元格样式4"/>
            </w:pPr>
            <w:r>
              <w:t xml:space="preserve">218.95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54.44</w:t>
            </w:r>
          </w:p>
        </w:tc>
        <w:tc>
          <w:tcPr>
            <w:tcW w:w="2551" w:type="dxa"/>
            <w:vAlign w:val="center"/>
          </w:tcPr>
          <w:p>
            <w:pPr>
              <w:pStyle w:val="单元格样式4"/>
            </w:pPr>
            <w:r>
              <w:t xml:space="preserve">54.44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30.94</w:t>
            </w:r>
          </w:p>
        </w:tc>
        <w:tc>
          <w:tcPr>
            <w:tcW w:w="2551" w:type="dxa"/>
            <w:vAlign w:val="center"/>
          </w:tcPr>
          <w:p>
            <w:pPr>
              <w:pStyle w:val="单元格样式4"/>
            </w:pPr>
            <w:r>
              <w:t xml:space="preserve">30.94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29.54</w:t>
            </w:r>
          </w:p>
        </w:tc>
        <w:tc>
          <w:tcPr>
            <w:tcW w:w="2551" w:type="dxa"/>
            <w:vAlign w:val="center"/>
          </w:tcPr>
          <w:p>
            <w:pPr>
              <w:pStyle w:val="单元格样式4"/>
            </w:pPr>
            <w:r>
              <w:t xml:space="preserve">29.54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43.85</w:t>
            </w:r>
          </w:p>
        </w:tc>
        <w:tc>
          <w:tcPr>
            <w:tcW w:w="2551" w:type="dxa"/>
            <w:vAlign w:val="center"/>
          </w:tcPr>
          <w:p>
            <w:pPr>
              <w:pStyle w:val="单元格样式4"/>
            </w:pPr>
            <w:r>
              <w:t xml:space="preserve">43.85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20.66</w:t>
            </w:r>
          </w:p>
        </w:tc>
        <w:tc>
          <w:tcPr>
            <w:tcW w:w="2551" w:type="dxa"/>
            <w:vAlign w:val="center"/>
          </w:tcPr>
          <w:p>
            <w:pPr>
              <w:pStyle w:val="单元格样式4"/>
            </w:pPr>
            <w:r>
              <w:t xml:space="preserve">20.66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8.42</w:t>
            </w:r>
          </w:p>
        </w:tc>
        <w:tc>
          <w:tcPr>
            <w:tcW w:w="2551" w:type="dxa"/>
            <w:vAlign w:val="center"/>
          </w:tcPr>
          <w:p>
            <w:pPr>
              <w:pStyle w:val="单元格样式4"/>
            </w:pPr>
            <w:r>
              <w:t xml:space="preserve">8.42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6.52</w:t>
            </w:r>
          </w:p>
        </w:tc>
        <w:tc>
          <w:tcPr>
            <w:tcW w:w="2551" w:type="dxa"/>
            <w:vAlign w:val="center"/>
          </w:tcPr>
          <w:p>
            <w:pPr>
              <w:pStyle w:val="单元格样式4"/>
            </w:pPr>
            <w:r>
              <w:t xml:space="preserve">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4.51</w:t>
            </w:r>
          </w:p>
        </w:tc>
        <w:tc>
          <w:tcPr>
            <w:tcW w:w="2551" w:type="dxa"/>
            <w:vAlign w:val="center"/>
          </w:tcPr>
          <w:p>
            <w:pPr>
              <w:pStyle w:val="单元格样式4"/>
            </w:pPr>
            <w:r>
              <w:t xml:space="preserve">4.51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37.80</w:t>
            </w:r>
          </w:p>
        </w:tc>
        <w:tc>
          <w:tcPr>
            <w:tcW w:w="2551" w:type="dxa"/>
            <w:vAlign w:val="center"/>
          </w:tcPr>
          <w:p>
            <w:pPr>
              <w:pStyle w:val="单元格样式4"/>
            </w:pPr>
          </w:p>
        </w:tc>
        <w:tc>
          <w:tcPr>
            <w:tcW w:w="2551" w:type="dxa"/>
            <w:vAlign w:val="center"/>
          </w:tcPr>
          <w:p>
            <w:pPr>
              <w:pStyle w:val="单元格样式4"/>
            </w:pPr>
            <w:r>
              <w:t xml:space="preserve">37.80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7.30</w:t>
            </w:r>
          </w:p>
        </w:tc>
        <w:tc>
          <w:tcPr>
            <w:tcW w:w="2551" w:type="dxa"/>
            <w:vAlign w:val="center"/>
          </w:tcPr>
          <w:p>
            <w:pPr>
              <w:pStyle w:val="单元格样式4"/>
            </w:pPr>
          </w:p>
        </w:tc>
        <w:tc>
          <w:tcPr>
            <w:tcW w:w="2551" w:type="dxa"/>
            <w:vAlign w:val="center"/>
          </w:tcPr>
          <w:p>
            <w:pPr>
              <w:pStyle w:val="单元格样式4"/>
            </w:pPr>
            <w:r>
              <w:t xml:space="preserve">7.30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3.78</w:t>
            </w:r>
          </w:p>
        </w:tc>
        <w:tc>
          <w:tcPr>
            <w:tcW w:w="2551" w:type="dxa"/>
            <w:vAlign w:val="center"/>
          </w:tcPr>
          <w:p>
            <w:pPr>
              <w:pStyle w:val="单元格样式4"/>
            </w:pPr>
          </w:p>
        </w:tc>
        <w:tc>
          <w:tcPr>
            <w:tcW w:w="2551" w:type="dxa"/>
            <w:vAlign w:val="center"/>
          </w:tcPr>
          <w:p>
            <w:pPr>
              <w:pStyle w:val="单元格样式4"/>
            </w:pPr>
            <w:r>
              <w:t xml:space="preserve">3.78</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18.69</w:t>
            </w:r>
          </w:p>
        </w:tc>
        <w:tc>
          <w:tcPr>
            <w:tcW w:w="2551" w:type="dxa"/>
            <w:vAlign w:val="center"/>
          </w:tcPr>
          <w:p>
            <w:pPr>
              <w:pStyle w:val="单元格样式4"/>
            </w:pPr>
          </w:p>
        </w:tc>
        <w:tc>
          <w:tcPr>
            <w:tcW w:w="2551" w:type="dxa"/>
            <w:vAlign w:val="center"/>
          </w:tcPr>
          <w:p>
            <w:pPr>
              <w:pStyle w:val="单元格样式4"/>
            </w:pPr>
            <w:r>
              <w:t xml:space="preserve">18.69</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1.16</w:t>
            </w:r>
          </w:p>
        </w:tc>
        <w:tc>
          <w:tcPr>
            <w:tcW w:w="2551" w:type="dxa"/>
            <w:vAlign w:val="center"/>
          </w:tcPr>
          <w:p>
            <w:pPr>
              <w:pStyle w:val="单元格样式4"/>
            </w:pPr>
          </w:p>
        </w:tc>
        <w:tc>
          <w:tcPr>
            <w:tcW w:w="2551" w:type="dxa"/>
            <w:vAlign w:val="center"/>
          </w:tcPr>
          <w:p>
            <w:pPr>
              <w:pStyle w:val="单元格样式4"/>
            </w:pPr>
            <w:r>
              <w:t xml:space="preserve">1.16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1.36</w:t>
            </w:r>
          </w:p>
        </w:tc>
        <w:tc>
          <w:tcPr>
            <w:tcW w:w="2551" w:type="dxa"/>
            <w:vAlign w:val="center"/>
          </w:tcPr>
          <w:p>
            <w:pPr>
              <w:pStyle w:val="单元格样式4"/>
            </w:pPr>
          </w:p>
        </w:tc>
        <w:tc>
          <w:tcPr>
            <w:tcW w:w="2551" w:type="dxa"/>
            <w:vAlign w:val="center"/>
          </w:tcPr>
          <w:p>
            <w:pPr>
              <w:pStyle w:val="单元格样式4"/>
            </w:pPr>
            <w:r>
              <w:t xml:space="preserve">1.36</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4.92</w:t>
            </w:r>
          </w:p>
        </w:tc>
        <w:tc>
          <w:tcPr>
            <w:tcW w:w="2551" w:type="dxa"/>
            <w:vAlign w:val="center"/>
          </w:tcPr>
          <w:p>
            <w:pPr>
              <w:pStyle w:val="单元格样式4"/>
            </w:pPr>
          </w:p>
        </w:tc>
        <w:tc>
          <w:tcPr>
            <w:tcW w:w="2551" w:type="dxa"/>
            <w:vAlign w:val="center"/>
          </w:tcPr>
          <w:p>
            <w:pPr>
              <w:pStyle w:val="单元格样式4"/>
            </w:pPr>
            <w:r>
              <w:t xml:space="preserve">4.92</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0.59</w:t>
            </w:r>
          </w:p>
        </w:tc>
        <w:tc>
          <w:tcPr>
            <w:tcW w:w="2551" w:type="dxa"/>
            <w:vAlign w:val="center"/>
          </w:tcPr>
          <w:p>
            <w:pPr>
              <w:pStyle w:val="单元格样式4"/>
            </w:pPr>
          </w:p>
        </w:tc>
        <w:tc>
          <w:tcPr>
            <w:tcW w:w="2551" w:type="dxa"/>
            <w:vAlign w:val="center"/>
          </w:tcPr>
          <w:p>
            <w:pPr>
              <w:pStyle w:val="单元格样式4"/>
            </w:pPr>
            <w:r>
              <w:t xml:space="preserve">0.59</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14.37</w:t>
            </w:r>
          </w:p>
        </w:tc>
        <w:tc>
          <w:tcPr>
            <w:tcW w:w="2551" w:type="dxa"/>
            <w:vAlign w:val="center"/>
          </w:tcPr>
          <w:p>
            <w:pPr>
              <w:pStyle w:val="单元格样式4"/>
            </w:pPr>
            <w:r>
              <w:t xml:space="preserve">14.37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14.32</w:t>
            </w:r>
          </w:p>
        </w:tc>
        <w:tc>
          <w:tcPr>
            <w:tcW w:w="2551" w:type="dxa"/>
            <w:vAlign w:val="center"/>
          </w:tcPr>
          <w:p>
            <w:pPr>
              <w:pStyle w:val="单元格样式4"/>
            </w:pPr>
            <w:r>
              <w:t xml:space="preserve">14.32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0.05</w:t>
            </w:r>
          </w:p>
        </w:tc>
        <w:tc>
          <w:tcPr>
            <w:tcW w:w="2551" w:type="dxa"/>
            <w:vAlign w:val="center"/>
          </w:tcPr>
          <w:p>
            <w:pPr>
              <w:pStyle w:val="单元格样式4"/>
            </w:pPr>
            <w:r>
              <w:t xml:space="preserve">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注：无财政拨款“三公”经费支出表预算，空表列示。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中共石家庄市鹿泉区委网络安全和信息化委员会办公室本级2024年单位预算信息公开情况说明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按照《中华人民共和国预算法》、《地方预决算公开操作规程》和《关于进一步推进预算公开工作的实施意见》规定，现将中共石家庄市鹿泉区委网络安全和信息化委员会办公室本级2024年单位预算公开如下：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pStyle w:val="插入文本样式-插入单位职责文件"/>
      </w:pPr>
      <w:r>
        <w:t xml:space="preserve">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pStyle w:val="插入文本样式-插入单位职责文件"/>
      </w:pPr>
      <w:r>
        <w:t xml:space="preserve">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pPr>
        <w:pStyle w:val="插入文本样式-插入单位职责文件"/>
      </w:pPr>
      <w:r>
        <w:t xml:space="preserve">督促落实涉及政治、经济、文化、社会、生态及军事等各个领域的网络安全和信息化重大事项；负责协调处理网络安全和信息化重大突发事件与有关应急工作。</w:t>
      </w:r>
    </w:p>
    <w:p>
      <w:pPr>
        <w:pStyle w:val="插入文本样式-插入单位职责文件"/>
      </w:pPr>
      <w:r>
        <w:t xml:space="preserve">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pPr>
        <w:pStyle w:val="插入文本样式-插入单位职责文件"/>
      </w:pPr>
      <w:r>
        <w:t xml:space="preserve">负责指导协调全区网络舆情信息工作。手机、分析、研判、报送和处置网络舆情信息，依法规范舆情服务市场。</w:t>
      </w:r>
    </w:p>
    <w:p>
      <w:pPr>
        <w:pStyle w:val="插入文本样式-插入单位职责文件"/>
      </w:pPr>
      <w:r>
        <w:t xml:space="preserve">推动全区网络阵地建设和重点新闻网站规划建设。指导协调网络游戏、网络视听、网络出版等相关业务；推动移动互联网发展，会同有关部门推动传统媒体与新兴媒体融合发展；负责全区网站转载新闻稿源的管理。</w:t>
      </w:r>
    </w:p>
    <w:p>
      <w:pPr>
        <w:pStyle w:val="插入文本样式-插入单位职责文件"/>
      </w:pPr>
      <w:r>
        <w:t xml:space="preserve">协调推动全区网络社会工作和网络文化、网络文明建设；发展、联系、服务网络社会组织，指导互联网行业自律和网站党建工作。</w:t>
      </w:r>
    </w:p>
    <w:p>
      <w:pPr>
        <w:pStyle w:val="插入文本样式-插入单位职责文件"/>
      </w:pPr>
      <w:r>
        <w:t xml:space="preserve">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pStyle w:val="插入文本样式-插入单位职责文件"/>
      </w:pPr>
      <w:r>
        <w:t xml:space="preserve">指导网络金融信息服务业务，负责网络金融信息服务市场监管，协调金融监管部门建立全区网络金融信息发布、传播监管制度及工作机制。</w:t>
      </w:r>
    </w:p>
    <w:p>
      <w:pPr>
        <w:pStyle w:val="插入文本样式-插入单位职责文件"/>
      </w:pPr>
      <w:r>
        <w:t xml:space="preserve">拟订网络安全和信息化干部人才队伍发展规划，负责网信系统干部教育培训和人才队伍建设，指导全区互联网新闻嘻嘻服务从业人员教育培训和考评工作，组织开展网络媒介素养教育。</w:t>
      </w:r>
    </w:p>
    <w:p>
      <w:pPr>
        <w:pStyle w:val="插入文本样式-插入单位职责文件"/>
      </w:pPr>
      <w:r>
        <w:t xml:space="preserve">组织开展相关领域对外交流与合作。</w:t>
      </w:r>
    </w:p>
    <w:p>
      <w:pPr>
        <w:pStyle w:val="插入文本样式-插入单位职责文件"/>
      </w:pPr>
      <w:r>
        <w:t xml:space="preserve">指导全区有关部门及单位网络安全和信息化工作。</w:t>
      </w:r>
    </w:p>
    <w:p>
      <w:pPr>
        <w:pStyle w:val="插入文本样式-插入单位职责文件"/>
      </w:pPr>
      <w:r>
        <w:t xml:space="preserve">完成市委网络安全和信息化委员会办公室（市互联网信息办公室）和区委、区政府及区委网络安全和信息化委员会、区委宣传部交办的其他事项。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中共石家庄市鹿泉区委网络安全和信息化委员会办公室本级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423.06万元，其中：一般公共预算收入423.06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石家庄市鹿泉区委网络安全和信息化委员会办公室本级年度单位预算中支出预算的总体情况。2024年支出预算423.06万元，其中基本支出271.63万元，包括人员经费233.32万元和日常公用经费38.30万元；项目支出151.43万元，主要为舆情中心运行费、网络安全技术支持项目、网络文明建设服务项目、舆情监测直报项目、网络重点平台宣传项目、涉军岗位等项目资金。</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2024年预算收支安排423.06万元，较2023年预算增加37.50万元，其中：基本支出增加16.17万元，主要为2024年有入职人员。项目支出增加21.33万元，主要为我单位项目有新增内容</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2024年，我单位机关运行经费共计安排38.30万元，主要用于日常维修、办公用房水电费、办公用房取暖费、办公用房物业管理费等日常运行支出。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公务接待费0.00万元。“三公”经费与2023年持平，无增减变化。</w:t>
      </w: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1、2024年涉军岗位工资绩效目标表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13011024P003228100103</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2024年涉军岗位工资</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实现公益岗托管安置就业</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1.目标内容：为我单位2名涉军公益岗位按时足额发放工资，涉军人员岗位工资3400，取暖补贴2200</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涉军公益岗人数</w:t>
            </w:r>
          </w:p>
        </w:tc>
        <w:tc>
          <w:tcPr>
            <w:tcW w:w="5386" w:type="dxa"/>
            <w:hMerge w:val="restart"/>
            <w:vAlign w:val="center"/>
          </w:tcPr>
          <w:p>
            <w:pPr>
              <w:pStyle w:val="单元格样式2"/>
            </w:pPr>
            <w:r>
              <w:t xml:space="preserve">涉军公益岗人数</w:t>
            </w:r>
          </w:p>
        </w:tc>
        <w:tc>
          <w:tcPr>
            <w:tcW w:w="0" w:type="auto"/>
            <w:hMerge/>
            <w:vAlign w:val="center"/>
          </w:tcPr>
          <w:p>
            <w:pPr/>
          </w:p>
        </w:tc>
        <w:tc>
          <w:tcPr>
            <w:tcW w:w="2268" w:type="dxa"/>
            <w:vAlign w:val="center"/>
          </w:tcPr>
          <w:p>
            <w:pPr>
              <w:pStyle w:val="单元格样式2"/>
            </w:pPr>
            <w:r>
              <w:t xml:space="preserve">2名</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公益性岗位补贴发放准确率</w:t>
            </w:r>
          </w:p>
        </w:tc>
        <w:tc>
          <w:tcPr>
            <w:tcW w:w="5386" w:type="dxa"/>
            <w:hMerge w:val="restart"/>
            <w:vAlign w:val="center"/>
          </w:tcPr>
          <w:p>
            <w:pPr>
              <w:pStyle w:val="单元格样式2"/>
            </w:pPr>
            <w:r>
              <w:t xml:space="preserve">公益性岗位补贴发放准确率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涉军岗位工资及时发放率</w:t>
            </w:r>
          </w:p>
        </w:tc>
        <w:tc>
          <w:tcPr>
            <w:tcW w:w="5386" w:type="dxa"/>
            <w:hMerge w:val="restart"/>
            <w:vAlign w:val="center"/>
          </w:tcPr>
          <w:p>
            <w:pPr>
              <w:pStyle w:val="单元格样式2"/>
            </w:pPr>
            <w:r>
              <w:t xml:space="preserve">涉军岗位工资及时发放率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涉军岗位取暖费</w:t>
            </w:r>
          </w:p>
        </w:tc>
        <w:tc>
          <w:tcPr>
            <w:tcW w:w="5386" w:type="dxa"/>
            <w:hMerge w:val="restart"/>
            <w:vAlign w:val="center"/>
          </w:tcPr>
          <w:p>
            <w:pPr>
              <w:pStyle w:val="单元格样式2"/>
            </w:pPr>
            <w:r>
              <w:t xml:space="preserve">涉军岗位取暖费</w:t>
            </w:r>
          </w:p>
        </w:tc>
        <w:tc>
          <w:tcPr>
            <w:tcW w:w="0" w:type="auto"/>
            <w:hMerge/>
            <w:vAlign w:val="center"/>
          </w:tcPr>
          <w:p>
            <w:pPr/>
          </w:p>
        </w:tc>
        <w:tc>
          <w:tcPr>
            <w:tcW w:w="2268" w:type="dxa"/>
            <w:vAlign w:val="center"/>
          </w:tcPr>
          <w:p>
            <w:pPr>
              <w:pStyle w:val="单元格样式2"/>
            </w:pPr>
            <w:r>
              <w:t xml:space="preserve">2200元</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涉军公益岗人员工资</w:t>
            </w:r>
          </w:p>
        </w:tc>
        <w:tc>
          <w:tcPr>
            <w:tcW w:w="5386" w:type="dxa"/>
            <w:hMerge w:val="restart"/>
            <w:vAlign w:val="center"/>
          </w:tcPr>
          <w:p>
            <w:pPr>
              <w:pStyle w:val="单元格样式2"/>
            </w:pPr>
            <w:r>
              <w:t xml:space="preserve">涉军公益岗人员工资</w:t>
            </w:r>
          </w:p>
        </w:tc>
        <w:tc>
          <w:tcPr>
            <w:tcW w:w="0" w:type="auto"/>
            <w:hMerge/>
            <w:vAlign w:val="center"/>
          </w:tcPr>
          <w:p>
            <w:pPr/>
          </w:p>
        </w:tc>
        <w:tc>
          <w:tcPr>
            <w:tcW w:w="2268" w:type="dxa"/>
            <w:vAlign w:val="center"/>
          </w:tcPr>
          <w:p>
            <w:pPr>
              <w:pStyle w:val="单元格样式2"/>
            </w:pPr>
            <w:r>
              <w:t xml:space="preserve">3400元</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托管安置人数</w:t>
            </w:r>
          </w:p>
        </w:tc>
        <w:tc>
          <w:tcPr>
            <w:tcW w:w="5386" w:type="dxa"/>
            <w:hMerge w:val="restart"/>
            <w:vAlign w:val="center"/>
          </w:tcPr>
          <w:p>
            <w:pPr>
              <w:pStyle w:val="单元格样式2"/>
            </w:pPr>
            <w:r>
              <w:t xml:space="preserve">公益岗托管安置人数</w:t>
            </w:r>
          </w:p>
        </w:tc>
        <w:tc>
          <w:tcPr>
            <w:tcW w:w="0" w:type="auto"/>
            <w:hMerge/>
            <w:vAlign w:val="center"/>
          </w:tcPr>
          <w:p>
            <w:pPr/>
          </w:p>
        </w:tc>
        <w:tc>
          <w:tcPr>
            <w:tcW w:w="2268" w:type="dxa"/>
            <w:vAlign w:val="center"/>
          </w:tcPr>
          <w:p>
            <w:pPr>
              <w:pStyle w:val="单元格样式2"/>
            </w:pPr>
            <w:r>
              <w:t xml:space="preserve">2名</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涉军岗位人员满意度</w:t>
            </w:r>
          </w:p>
        </w:tc>
        <w:tc>
          <w:tcPr>
            <w:tcW w:w="5386" w:type="dxa"/>
            <w:hMerge w:val="restart"/>
            <w:vAlign w:val="center"/>
          </w:tcPr>
          <w:p>
            <w:pPr>
              <w:pStyle w:val="单元格样式2"/>
            </w:pPr>
            <w:r>
              <w:t xml:space="preserve">涉军岗位人员满意度</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2、2024年网络安全技术支持项目绩效目标表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13011024P003228100155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2024年网络安全技术支持项目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对全区网络安全进行宣传和技术支持</w:t>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1.目标内容：进行网络安全宣传周不少于5次、网络安全应急演练等活动；同时负责监测全区21个官方网站、系统、APP、终端等网络安全的技术服务，所需项目经费共计25万</w:t>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组织开展网络宣传周等活动次数</w:t>
            </w:r>
          </w:p>
        </w:tc>
        <w:tc>
          <w:tcPr>
            <w:tcW w:w="5386" w:type="dxa"/>
            <w:hMerge w:val="restart"/>
            <w:vAlign w:val="center"/>
          </w:tcPr>
          <w:p>
            <w:pPr>
              <w:pStyle w:val="单元格样式2"/>
            </w:pPr>
            <w:r>
              <w:t xml:space="preserve">组织开展网络宣传周等活动次数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网络安全技术监测工作完成率</w:t>
            </w:r>
          </w:p>
        </w:tc>
        <w:tc>
          <w:tcPr>
            <w:tcW w:w="5386" w:type="dxa"/>
            <w:hMerge w:val="restart"/>
            <w:vAlign w:val="center"/>
          </w:tcPr>
          <w:p>
            <w:pPr>
              <w:pStyle w:val="单元格样式2"/>
            </w:pPr>
            <w:r>
              <w:t xml:space="preserve">网络安全技术监测工作完成率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对全区21个官方网站、系统、APP、终端等监测次数</w:t>
            </w:r>
          </w:p>
        </w:tc>
        <w:tc>
          <w:tcPr>
            <w:tcW w:w="5386" w:type="dxa"/>
            <w:hMerge w:val="restart"/>
            <w:vAlign w:val="center"/>
          </w:tcPr>
          <w:p>
            <w:pPr>
              <w:pStyle w:val="单元格样式2"/>
            </w:pPr>
            <w:r>
              <w:t xml:space="preserve">对全区21个官方网站、系统、APP、终端等监测次数</w:t>
            </w:r>
          </w:p>
        </w:tc>
        <w:tc>
          <w:tcPr>
            <w:tcW w:w="0" w:type="auto"/>
            <w:hMerge/>
            <w:vAlign w:val="center"/>
          </w:tcPr>
          <w:p>
            <w:pPr/>
          </w:p>
        </w:tc>
        <w:tc>
          <w:tcPr>
            <w:tcW w:w="2268" w:type="dxa"/>
            <w:vAlign w:val="center"/>
          </w:tcPr>
          <w:p>
            <w:pPr>
              <w:pStyle w:val="单元格样式2"/>
            </w:pPr>
            <w:r>
              <w:t xml:space="preserve">对所有监测站点实行7*24小时监测</w:t>
            </w:r>
          </w:p>
        </w:tc>
        <w:tc>
          <w:tcPr>
            <w:tcW w:w="1276" w:type="dxa"/>
            <w:vAlign w:val="center"/>
          </w:tcPr>
          <w:p>
            <w:pPr>
              <w:pStyle w:val="单元格样式2"/>
            </w:pPr>
            <w:r>
              <w:t xml:space="preserve">历史指标</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网络安全技术支持成本</w:t>
            </w:r>
          </w:p>
        </w:tc>
        <w:tc>
          <w:tcPr>
            <w:tcW w:w="5386" w:type="dxa"/>
            <w:hMerge w:val="restart"/>
            <w:vAlign w:val="center"/>
          </w:tcPr>
          <w:p>
            <w:pPr>
              <w:pStyle w:val="单元格样式2"/>
            </w:pPr>
            <w:r>
              <w:t xml:space="preserve">网络安全技术支持成本</w:t>
            </w:r>
          </w:p>
        </w:tc>
        <w:tc>
          <w:tcPr>
            <w:tcW w:w="0" w:type="auto"/>
            <w:hMerge/>
            <w:vAlign w:val="center"/>
          </w:tcPr>
          <w:p>
            <w:pPr/>
          </w:p>
        </w:tc>
        <w:tc>
          <w:tcPr>
            <w:tcW w:w="2268" w:type="dxa"/>
            <w:vAlign w:val="center"/>
          </w:tcPr>
          <w:p>
            <w:pPr>
              <w:pStyle w:val="单元格样式2"/>
            </w:pPr>
            <w:r>
              <w:t xml:space="preserve">≤25万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hMerge w:val="restart"/>
            <w:vAlign w:val="center"/>
          </w:tcPr>
          <w:p>
            <w:pPr>
              <w:pStyle w:val="单元格样式2"/>
            </w:pPr>
            <w:r>
              <w:t xml:space="preserve">对全区网络安全进行宣传和技术支持</w:t>
            </w:r>
          </w:p>
        </w:tc>
        <w:tc>
          <w:tcPr>
            <w:tcW w:w="0" w:type="auto"/>
            <w:hMerge/>
            <w:vAlign w:val="center"/>
          </w:tcPr>
          <w:p>
            <w:pPr/>
          </w:p>
        </w:tc>
        <w:tc>
          <w:tcPr>
            <w:tcW w:w="2268" w:type="dxa"/>
            <w:vAlign w:val="center"/>
          </w:tcPr>
          <w:p>
            <w:pPr>
              <w:pStyle w:val="单元格样式2"/>
            </w:pPr>
            <w:r>
              <w:t xml:space="preserve">做好全区网络安全进行宣传和技术支持</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3、2024年网络文明建设服务项目绩效目标表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13011024P00322810013X</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2024年网络文明建设服务项目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增强全民网络文明意识，积极组织开展有关网络文明正能量的线上、线下的宣传活动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根据省市安排，积极组织开展有关网络文明正能量的线上、线下的宣传活动不少于5次；依托网络文明素养基地开展“魅力鹿泉e路同行”网络主题宣传活动不少于3次，谋划推动商业平台互动宣传和优秀新媒体作品征集展示活动（抖音、头条），加大全区网络正能量宣传。所需资金30</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组织开展网络主题宣传活动次数</w:t>
            </w:r>
          </w:p>
        </w:tc>
        <w:tc>
          <w:tcPr>
            <w:tcW w:w="5386" w:type="dxa"/>
            <w:hMerge w:val="restart"/>
            <w:vAlign w:val="center"/>
          </w:tcPr>
          <w:p>
            <w:pPr>
              <w:pStyle w:val="单元格样式2"/>
            </w:pPr>
            <w:r>
              <w:t xml:space="preserve">组织开展网络主题宣传活动次数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正能量宣传活动开展次数</w:t>
            </w:r>
          </w:p>
        </w:tc>
        <w:tc>
          <w:tcPr>
            <w:tcW w:w="5386" w:type="dxa"/>
            <w:hMerge w:val="restart"/>
            <w:vAlign w:val="center"/>
          </w:tcPr>
          <w:p>
            <w:pPr>
              <w:pStyle w:val="单元格样式2"/>
            </w:pPr>
            <w:r>
              <w:t xml:space="preserve">正能量宣传活动开展次数</w:t>
            </w:r>
          </w:p>
        </w:tc>
        <w:tc>
          <w:tcPr>
            <w:tcW w:w="0" w:type="auto"/>
            <w:hMerge/>
            <w:vAlign w:val="center"/>
          </w:tcPr>
          <w:p>
            <w:pP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开展宣传活动次数完成率</w:t>
            </w:r>
          </w:p>
        </w:tc>
        <w:tc>
          <w:tcPr>
            <w:tcW w:w="5386" w:type="dxa"/>
            <w:hMerge w:val="restart"/>
            <w:vAlign w:val="center"/>
          </w:tcPr>
          <w:p>
            <w:pPr>
              <w:pStyle w:val="单元格样式2"/>
            </w:pPr>
            <w:r>
              <w:t xml:space="preserve">开展宣传活动次数完成率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网络文明建设服务成本</w:t>
            </w:r>
          </w:p>
        </w:tc>
        <w:tc>
          <w:tcPr>
            <w:tcW w:w="5386" w:type="dxa"/>
            <w:hMerge w:val="restart"/>
            <w:vAlign w:val="center"/>
          </w:tcPr>
          <w:p>
            <w:pPr>
              <w:pStyle w:val="单元格样式2"/>
            </w:pPr>
            <w:r>
              <w:t xml:space="preserve">网络文明建设服务成本</w:t>
            </w:r>
          </w:p>
        </w:tc>
        <w:tc>
          <w:tcPr>
            <w:tcW w:w="0" w:type="auto"/>
            <w:hMerge/>
            <w:vAlign w:val="center"/>
          </w:tcPr>
          <w:p>
            <w:pPr/>
          </w:p>
        </w:tc>
        <w:tc>
          <w:tcPr>
            <w:tcW w:w="2268" w:type="dxa"/>
            <w:vAlign w:val="center"/>
          </w:tcPr>
          <w:p>
            <w:pPr>
              <w:pStyle w:val="单元格样式2"/>
            </w:pPr>
            <w:r>
              <w:t xml:space="preserve">≤30万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增强全民网络文明意识</w:t>
            </w:r>
          </w:p>
        </w:tc>
        <w:tc>
          <w:tcPr>
            <w:tcW w:w="5386" w:type="dxa"/>
            <w:hMerge w:val="restart"/>
            <w:vAlign w:val="center"/>
          </w:tcPr>
          <w:p>
            <w:pPr>
              <w:pStyle w:val="单元格样式2"/>
            </w:pPr>
            <w:r>
              <w:t xml:space="preserve">增强全民网络文明意识</w:t>
            </w:r>
          </w:p>
        </w:tc>
        <w:tc>
          <w:tcPr>
            <w:tcW w:w="0" w:type="auto"/>
            <w:hMerge/>
            <w:vAlign w:val="center"/>
          </w:tcPr>
          <w:p>
            <w:pPr/>
          </w:p>
        </w:tc>
        <w:tc>
          <w:tcPr>
            <w:tcW w:w="2268" w:type="dxa"/>
            <w:vAlign w:val="center"/>
          </w:tcPr>
          <w:p>
            <w:pPr>
              <w:pStyle w:val="单元格样式2"/>
            </w:pPr>
            <w:r>
              <w:t xml:space="preserve">增强全民网络文明意识</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网络使用人员满意度</w:t>
            </w:r>
          </w:p>
        </w:tc>
        <w:tc>
          <w:tcPr>
            <w:tcW w:w="5386" w:type="dxa"/>
            <w:hMerge w:val="restart"/>
            <w:vAlign w:val="center"/>
          </w:tcPr>
          <w:p>
            <w:pPr>
              <w:pStyle w:val="单元格样式2"/>
            </w:pPr>
            <w:r>
              <w:t xml:space="preserve">网络使用人员满意度</w:t>
            </w:r>
          </w:p>
        </w:tc>
        <w:tc>
          <w:tcPr>
            <w:tcW w:w="0" w:type="auto"/>
            <w:hMerge/>
            <w:vAlign w:val="center"/>
          </w:tcPr>
          <w:p>
            <w:pPr/>
          </w:p>
        </w:tc>
        <w:tc>
          <w:tcPr>
            <w:tcW w:w="2268" w:type="dxa"/>
            <w:vAlign w:val="center"/>
          </w:tcPr>
          <w:p>
            <w:pPr>
              <w:pStyle w:val="单元格样式2"/>
            </w:pPr>
            <w:r>
              <w:t xml:space="preserve">≥85%</w:t>
            </w:r>
          </w:p>
        </w:tc>
        <w:tc>
          <w:tcPr>
            <w:tcW w:w="1276" w:type="dxa"/>
            <w:vAlign w:val="center"/>
          </w:tcPr>
          <w:p>
            <w:pPr>
              <w:pStyle w:val="单元格样式2"/>
            </w:pPr>
            <w:r>
              <w:t xml:space="preserve">历史指标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4、2024年网络舆情监测直报项目绩效目标表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13011024P00322810012A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2024年网络舆情监测直报项目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省直报辅助推送服务，对重点事件进行专题监测</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1.目标内容：对政治类信息举报进行重点监测，提供省直报数量不少于8000条，同时配合石家庄市舆情监测并进行推送等技术服务，并做好网信办视频会议室信息技术维护工作。舆情监测直报费用25万。</w:t>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提供省直报数量</w:t>
            </w:r>
          </w:p>
        </w:tc>
        <w:tc>
          <w:tcPr>
            <w:tcW w:w="5386" w:type="dxa"/>
            <w:hMerge w:val="restart"/>
            <w:vAlign w:val="center"/>
          </w:tcPr>
          <w:p>
            <w:pPr>
              <w:pStyle w:val="单元格样式2"/>
            </w:pPr>
            <w:r>
              <w:t xml:space="preserve">提供省直报数量</w:t>
            </w:r>
          </w:p>
        </w:tc>
        <w:tc>
          <w:tcPr>
            <w:tcW w:w="0" w:type="auto"/>
            <w:hMerge/>
            <w:vAlign w:val="center"/>
          </w:tcPr>
          <w:p>
            <w:pPr/>
          </w:p>
        </w:tc>
        <w:tc>
          <w:tcPr>
            <w:tcW w:w="2268" w:type="dxa"/>
            <w:vAlign w:val="center"/>
          </w:tcPr>
          <w:p>
            <w:pPr>
              <w:pStyle w:val="单元格样式2"/>
            </w:pPr>
            <w:r>
              <w:t xml:space="preserve">≥8000条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hMerge w:val="restart"/>
            <w:vAlign w:val="center"/>
          </w:tcPr>
          <w:p>
            <w:pPr>
              <w:pStyle w:val="单元格样式2"/>
            </w:pPr>
            <w:r>
              <w:t xml:space="preserve">涉稳舆情处置率</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报送舆情时间按时完成率</w:t>
            </w:r>
          </w:p>
        </w:tc>
        <w:tc>
          <w:tcPr>
            <w:tcW w:w="5386" w:type="dxa"/>
            <w:hMerge w:val="restart"/>
            <w:vAlign w:val="center"/>
          </w:tcPr>
          <w:p>
            <w:pPr>
              <w:pStyle w:val="单元格样式2"/>
            </w:pPr>
            <w:r>
              <w:t xml:space="preserve">报送舆情时间按时完成率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舆情监测直报成本</w:t>
            </w:r>
          </w:p>
        </w:tc>
        <w:tc>
          <w:tcPr>
            <w:tcW w:w="5386" w:type="dxa"/>
            <w:hMerge w:val="restart"/>
            <w:vAlign w:val="center"/>
          </w:tcPr>
          <w:p>
            <w:pPr>
              <w:pStyle w:val="单元格样式2"/>
            </w:pPr>
            <w:r>
              <w:t xml:space="preserve">舆情监测直报成本</w:t>
            </w:r>
          </w:p>
        </w:tc>
        <w:tc>
          <w:tcPr>
            <w:tcW w:w="0" w:type="auto"/>
            <w:hMerge/>
            <w:vAlign w:val="center"/>
          </w:tcPr>
          <w:p>
            <w:pP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网络安全稳定运行</w:t>
            </w:r>
          </w:p>
        </w:tc>
        <w:tc>
          <w:tcPr>
            <w:tcW w:w="5386" w:type="dxa"/>
            <w:hMerge w:val="restart"/>
            <w:vAlign w:val="center"/>
          </w:tcPr>
          <w:p>
            <w:pPr>
              <w:pStyle w:val="单元格样式2"/>
            </w:pPr>
            <w:r>
              <w:t xml:space="preserve">网络安全稳定运行</w:t>
            </w:r>
          </w:p>
        </w:tc>
        <w:tc>
          <w:tcPr>
            <w:tcW w:w="0" w:type="auto"/>
            <w:hMerge/>
            <w:vAlign w:val="center"/>
          </w:tcPr>
          <w:p>
            <w:pPr/>
          </w:p>
        </w:tc>
        <w:tc>
          <w:tcPr>
            <w:tcW w:w="2268" w:type="dxa"/>
            <w:vAlign w:val="center"/>
          </w:tcPr>
          <w:p>
            <w:pPr>
              <w:pStyle w:val="单元格样式2"/>
            </w:pPr>
            <w:r>
              <w:t xml:space="preserve">网络安全</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使用单位成员满意度</w:t>
            </w:r>
          </w:p>
        </w:tc>
        <w:tc>
          <w:tcPr>
            <w:tcW w:w="5386" w:type="dxa"/>
            <w:hMerge w:val="restart"/>
            <w:vAlign w:val="center"/>
          </w:tcPr>
          <w:p>
            <w:pPr>
              <w:pStyle w:val="单元格样式2"/>
            </w:pPr>
            <w:r>
              <w:t xml:space="preserve">使用单位成员满意度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5、2024年网络重点平台宣传项目绩效目标表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13011024P00322810011N</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2024年网络重点平台宣传项目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定期对鹿泉区内政务新媒体从业人员进行专题培训、专题培训次数不少于4次，在重点平台设置开屏广告</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为提升鹿泉网络宣传效果，充分发挥新媒体传播速度快、覆盖范围广的优势，定期对鹿泉区内政务新媒体从业人员进行专题培训、专题培训次数不少于4次，在重点平台设置开屏广告，投放广告开屏数量不少于5个，建立宣传矩阵。所需资金30万</w:t>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专题培训次数</w:t>
            </w:r>
          </w:p>
        </w:tc>
        <w:tc>
          <w:tcPr>
            <w:tcW w:w="5386" w:type="dxa"/>
            <w:hMerge w:val="restart"/>
            <w:vAlign w:val="center"/>
          </w:tcPr>
          <w:p>
            <w:pPr>
              <w:pStyle w:val="单元格样式2"/>
            </w:pPr>
            <w:r>
              <w:t xml:space="preserve">专题培训次数</w:t>
            </w:r>
          </w:p>
        </w:tc>
        <w:tc>
          <w:tcPr>
            <w:tcW w:w="0" w:type="auto"/>
            <w:hMerge/>
            <w:vAlign w:val="center"/>
          </w:tcPr>
          <w:p>
            <w:pPr/>
          </w:p>
        </w:tc>
        <w:tc>
          <w:tcPr>
            <w:tcW w:w="2268" w:type="dxa"/>
            <w:vAlign w:val="center"/>
          </w:tcPr>
          <w:p>
            <w:pPr>
              <w:pStyle w:val="单元格样式2"/>
            </w:pPr>
            <w:r>
              <w:t xml:space="preserve">≥4次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投放广告开屏数量</w:t>
            </w:r>
          </w:p>
        </w:tc>
        <w:tc>
          <w:tcPr>
            <w:tcW w:w="5386" w:type="dxa"/>
            <w:hMerge w:val="restart"/>
            <w:vAlign w:val="center"/>
          </w:tcPr>
          <w:p>
            <w:pPr>
              <w:pStyle w:val="单元格样式2"/>
            </w:pPr>
            <w:r>
              <w:t xml:space="preserve">投放广告开屏数量</w:t>
            </w:r>
          </w:p>
        </w:tc>
        <w:tc>
          <w:tcPr>
            <w:tcW w:w="0" w:type="auto"/>
            <w:hMerge/>
            <w:vAlign w:val="center"/>
          </w:tcPr>
          <w:p>
            <w:pPr/>
          </w:p>
        </w:tc>
        <w:tc>
          <w:tcPr>
            <w:tcW w:w="2268" w:type="dxa"/>
            <w:vAlign w:val="center"/>
          </w:tcPr>
          <w:p>
            <w:pPr>
              <w:pStyle w:val="单元格样式2"/>
            </w:pPr>
            <w:r>
              <w:t xml:space="preserve">≥5个</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网络宣传工作完成率</w:t>
            </w:r>
          </w:p>
        </w:tc>
        <w:tc>
          <w:tcPr>
            <w:tcW w:w="5386" w:type="dxa"/>
            <w:hMerge w:val="restart"/>
            <w:vAlign w:val="center"/>
          </w:tcPr>
          <w:p>
            <w:pPr>
              <w:pStyle w:val="单元格样式2"/>
            </w:pPr>
            <w:r>
              <w:t xml:space="preserve">网络宣传工作完成率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平台宣传数量成本</w:t>
            </w:r>
          </w:p>
        </w:tc>
        <w:tc>
          <w:tcPr>
            <w:tcW w:w="5386" w:type="dxa"/>
            <w:hMerge w:val="restart"/>
            <w:vAlign w:val="center"/>
          </w:tcPr>
          <w:p>
            <w:pPr>
              <w:pStyle w:val="单元格样式2"/>
            </w:pPr>
            <w:r>
              <w:t xml:space="preserve">平台宣传数量成本</w:t>
            </w:r>
          </w:p>
        </w:tc>
        <w:tc>
          <w:tcPr>
            <w:tcW w:w="0" w:type="auto"/>
            <w:hMerge/>
            <w:vAlign w:val="center"/>
          </w:tcPr>
          <w:p>
            <w:pPr/>
          </w:p>
        </w:tc>
        <w:tc>
          <w:tcPr>
            <w:tcW w:w="2268" w:type="dxa"/>
            <w:vAlign w:val="center"/>
          </w:tcPr>
          <w:p>
            <w:pPr>
              <w:pStyle w:val="单元格样式2"/>
            </w:pPr>
            <w:r>
              <w:t xml:space="preserve">≤30万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hMerge w:val="restart"/>
            <w:vAlign w:val="center"/>
          </w:tcPr>
          <w:p>
            <w:pPr>
              <w:pStyle w:val="单元格样式2"/>
            </w:pPr>
            <w:r>
              <w:t xml:space="preserve">有效引导网上舆论，树立我区正面形象</w:t>
            </w:r>
          </w:p>
        </w:tc>
        <w:tc>
          <w:tcPr>
            <w:tcW w:w="0" w:type="auto"/>
            <w:hMerge/>
            <w:vAlign w:val="center"/>
          </w:tcPr>
          <w:p>
            <w:pPr/>
          </w:p>
        </w:tc>
        <w:tc>
          <w:tcPr>
            <w:tcW w:w="2268" w:type="dxa"/>
            <w:vAlign w:val="center"/>
          </w:tcPr>
          <w:p>
            <w:pPr>
              <w:pStyle w:val="单元格样式2"/>
            </w:pPr>
            <w:r>
              <w:t xml:space="preserve">做好宣传网络</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历史指标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6、2024年舆情中心运行费绩效目标表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13011024P00322810016Q</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2024年舆情中心运行费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运用监测系统，实现网络舆情监测全覆盖，确保我区网络舆情及时发现</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运用监测设备实现网络舆情全覆盖，并使用专业APP实时监测我区网上舆情信息，并在大数据筛选基础上进行人工分拣推送，舆情推送次数不少于1万条。提高精准度。同时新增图片和音视频两套监测系统。共计项目经费30万。</w:t>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报送网络舆情时间</w:t>
            </w:r>
          </w:p>
        </w:tc>
        <w:tc>
          <w:tcPr>
            <w:tcW w:w="5386" w:type="dxa"/>
            <w:hMerge w:val="restart"/>
            <w:vAlign w:val="center"/>
          </w:tcPr>
          <w:p>
            <w:pPr>
              <w:pStyle w:val="单元格样式2"/>
            </w:pPr>
            <w:r>
              <w:t xml:space="preserve">报送网络舆情时间</w:t>
            </w:r>
          </w:p>
        </w:tc>
        <w:tc>
          <w:tcPr>
            <w:tcW w:w="0" w:type="auto"/>
            <w:hMerge/>
            <w:vAlign w:val="center"/>
          </w:tcPr>
          <w:p>
            <w:pPr/>
          </w:p>
        </w:tc>
        <w:tc>
          <w:tcPr>
            <w:tcW w:w="2268" w:type="dxa"/>
            <w:vAlign w:val="center"/>
          </w:tcPr>
          <w:p>
            <w:pPr>
              <w:pStyle w:val="单元格样式2"/>
            </w:pPr>
            <w:r>
              <w:t xml:space="preserve">≤2小时</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系统维护成本</w:t>
            </w:r>
          </w:p>
        </w:tc>
        <w:tc>
          <w:tcPr>
            <w:tcW w:w="5386" w:type="dxa"/>
            <w:hMerge w:val="restart"/>
            <w:vAlign w:val="center"/>
          </w:tcPr>
          <w:p>
            <w:pPr>
              <w:pStyle w:val="单元格样式2"/>
            </w:pPr>
            <w:r>
              <w:t xml:space="preserve">系统维护成本</w:t>
            </w:r>
          </w:p>
        </w:tc>
        <w:tc>
          <w:tcPr>
            <w:tcW w:w="0" w:type="auto"/>
            <w:hMerge/>
            <w:vAlign w:val="center"/>
          </w:tcPr>
          <w:p>
            <w:pP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全网舆情推送次数</w:t>
            </w:r>
          </w:p>
        </w:tc>
        <w:tc>
          <w:tcPr>
            <w:tcW w:w="5386" w:type="dxa"/>
            <w:hMerge w:val="restart"/>
            <w:vAlign w:val="center"/>
          </w:tcPr>
          <w:p>
            <w:pPr>
              <w:pStyle w:val="单元格样式2"/>
            </w:pPr>
            <w:r>
              <w:t xml:space="preserve">全网舆情推送次数</w:t>
            </w:r>
          </w:p>
        </w:tc>
        <w:tc>
          <w:tcPr>
            <w:tcW w:w="0" w:type="auto"/>
            <w:hMerge/>
            <w:vAlign w:val="center"/>
          </w:tcPr>
          <w:p>
            <w:pPr/>
          </w:p>
        </w:tc>
        <w:tc>
          <w:tcPr>
            <w:tcW w:w="2268" w:type="dxa"/>
            <w:vAlign w:val="center"/>
          </w:tcPr>
          <w:p>
            <w:pPr>
              <w:pStyle w:val="单元格样式2"/>
            </w:pPr>
            <w:r>
              <w:t xml:space="preserve">≥10000条</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hMerge w:val="restart"/>
            <w:vAlign w:val="center"/>
          </w:tcPr>
          <w:p>
            <w:pPr>
              <w:pStyle w:val="单元格样式2"/>
            </w:pPr>
            <w:r>
              <w:t xml:space="preserve">涉稳舆情处置率</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网络安全稳定运行</w:t>
            </w:r>
          </w:p>
        </w:tc>
        <w:tc>
          <w:tcPr>
            <w:tcW w:w="5386" w:type="dxa"/>
            <w:hMerge w:val="restart"/>
            <w:vAlign w:val="center"/>
          </w:tcPr>
          <w:p>
            <w:pPr>
              <w:pStyle w:val="单元格样式2"/>
            </w:pPr>
            <w:r>
              <w:t xml:space="preserve">网络安全稳定运行</w:t>
            </w:r>
          </w:p>
        </w:tc>
        <w:tc>
          <w:tcPr>
            <w:tcW w:w="0" w:type="auto"/>
            <w:hMerge/>
            <w:vAlign w:val="center"/>
          </w:tcPr>
          <w:p>
            <w:pPr/>
          </w:p>
        </w:tc>
        <w:tc>
          <w:tcPr>
            <w:tcW w:w="2268" w:type="dxa"/>
            <w:vAlign w:val="center"/>
          </w:tcPr>
          <w:p>
            <w:pPr>
              <w:pStyle w:val="单元格样式2"/>
            </w:pPr>
            <w:r>
              <w:t xml:space="preserve">网络安全运行</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使用单位成员满意度</w:t>
            </w:r>
          </w:p>
        </w:tc>
        <w:tc>
          <w:tcPr>
            <w:tcW w:w="5386" w:type="dxa"/>
            <w:hMerge w:val="restart"/>
            <w:vAlign w:val="center"/>
          </w:tcPr>
          <w:p>
            <w:pPr>
              <w:pStyle w:val="单元格样式2"/>
            </w:pPr>
            <w:r>
              <w:t xml:space="preserve">使用单位成员满意度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rPr>
          <w:cantSplit/>
          <w:jc w:val="center"/>
        </w:trPr>
        <w:tc>
          <w:tcPr>
            <w:tcW w:w="1701" w:type="dxa"/>
            <w:vAlign w:val="center"/>
          </w:tcPr>
          <w:p>
            <w:pPr>
              <w:pStyle w:val="单元格样式6"/>
            </w:pPr>
            <w:r>
              <w:t xml:space="preserve">中共石家庄市鹿泉区委网络安全和信息化委员会办公室本级小计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rPr>
          <w:cantSplit/>
          <w:jc w:val="center"/>
        </w:trPr>
        <w:tc>
          <w:tcPr>
            <w:tcW w:w="1701" w:type="dxa"/>
            <w:vAlign w:val="center"/>
          </w:tcPr>
          <w:p>
            <w:pPr>
              <w:pStyle w:val="单元格样式2"/>
            </w:pPr>
            <w:r>
              <w:t xml:space="preserve">2024年网络文明建设服务项目</w:t>
            </w:r>
          </w:p>
        </w:tc>
        <w:tc>
          <w:tcPr>
            <w:tcW w:w="964" w:type="dxa"/>
            <w:vAlign w:val="center"/>
          </w:tcPr>
          <w:p>
            <w:pPr>
              <w:pStyle w:val="单元格样式4"/>
            </w:pPr>
            <w:r>
              <w:t xml:space="preserve">30.00</w:t>
            </w:r>
          </w:p>
        </w:tc>
        <w:tc>
          <w:tcPr>
            <w:tcW w:w="1134" w:type="dxa"/>
            <w:vAlign w:val="center"/>
          </w:tcPr>
          <w:p>
            <w:pPr>
              <w:pStyle w:val="单元格样式2"/>
            </w:pPr>
            <w:r>
              <w:t xml:space="preserve">互联网信息服务</w:t>
            </w:r>
          </w:p>
        </w:tc>
        <w:tc>
          <w:tcPr>
            <w:tcW w:w="1134" w:type="dxa"/>
            <w:vAlign w:val="center"/>
          </w:tcPr>
          <w:p>
            <w:pPr>
              <w:pStyle w:val="单元格样式2"/>
            </w:pPr>
            <w:r>
              <w:t xml:space="preserve">C17020000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30.00</w:t>
            </w:r>
          </w:p>
        </w:tc>
      </w:tr>
      <w:tr>
        <w:trPr>
          <w:cantSplit/>
          <w:jc w:val="center"/>
        </w:trPr>
        <w:tc>
          <w:tcPr>
            <w:tcW w:w="1701" w:type="dxa"/>
            <w:vAlign w:val="center"/>
          </w:tcPr>
          <w:p>
            <w:pPr>
              <w:pStyle w:val="单元格样式2"/>
            </w:pPr>
            <w:r>
              <w:t xml:space="preserve">2024年网络重点平台宣传项目</w:t>
            </w:r>
          </w:p>
        </w:tc>
        <w:tc>
          <w:tcPr>
            <w:tcW w:w="964" w:type="dxa"/>
            <w:vAlign w:val="center"/>
          </w:tcPr>
          <w:p>
            <w:pPr>
              <w:pStyle w:val="单元格样式4"/>
            </w:pPr>
            <w:r>
              <w:t xml:space="preserve">30.00</w:t>
            </w:r>
          </w:p>
        </w:tc>
        <w:tc>
          <w:tcPr>
            <w:tcW w:w="1134" w:type="dxa"/>
            <w:vAlign w:val="center"/>
          </w:tcPr>
          <w:p>
            <w:pPr>
              <w:pStyle w:val="单元格样式2"/>
            </w:pPr>
            <w:r>
              <w:t xml:space="preserve">互联网信息服务</w:t>
            </w:r>
          </w:p>
        </w:tc>
        <w:tc>
          <w:tcPr>
            <w:tcW w:w="1134" w:type="dxa"/>
            <w:vAlign w:val="center"/>
          </w:tcPr>
          <w:p>
            <w:pPr>
              <w:pStyle w:val="单元格样式2"/>
            </w:pPr>
            <w:r>
              <w:t xml:space="preserve">C17020000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中共石家庄市鹿泉区委网络安全和信息化委员会办公室本级上年末固定资产金额为12.77万元（详见下表）。本年度拟购置固定资产总额为0.00万元，已按要求列入政府采购预算，详见政府采购预算表。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224001中共石家庄市鹿泉区委网络安全和信息化委员会办公室本级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12.77</w:t>
            </w: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142</w:t>
            </w:r>
          </w:p>
        </w:tc>
        <w:tc>
          <w:tcPr>
            <w:tcW w:w="2835" w:type="dxa"/>
            <w:vAlign w:val="center"/>
          </w:tcPr>
          <w:p>
            <w:pPr>
              <w:pStyle w:val="单元格样式4"/>
            </w:pPr>
            <w:r>
              <w:t xml:space="preserve">12.77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theme" Target="theme/theme1.xml" /><Relationship Id="rId22" Type="http://schemas.openxmlformats.org/officeDocument/2006/relationships/styles" Target="styles.xml" /><Relationship Id="rId23" Type="http://schemas.openxmlformats.org/officeDocument/2006/relationships/webSettings" Target="webSettings.xml" /><Relationship Id="rId24" Type="http://schemas.openxmlformats.org/officeDocument/2006/relationships/numbering" Target="numbering.xml" /><Relationship Id="rId25"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2024-03-04T09:07:18Z</dcterms:created>
  <dcterms:modified xsi:type="dcterms:W3CDTF">2024-03-04T01:07:18Z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2024-03-04T09:07:26Z</dcterms:created>
  <dcterms:modified xsi:type="dcterms:W3CDTF">2024-03-04T01:07:26Z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2024-03-04T09:07:27Z</dcterms:created>
  <dcterms:modified xsi:type="dcterms:W3CDTF">2024-03-04T01:07:27Z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2024-03-04T09:07:27Z</dcterms:created>
  <dcterms:modified xsi:type="dcterms:W3CDTF">2024-03-04T01:07:27Z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2024-03-04T09:07:28Z</dcterms:created>
  <dcterms:modified xsi:type="dcterms:W3CDTF">2024-03-04T01:07:28Z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2024-03-04T09:07:22Z</dcterms:created>
  <dcterms:modified xsi:type="dcterms:W3CDTF">2024-03-04T01:07:22Z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2024-03-04T09:07:25Z</dcterms:created>
  <dcterms:modified xsi:type="dcterms:W3CDTF">2024-03-04T01:07:25Z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2024-03-04T09:07:25Z</dcterms:created>
  <dcterms:modified xsi:type="dcterms:W3CDTF">2024-03-04T01:07:25Z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2024-03-04T09:07:26Z</dcterms:created>
  <dcterms:modified xsi:type="dcterms:W3CDTF">2024-03-04T01:07:26Z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2024-03-04T09:07:28Z</dcterms:created>
  <dcterms:modified xsi:type="dcterms:W3CDTF">2024-03-04T01:07:31Z</dcterms:modified>
</cp:coreProperties>
</file>