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2200" w:firstLineChars="5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财政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年度“双随机、一公开”监管工作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实施方案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根据石家庄市鹿泉区“双随机、一公开”监管工作领导小组办公室《关于印发&lt;石家庄市鹿泉区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2024年度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“双随机、一公开”监管工作实施方案&gt;的通知》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，为规范执法检查行为，营造诚信、公平、有序的市场秩序，结合我局实际，特制定本方案。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一、工作目标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严格按照法律法规规章落实监管责任，强化事中事后监管。规范行政执法监督检查行为，进一步加强“双随机、一公开”监管业务培训和舆论宣传方度，规范工作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流程</w:t>
      </w:r>
      <w:r>
        <w:rPr>
          <w:rFonts w:hint="eastAsia" w:ascii="仿宋_GB2312" w:hAnsi="仿宋_GB2312" w:eastAsia="仿宋_GB2312" w:cs="仿宋_GB2312"/>
          <w:sz w:val="32"/>
          <w:szCs w:val="32"/>
        </w:rPr>
        <w:t>，提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随</w:t>
      </w:r>
      <w:r>
        <w:rPr>
          <w:rFonts w:hint="eastAsia" w:ascii="仿宋_GB2312" w:hAnsi="仿宋_GB2312" w:eastAsia="仿宋_GB2312" w:cs="仿宋_GB2312"/>
          <w:sz w:val="32"/>
          <w:szCs w:val="32"/>
        </w:rPr>
        <w:t>机、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公开”监管工作的规范化、标准化水平，确保“双随机、一公开”监管全覆盖、常态化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以抽查结果运用和共治共享为突破口，实现年度随机抽查占比不低于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%，抽查检查结果100%公示的前提下，确保抽查检查发现问题的后续监管和处理到位，惩戒到位，不断提升随机抽查的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精准性和</w:t>
      </w:r>
      <w:r>
        <w:rPr>
          <w:rFonts w:hint="eastAsia" w:ascii="仿宋_GB2312" w:hAnsi="仿宋_GB2312" w:eastAsia="仿宋_GB2312" w:cs="仿宋_GB2312"/>
          <w:sz w:val="32"/>
          <w:szCs w:val="32"/>
        </w:rPr>
        <w:t>震慑力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二、主要工作任务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(一)持续完善“一单两库”。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各相关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</w:rPr>
        <w:t>室要把适用随机抽查的监管事项纳入随机抽查事项清单中，做到“应纳尽纳”，降低基层执法人员的监管风险，动态调整检查对象名录库和执法检查人员名录库，确保检查对象和执法人员“应纳尽纳”;持续推进对检查对象和执法检查人员的分类标注，做到分类科学、标注统一，实现对检查对象的精准抽取、对执法人员的精准匹配，提升监管效能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(二)规范随机抽查工作程序。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严格按照我局年度随机抽查计划开展抽查，制定的年度计划、实施方案及抽查结果及时向社会公开。组织实施抽查检查时，业务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</w:rPr>
        <w:t>室要制定随机抽查的具体方案，明确抽查检查的方式、抽查检查的范围、随机抽查检查事项、随机抽查时间节点及有关工作要求等内容、要通过公开、公正的方式从检查对象名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录</w:t>
      </w:r>
      <w:r>
        <w:rPr>
          <w:rFonts w:hint="eastAsia" w:ascii="仿宋_GB2312" w:hAnsi="仿宋_GB2312" w:eastAsia="仿宋_GB2312" w:cs="仿宋_GB2312"/>
          <w:sz w:val="32"/>
          <w:szCs w:val="32"/>
        </w:rPr>
        <w:t>库中随机抽取检查对象，并充分考虑工作实际，随机匹配执法检查人员，科学合理地实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施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随机抽查检查。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(三)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提升监管质量和效率，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业务股</w:t>
      </w:r>
      <w:r>
        <w:rPr>
          <w:rFonts w:hint="eastAsia" w:ascii="仿宋_GB2312" w:hAnsi="仿宋_GB2312" w:eastAsia="仿宋_GB2312" w:cs="仿宋_GB2312"/>
          <w:sz w:val="32"/>
          <w:szCs w:val="32"/>
        </w:rPr>
        <w:t>室要将信用风险分类管理与“双随机、一公开”监管有机结合，对不同信用风险等级的主体，实施差异化抽查，充分体现“无事不就”“有事必查”;要充分利用信息化手段，积极探索对检查对象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检查事项实施非现场检查的方式方法，最大程度降低对益服相象的一扰，提高执法效能。同时抓好抽查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检查结果的公示与运用，加大对违法失信行为</w:t>
      </w:r>
      <w:r>
        <w:rPr>
          <w:rFonts w:hint="eastAsia" w:ascii="仿宋_GB2312" w:hAnsi="仿宋_GB2312" w:eastAsia="仿宋_GB2312" w:cs="仿宋_GB2312"/>
          <w:sz w:val="32"/>
          <w:szCs w:val="32"/>
        </w:rPr>
        <w:t>的信用惩戒力度，将其纳入主体的信用记录，实施联合惩戒，强化信用监管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(四)强化抽查结果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组织实施“双随机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一公开”监管工作，及时做好抽查结果记录，并在相关网站向社会公布，确保随机抽查过程的公平、公正、公开和规范。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三、工作要求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统一思想认识。要高度认识“双随机、一公开”工作的重要性和必要性，创造性地落实工作部署和要求，充分发挥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</w:rPr>
        <w:t>职能作用，促进公平竞争，服务经济社会发展。落实责任分工，强化过程管控，确保此项工作落到实处，抓出成效。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left="5110" w:leftChars="1824" w:hanging="1280" w:hangingChars="4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</w:t>
      </w:r>
    </w:p>
    <w:p>
      <w:pPr>
        <w:ind w:firstLine="4480" w:firstLineChars="1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石家庄市鹿泉区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</w:rPr>
        <w:t>局</w:t>
      </w: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42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E72878"/>
    <w:rsid w:val="4F184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2024-02-20T01:48:00Z</dcterms:created>
  <dc:creator>Administrator</dc:creator>
  <cp:lastModifiedBy>Administrator</cp:lastModifiedBy>
  <dcterms:modified xsi:type="dcterms:W3CDTF">2024-02-20T06:59:59Z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