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石家庄市鹿泉区红十字会</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一</w:t>
      </w:r>
      <w:r>
        <w:rPr>
          <w:rFonts w:hint="eastAsia" w:ascii="仿宋" w:hAnsi="仿宋" w:eastAsia="仿宋" w:cs="仿宋"/>
          <w:sz w:val="32"/>
          <w:szCs w:val="32"/>
        </w:rPr>
        <w:t>）开展备灾救灾的准备工作，建立完善红十字会应急救援体系，设立备灾救灾仓库，组建应急救援队并演练。开展自然灾害的救助及突发事件的应急救援，参与灾后重建。对从事备灾物资、备灾仓库管理人员进行培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）努力推进应急救护知识普及，建立红十字应急救护培训长效机制，充分发挥红十字会在公众参与的应急救护培训中的主体作用，积极推动红十字救护培训进社区、进农村、进学校、进企业、进机关。</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）致力关注民生，积极开展弱势群体帮扶，向社会大力募集资金，建立专项救助基金。面向困难群体开展符合其宗旨的人道救助工作，重点救助困难群众及患病儿童。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）认真贯彻执行《中华人民共和国红十字会法》和《中国红十字会章程》，指导全区红十字组织开展活动，推动红十字会各项工作的开展。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）加强无偿献血、造血干细胞捐献、遗体和人体器官捐献知识宣传普及和捐献工作，大力建设红十字博爱家园，不断扩大红十字影响。</w:t>
      </w:r>
    </w:p>
    <w:p>
      <w:pPr>
        <w:ind w:firstLine="640" w:firstLineChars="200"/>
        <w:rPr>
          <w:rFonts w:ascii="方正仿宋_GBK" w:hAnsi="Times New Roman" w:eastAsia="方正仿宋_GBK" w:cs="Times New Roman"/>
          <w:b/>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六</w:t>
      </w:r>
      <w:r>
        <w:rPr>
          <w:rFonts w:hint="eastAsia" w:ascii="仿宋" w:hAnsi="仿宋" w:eastAsia="仿宋" w:cs="仿宋"/>
          <w:sz w:val="32"/>
          <w:szCs w:val="32"/>
        </w:rPr>
        <w:t>）开展红十字青少年和志愿服务活动，广泛宣传</w:t>
      </w:r>
      <w:bookmarkStart w:id="2" w:name="_GoBack"/>
      <w:bookmarkEnd w:id="2"/>
      <w:r>
        <w:rPr>
          <w:rFonts w:hint="eastAsia" w:ascii="仿宋" w:hAnsi="仿宋" w:eastAsia="仿宋" w:cs="仿宋"/>
          <w:sz w:val="32"/>
          <w:szCs w:val="32"/>
          <w:lang w:eastAsia="zh-CN"/>
        </w:rPr>
        <w:t>《中华人民共和国红十字会法》</w:t>
      </w:r>
      <w:r>
        <w:rPr>
          <w:rFonts w:hint="eastAsia" w:ascii="仿宋" w:hAnsi="仿宋" w:eastAsia="仿宋" w:cs="仿宋"/>
          <w:sz w:val="32"/>
          <w:szCs w:val="32"/>
        </w:rPr>
        <w:t>，加强与国际红十字及港澳台组织在人道救援、志愿服务、红十字青少年等方面交流与合作。积极参与国际红十字运动，积极发展红十字志愿者，提升红十字会社会影响力。</w:t>
      </w:r>
    </w:p>
    <w:p>
      <w:pPr>
        <w:ind w:firstLine="640" w:firstLineChars="200"/>
        <w:rPr>
          <w:rFonts w:ascii="方正仿宋_GBK" w:hAnsi="Times New Roman" w:eastAsia="方正仿宋_GBK" w:cs="Times New Roman"/>
          <w:b/>
          <w:sz w:val="32"/>
          <w:szCs w:val="32"/>
        </w:rPr>
      </w:pPr>
      <w:r>
        <w:rPr>
          <w:rFonts w:hint="eastAsia" w:ascii="仿宋" w:hAnsi="仿宋" w:eastAsia="仿宋" w:cs="Times New Roman"/>
          <w:sz w:val="32"/>
          <w:szCs w:val="32"/>
          <w:lang w:eastAsia="zh-CN"/>
        </w:rPr>
        <w:t>石家庄市鹿泉区红十字会</w:t>
      </w:r>
      <w:r>
        <w:rPr>
          <w:rFonts w:hint="eastAsia" w:ascii="仿宋" w:hAnsi="仿宋" w:eastAsia="仿宋" w:cs="Times New Roman"/>
          <w:sz w:val="32"/>
          <w:szCs w:val="32"/>
        </w:rPr>
        <w:t>根据工作需要，设有</w:t>
      </w:r>
      <w:r>
        <w:rPr>
          <w:rFonts w:hint="eastAsia" w:ascii="仿宋" w:hAnsi="仿宋" w:eastAsia="仿宋" w:cs="Times New Roman"/>
          <w:sz w:val="32"/>
          <w:szCs w:val="32"/>
          <w:lang w:eastAsia="zh-CN"/>
        </w:rPr>
        <w:t>办公室</w:t>
      </w:r>
      <w:r>
        <w:rPr>
          <w:rFonts w:hint="eastAsia" w:ascii="仿宋" w:hAnsi="仿宋" w:eastAsia="仿宋" w:cs="Times New Roman"/>
          <w:sz w:val="32"/>
          <w:szCs w:val="32"/>
        </w:rPr>
        <w:t>等办事机构和工作机构。</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石家庄市鹿泉区红十字会</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center"/>
              <w:rPr>
                <w:rFonts w:ascii="方正书宋_GBK" w:eastAsia="方正书宋_GBK"/>
              </w:rPr>
            </w:pPr>
          </w:p>
        </w:tc>
        <w:tc>
          <w:tcPr>
            <w:tcW w:w="1276" w:type="dxa"/>
            <w:shd w:val="clear" w:color="auto" w:fill="auto"/>
            <w:vAlign w:val="center"/>
          </w:tcPr>
          <w:p>
            <w:pPr>
              <w:spacing w:line="300" w:lineRule="exact"/>
              <w:jc w:val="center"/>
              <w:rPr>
                <w:rFonts w:ascii="方正书宋_GBK" w:eastAsia="方正书宋_GBK"/>
              </w:rPr>
            </w:pPr>
          </w:p>
        </w:tc>
        <w:tc>
          <w:tcPr>
            <w:tcW w:w="3013" w:type="dxa"/>
            <w:shd w:val="clear" w:color="auto" w:fill="auto"/>
            <w:vAlign w:val="center"/>
          </w:tcPr>
          <w:p>
            <w:pPr>
              <w:spacing w:line="300" w:lineRule="exact"/>
              <w:jc w:val="center"/>
              <w:rPr>
                <w:rFonts w:ascii="方正书宋_GBK" w:eastAsia="方正书宋_GBK"/>
              </w:rPr>
            </w:pP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反映本部门当年全部收入。2019年预算收入67.15万元，其中：一般公共预算收入67.15万元，基金预算收入0万元，财政专户核拨收入0万元，其他来源收入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年度部门预算中支出预算的总体情况。2019年支出预算67.15万元，其中基本支出48.15万元，包括人员经费40.13万元和日常公用经费8.02万元；项目支出19</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67.15</w:t>
      </w:r>
      <w:r>
        <w:rPr>
          <w:rFonts w:hint="eastAsia" w:ascii="仿宋" w:hAnsi="仿宋" w:eastAsia="仿宋" w:cs="仿宋"/>
          <w:sz w:val="32"/>
          <w:szCs w:val="32"/>
        </w:rPr>
        <w:t>万元，较2018年预算</w:t>
      </w:r>
      <w:r>
        <w:rPr>
          <w:rFonts w:hint="eastAsia" w:ascii="仿宋" w:hAnsi="仿宋" w:eastAsia="仿宋" w:cs="仿宋"/>
          <w:sz w:val="32"/>
          <w:szCs w:val="32"/>
          <w:lang w:eastAsia="zh-CN"/>
        </w:rPr>
        <w:t>增加</w:t>
      </w:r>
      <w:r>
        <w:rPr>
          <w:rFonts w:hint="eastAsia" w:ascii="仿宋" w:hAnsi="仿宋" w:eastAsia="仿宋" w:cs="仿宋"/>
          <w:color w:val="0000FF"/>
          <w:sz w:val="32"/>
          <w:szCs w:val="32"/>
          <w:lang w:val="en-US" w:eastAsia="zh-CN"/>
        </w:rPr>
        <w:t>7.72</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7.72</w:t>
      </w:r>
      <w:r>
        <w:rPr>
          <w:rFonts w:hint="eastAsia" w:ascii="仿宋" w:hAnsi="仿宋" w:eastAsia="仿宋" w:cs="仿宋"/>
          <w:sz w:val="32"/>
          <w:szCs w:val="32"/>
        </w:rPr>
        <w:t>万元，主要为</w:t>
      </w:r>
      <w:r>
        <w:rPr>
          <w:rFonts w:hint="eastAsia" w:ascii="仿宋" w:hAnsi="仿宋" w:eastAsia="仿宋" w:cs="仿宋"/>
          <w:sz w:val="32"/>
          <w:szCs w:val="32"/>
          <w:lang w:eastAsia="zh-CN"/>
        </w:rPr>
        <w:t>增加</w:t>
      </w:r>
      <w:r>
        <w:rPr>
          <w:rFonts w:hint="eastAsia" w:ascii="仿宋" w:hAnsi="仿宋" w:eastAsia="仿宋" w:cs="仿宋"/>
          <w:sz w:val="32"/>
          <w:szCs w:val="32"/>
        </w:rPr>
        <w:t>人员经费支出</w:t>
      </w:r>
      <w:r>
        <w:rPr>
          <w:rFonts w:hint="eastAsia" w:ascii="仿宋" w:hAnsi="仿宋" w:eastAsia="仿宋" w:cs="仿宋"/>
          <w:sz w:val="32"/>
          <w:szCs w:val="32"/>
          <w:lang w:eastAsia="zh-CN"/>
        </w:rPr>
        <w:t>和日常公用经费支出</w:t>
      </w:r>
      <w:r>
        <w:rPr>
          <w:rFonts w:hint="eastAsia" w:ascii="仿宋" w:hAnsi="仿宋" w:eastAsia="仿宋" w:cs="仿宋"/>
          <w:sz w:val="32"/>
          <w:szCs w:val="32"/>
        </w:rPr>
        <w:t>；项目支出减少</w:t>
      </w:r>
      <w:r>
        <w:rPr>
          <w:rFonts w:hint="eastAsia" w:ascii="仿宋" w:hAnsi="仿宋" w:eastAsia="仿宋" w:cs="仿宋"/>
          <w:sz w:val="32"/>
          <w:szCs w:val="32"/>
          <w:lang w:val="en-US" w:eastAsia="zh-CN"/>
        </w:rPr>
        <w:t>6.00</w:t>
      </w:r>
      <w:r>
        <w:rPr>
          <w:rFonts w:hint="eastAsia" w:ascii="仿宋" w:hAnsi="仿宋" w:eastAsia="仿宋" w:cs="仿宋"/>
          <w:sz w:val="32"/>
          <w:szCs w:val="32"/>
        </w:rPr>
        <w:t>万元，主要为减少</w:t>
      </w:r>
      <w:r>
        <w:rPr>
          <w:rFonts w:hint="eastAsia" w:ascii="仿宋" w:hAnsi="仿宋" w:eastAsia="仿宋" w:cs="仿宋"/>
          <w:sz w:val="32"/>
          <w:szCs w:val="32"/>
          <w:lang w:eastAsia="zh-CN"/>
        </w:rPr>
        <w:t>备灾救灾物资储备</w:t>
      </w:r>
      <w:r>
        <w:rPr>
          <w:rFonts w:hint="eastAsia" w:ascii="仿宋" w:hAnsi="仿宋" w:eastAsia="仿宋" w:cs="仿宋"/>
          <w:sz w:val="32"/>
          <w:szCs w:val="32"/>
        </w:rPr>
        <w:t>资金。</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会</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8.02</w:t>
      </w:r>
      <w:r>
        <w:rPr>
          <w:rFonts w:hint="eastAsia" w:ascii="仿宋" w:hAnsi="仿宋" w:eastAsia="仿宋" w:cs="仿宋"/>
          <w:sz w:val="32"/>
          <w:szCs w:val="32"/>
        </w:rPr>
        <w:t>万元，主要用于</w:t>
      </w:r>
      <w:r>
        <w:rPr>
          <w:rFonts w:hint="eastAsia" w:ascii="仿宋" w:hAnsi="仿宋" w:eastAsia="仿宋" w:cs="仿宋"/>
          <w:sz w:val="32"/>
          <w:szCs w:val="32"/>
          <w:lang w:eastAsia="zh-CN"/>
        </w:rPr>
        <w:t>办公室</w:t>
      </w:r>
      <w:r>
        <w:rPr>
          <w:rFonts w:hint="eastAsia" w:ascii="仿宋" w:hAnsi="仿宋" w:eastAsia="仿宋" w:cs="仿宋"/>
          <w:sz w:val="32"/>
          <w:szCs w:val="32"/>
        </w:rPr>
        <w:t>的日常运行支出。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会</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2.70</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2.70</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2.70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万元。与2018年相比</w:t>
      </w:r>
      <w:r>
        <w:rPr>
          <w:rFonts w:hint="eastAsia" w:ascii="仿宋" w:hAnsi="仿宋" w:eastAsia="仿宋" w:cs="仿宋"/>
          <w:sz w:val="32"/>
          <w:szCs w:val="32"/>
          <w:lang w:eastAsia="zh-CN"/>
        </w:rPr>
        <w:t>持平</w:t>
      </w:r>
      <w:r>
        <w:rPr>
          <w:rFonts w:hint="eastAsia" w:ascii="仿宋" w:hAnsi="仿宋" w:eastAsia="仿宋" w:cs="仿宋"/>
          <w:sz w:val="32"/>
          <w:szCs w:val="32"/>
        </w:rPr>
        <w:t>。</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560"/>
        <w:rPr>
          <w:rFonts w:hint="eastAsia" w:ascii="仿宋" w:hAnsi="仿宋" w:eastAsia="仿宋" w:cs="仿宋"/>
          <w:sz w:val="32"/>
          <w:szCs w:val="32"/>
        </w:rPr>
      </w:pPr>
      <w:r>
        <w:rPr>
          <w:rFonts w:hint="eastAsia" w:ascii="仿宋" w:hAnsi="仿宋" w:eastAsia="仿宋" w:cs="仿宋"/>
          <w:sz w:val="32"/>
          <w:szCs w:val="32"/>
        </w:rPr>
        <w:t>2019年，坚持以习近平新时代中国特色社会主义思想为指导，认真落实中央和省委省政府决策部署，区红十字会总体工作思路是：以科学发展观为统领，深入学习贯彻党的十八大精神，全面贯彻落实国务院《关于促进红十字事业发展的意见》、《河北省人民政府关于加快红十字事业发展的实施意见》（冀政发〔2015〕36号）、《石家庄市人民政府办公厅关于加强红十字会工作的意见》（石政办发〔2011〕25号），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充分履行政府人道救助领域助手职责，努力推动全区红十字工作再上新台阶。</w:t>
      </w:r>
    </w:p>
    <w:p>
      <w:pPr>
        <w:ind w:firstLine="560"/>
        <w:rPr>
          <w:rFonts w:hint="eastAsia" w:ascii="仿宋" w:hAnsi="仿宋" w:eastAsia="仿宋" w:cs="仿宋"/>
          <w:sz w:val="32"/>
          <w:szCs w:val="32"/>
        </w:rPr>
      </w:pPr>
      <w:r>
        <w:rPr>
          <w:rFonts w:hint="eastAsia" w:ascii="仿宋" w:hAnsi="仿宋" w:eastAsia="仿宋" w:cs="仿宋"/>
          <w:sz w:val="32"/>
          <w:szCs w:val="32"/>
        </w:rPr>
        <w:t>1、开展备灾救灾的准备工作，建立完善红十字会应急救援体系，设立备灾救灾仓库，组建应急救援队并演练。开展自然灾害的救助及突发事件的应急救援，参与灾后重建。对从事备灾物资、备灾仓库管理人员进行培训。</w:t>
      </w:r>
    </w:p>
    <w:p>
      <w:pPr>
        <w:ind w:firstLine="560"/>
        <w:rPr>
          <w:rFonts w:hint="eastAsia" w:ascii="仿宋" w:hAnsi="仿宋" w:eastAsia="仿宋" w:cs="仿宋"/>
          <w:sz w:val="32"/>
          <w:szCs w:val="32"/>
        </w:rPr>
      </w:pPr>
      <w:r>
        <w:rPr>
          <w:rFonts w:hint="eastAsia" w:ascii="仿宋" w:hAnsi="仿宋" w:eastAsia="仿宋" w:cs="仿宋"/>
          <w:sz w:val="32"/>
          <w:szCs w:val="32"/>
        </w:rPr>
        <w:t>2、努力推进应急救护知识普及，建立红十字应急救护培训长效机制，充分发挥红十字会在公众参与的应急救护培训中的主体作用，积极推动红十字救护培训进社区、进农村、进学校、进企业、进机关。</w:t>
      </w:r>
    </w:p>
    <w:p>
      <w:pPr>
        <w:ind w:firstLine="560"/>
        <w:rPr>
          <w:rFonts w:hint="eastAsia" w:ascii="仿宋" w:hAnsi="仿宋" w:eastAsia="仿宋" w:cs="仿宋"/>
          <w:sz w:val="32"/>
          <w:szCs w:val="32"/>
        </w:rPr>
      </w:pPr>
      <w:r>
        <w:rPr>
          <w:rFonts w:hint="eastAsia" w:ascii="仿宋" w:hAnsi="仿宋" w:eastAsia="仿宋" w:cs="仿宋"/>
          <w:sz w:val="32"/>
          <w:szCs w:val="32"/>
        </w:rPr>
        <w:t>3、致力关注民生，积极开展弱势群体帮扶，向社会大力募集资金，建立专项救助基金。面向困难群体开展符合其宗旨的人道救助工作，重点救助困难群众及患病儿童。</w:t>
      </w:r>
    </w:p>
    <w:p>
      <w:pPr>
        <w:ind w:firstLine="560"/>
        <w:rPr>
          <w:rFonts w:hint="eastAsia" w:ascii="仿宋" w:hAnsi="仿宋" w:eastAsia="仿宋" w:cs="仿宋"/>
          <w:sz w:val="32"/>
          <w:szCs w:val="32"/>
        </w:rPr>
      </w:pPr>
      <w:r>
        <w:rPr>
          <w:rFonts w:hint="eastAsia" w:ascii="仿宋" w:hAnsi="仿宋" w:eastAsia="仿宋" w:cs="仿宋"/>
          <w:sz w:val="32"/>
          <w:szCs w:val="32"/>
        </w:rPr>
        <w:t>4、认真贯彻执行《中华人民共和国红十字会法》和《中国红十字会章程》，指导全区红十字组织开展活动，推动红十字会各项工作的开展。</w:t>
      </w:r>
    </w:p>
    <w:p>
      <w:pPr>
        <w:ind w:firstLine="560"/>
        <w:rPr>
          <w:rFonts w:hint="eastAsia" w:ascii="仿宋" w:hAnsi="仿宋" w:eastAsia="仿宋" w:cs="仿宋"/>
          <w:sz w:val="32"/>
          <w:szCs w:val="32"/>
        </w:rPr>
      </w:pPr>
      <w:r>
        <w:rPr>
          <w:rFonts w:hint="eastAsia" w:ascii="仿宋" w:hAnsi="仿宋" w:eastAsia="仿宋" w:cs="仿宋"/>
          <w:sz w:val="32"/>
          <w:szCs w:val="32"/>
        </w:rPr>
        <w:t>5、加强无偿献血、造血干细胞捐献、遗体和人体器官捐献知识宣传普及和捐献工作，大力建设红十字博爱家园，不断扩大红十字影响。</w:t>
      </w:r>
    </w:p>
    <w:p>
      <w:pPr>
        <w:ind w:firstLine="560"/>
        <w:rPr>
          <w:rFonts w:hint="eastAsia" w:ascii="Times New Roman" w:hAnsi="Times New Roman" w:eastAsia="方正仿宋_GBK" w:cs="Times New Roman"/>
          <w:sz w:val="32"/>
          <w:szCs w:val="32"/>
        </w:rPr>
      </w:pPr>
      <w:r>
        <w:rPr>
          <w:rFonts w:hint="eastAsia" w:ascii="仿宋" w:hAnsi="仿宋" w:eastAsia="仿宋" w:cs="仿宋"/>
          <w:sz w:val="32"/>
          <w:szCs w:val="32"/>
        </w:rPr>
        <w:t>6、开展红十字青少年和志愿服务活动，广泛宣传</w:t>
      </w:r>
      <w:r>
        <w:rPr>
          <w:rFonts w:hint="eastAsia" w:ascii="仿宋" w:hAnsi="仿宋" w:eastAsia="仿宋" w:cs="仿宋"/>
          <w:sz w:val="32"/>
          <w:szCs w:val="32"/>
          <w:lang w:eastAsia="zh-CN"/>
        </w:rPr>
        <w:t>《中华人民共和国红十字会法》</w:t>
      </w:r>
      <w:r>
        <w:rPr>
          <w:rFonts w:hint="eastAsia" w:ascii="仿宋" w:hAnsi="仿宋" w:eastAsia="仿宋" w:cs="仿宋"/>
          <w:sz w:val="32"/>
          <w:szCs w:val="32"/>
        </w:rPr>
        <w:t>，加强与国际红十字及港澳台组织在人道救援、志愿服务、红十字青少年等方面交流与合作。积极参与国际红十字运动，积极发展红十字志愿者，提升红十字会社会影响力。</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1、把学习</w:t>
      </w:r>
      <w:r>
        <w:rPr>
          <w:rFonts w:hint="eastAsia" w:ascii="仿宋" w:hAnsi="仿宋" w:eastAsia="仿宋" w:cs="仿宋"/>
          <w:sz w:val="32"/>
          <w:szCs w:val="32"/>
          <w:lang w:eastAsia="zh-CN"/>
        </w:rPr>
        <w:t>习近平总书记</w:t>
      </w:r>
      <w:r>
        <w:rPr>
          <w:rFonts w:hint="eastAsia" w:ascii="仿宋" w:hAnsi="仿宋" w:eastAsia="仿宋" w:cs="仿宋"/>
          <w:sz w:val="32"/>
          <w:szCs w:val="32"/>
        </w:rPr>
        <w:t>系列重要讲话与学习十八届五中全会精神结合起来，与学习国务院《关于促进红十字事业发展的意见》结合起来，落实到红十字工作的方方面面，让更多的弱势群体和困难群众感受到党和政府的温暖。</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2、严格落实“两公开、两透明”。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3、继续与会员单位、爱心企业合作，吸引更多的单位和个人参与红十字社会公益事业，最大限度地募集慈善资金。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4、完成年度救助困难群众目标。</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5、积极推动红十字救护培训的“五进”，即进社区、进农村、进学校、进企业、进机关。</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6、在1个社区新建红十字社区博爱服务站，配备便民设备；新建红十字书屋，配备图书架及图书。</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7、建成1所红十字学校；适时组织开展符合红十字会宗旨、有利于青少年身心健康的活动，探索打造红十字青少年活动品牌。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8、大力宣传各类先进典型，用典型经验带动全区红十字工作建设再上新水平。</w:t>
      </w: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1"/>
        <w:gridCol w:w="1350"/>
        <w:gridCol w:w="2443"/>
        <w:gridCol w:w="2636"/>
        <w:gridCol w:w="2646"/>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hAnsi="Calibri" w:eastAsia="方正小标宋_GBK" w:cs="Times New Roman"/>
                <w:sz w:val="24"/>
              </w:rPr>
            </w:pPr>
            <w:r>
              <w:rPr>
                <w:rFonts w:hint="eastAsia" w:ascii="方正小标宋_GBK" w:hAnsi="Calibri" w:eastAsia="方正小标宋_GBK" w:cs="Times New Roman"/>
                <w:sz w:val="24"/>
                <w:lang w:val="en-US" w:eastAsia="zh-CN"/>
              </w:rPr>
              <w:t>717</w:t>
            </w:r>
            <w:r>
              <w:rPr>
                <w:rFonts w:hint="eastAsia" w:ascii="方正小标宋_GBK" w:hAnsi="Calibri" w:eastAsia="方正小标宋_GBK" w:cs="Times New Roman"/>
                <w:sz w:val="24"/>
                <w:lang w:eastAsia="zh-CN"/>
              </w:rPr>
              <w:t>石家庄市鹿泉区红十字会</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Calibri" w:eastAsia="方正书宋_GBK" w:cs="Times New Roman"/>
                <w:sz w:val="24"/>
              </w:rPr>
            </w:pPr>
            <w:r>
              <w:rPr>
                <w:rFonts w:hint="eastAsia" w:ascii="方正书宋_GBK" w:hAnsi="Calibri" w:eastAsia="方正书宋_GBK" w:cs="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11"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职责活动</w:t>
            </w:r>
          </w:p>
        </w:tc>
        <w:tc>
          <w:tcPr>
            <w:tcW w:w="1350"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年度预算数</w:t>
            </w:r>
          </w:p>
        </w:tc>
        <w:tc>
          <w:tcPr>
            <w:tcW w:w="2443"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内容描述</w:t>
            </w:r>
          </w:p>
        </w:tc>
        <w:tc>
          <w:tcPr>
            <w:tcW w:w="2636"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绩效目标</w:t>
            </w:r>
          </w:p>
        </w:tc>
        <w:tc>
          <w:tcPr>
            <w:tcW w:w="2646"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绩效指标</w:t>
            </w:r>
          </w:p>
        </w:tc>
        <w:tc>
          <w:tcPr>
            <w:tcW w:w="2948" w:type="dxa"/>
            <w:gridSpan w:val="4"/>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11" w:type="dxa"/>
            <w:vMerge w:val="continue"/>
            <w:shd w:val="clear" w:color="auto" w:fill="auto"/>
            <w:vAlign w:val="center"/>
          </w:tcPr>
          <w:p>
            <w:pPr>
              <w:spacing w:line="300" w:lineRule="exact"/>
              <w:jc w:val="left"/>
              <w:outlineLvl w:val="0"/>
              <w:rPr>
                <w:rFonts w:ascii="Calibri" w:hAnsi="Calibri" w:eastAsia="宋体" w:cs="Times New Roman"/>
              </w:rPr>
            </w:pPr>
          </w:p>
        </w:tc>
        <w:tc>
          <w:tcPr>
            <w:tcW w:w="1350" w:type="dxa"/>
            <w:vMerge w:val="continue"/>
            <w:shd w:val="clear" w:color="auto" w:fill="auto"/>
            <w:vAlign w:val="center"/>
          </w:tcPr>
          <w:p>
            <w:pPr>
              <w:spacing w:line="300" w:lineRule="exact"/>
              <w:jc w:val="left"/>
              <w:outlineLvl w:val="0"/>
              <w:rPr>
                <w:rFonts w:ascii="Calibri" w:hAnsi="Calibri" w:eastAsia="宋体" w:cs="Times New Roman"/>
              </w:rPr>
            </w:pPr>
          </w:p>
        </w:tc>
        <w:tc>
          <w:tcPr>
            <w:tcW w:w="2443" w:type="dxa"/>
            <w:vMerge w:val="continue"/>
            <w:shd w:val="clear" w:color="auto" w:fill="auto"/>
            <w:vAlign w:val="center"/>
          </w:tcPr>
          <w:p>
            <w:pPr>
              <w:spacing w:line="300" w:lineRule="exact"/>
              <w:jc w:val="left"/>
              <w:outlineLvl w:val="0"/>
              <w:rPr>
                <w:rFonts w:ascii="Calibri" w:hAnsi="Calibri" w:eastAsia="宋体" w:cs="Times New Roman"/>
              </w:rPr>
            </w:pPr>
          </w:p>
        </w:tc>
        <w:tc>
          <w:tcPr>
            <w:tcW w:w="2636" w:type="dxa"/>
            <w:vMerge w:val="continue"/>
            <w:shd w:val="clear" w:color="auto" w:fill="auto"/>
            <w:vAlign w:val="center"/>
          </w:tcPr>
          <w:p>
            <w:pPr>
              <w:spacing w:line="300" w:lineRule="exact"/>
              <w:jc w:val="left"/>
              <w:outlineLvl w:val="0"/>
              <w:rPr>
                <w:rFonts w:ascii="Calibri" w:hAnsi="Calibri" w:eastAsia="宋体" w:cs="Times New Roman"/>
              </w:rPr>
            </w:pPr>
          </w:p>
        </w:tc>
        <w:tc>
          <w:tcPr>
            <w:tcW w:w="2646" w:type="dxa"/>
            <w:vMerge w:val="continue"/>
            <w:shd w:val="clear" w:color="auto" w:fill="auto"/>
            <w:vAlign w:val="center"/>
          </w:tcPr>
          <w:p>
            <w:pPr>
              <w:spacing w:line="300" w:lineRule="exact"/>
              <w:jc w:val="left"/>
              <w:outlineLvl w:val="0"/>
              <w:rPr>
                <w:rFonts w:ascii="Calibri" w:hAnsi="Calibri" w:eastAsia="宋体"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优</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良</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中</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一、社会救助</w:t>
            </w:r>
          </w:p>
        </w:tc>
        <w:tc>
          <w:tcPr>
            <w:tcW w:w="1350"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14.00</w:t>
            </w:r>
          </w:p>
        </w:tc>
        <w:tc>
          <w:tcPr>
            <w:tcW w:w="2443"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建立健全应急救援体系，建立应急救护培训长效机制，提高人道救助能力</w:t>
            </w:r>
          </w:p>
        </w:tc>
        <w:tc>
          <w:tcPr>
            <w:tcW w:w="263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提升备灾救灾能力，普及应急救护知识，增强救助力度</w:t>
            </w:r>
          </w:p>
        </w:tc>
        <w:tc>
          <w:tcPr>
            <w:tcW w:w="2646" w:type="dxa"/>
            <w:shd w:val="clear" w:color="auto" w:fill="auto"/>
            <w:vAlign w:val="center"/>
          </w:tcPr>
          <w:p>
            <w:pPr>
              <w:spacing w:line="300" w:lineRule="exact"/>
              <w:jc w:val="left"/>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、应急救援</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租赁备灾救灾仓库，储备应急救援备灾救灾物资</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建立健全红十字会应急救援体系，建立应急救护培训长效机制，提高人道救助能力</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租赁备灾救灾仓库面积</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备灾救灾物资提供率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备灾救灾物资提供率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、应急救护</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11.00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积极推动红十字救护培训，开展中小学生应急救护培训，推进应急救护培训</w:t>
            </w:r>
            <w:r>
              <w:rPr>
                <w:rFonts w:hint="cs" w:ascii="方正书宋_GBK" w:eastAsia="方正书宋_GBK"/>
              </w:rPr>
              <w:t>“</w:t>
            </w:r>
            <w:r>
              <w:rPr>
                <w:rFonts w:hint="eastAsia" w:ascii="方正书宋_GBK" w:eastAsia="方正书宋_GBK"/>
              </w:rPr>
              <w:t>五进</w:t>
            </w:r>
            <w:r>
              <w:rPr>
                <w:rFonts w:hint="cs" w:ascii="方正书宋_GBK" w:eastAsia="方正书宋_GBK"/>
              </w:rPr>
              <w:t>”</w:t>
            </w:r>
            <w:r>
              <w:rPr>
                <w:rFonts w:hint="eastAsia" w:ascii="方正书宋_GBK" w:eastAsia="方正书宋_GBK"/>
              </w:rPr>
              <w:t>工作</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建立健全应急救援体系，建立红十字应急救护培训长效机制，提高人道救助能力</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培训中学生、救护员及应急救护宣传完成率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应急救护知识宣传人数完成率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开展专题讲座，培训中学生数完成率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培训初级救护员数合格率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、人道救助</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2.00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救助大病患者贫困家庭</w:t>
            </w:r>
            <w:r>
              <w:rPr>
                <w:rFonts w:ascii="方正书宋_GBK" w:eastAsia="方正书宋_GBK"/>
              </w:rPr>
              <w:t>,</w:t>
            </w:r>
            <w:r>
              <w:rPr>
                <w:rFonts w:hint="eastAsia" w:ascii="方正书宋_GBK" w:eastAsia="方正书宋_GBK"/>
              </w:rPr>
              <w:t>救助贫困家庭大病儿童</w:t>
            </w:r>
            <w:r>
              <w:rPr>
                <w:rFonts w:ascii="方正书宋_GBK" w:eastAsia="方正书宋_GBK"/>
              </w:rPr>
              <w:t>,</w:t>
            </w:r>
            <w:r>
              <w:rPr>
                <w:rFonts w:hint="eastAsia" w:ascii="方正书宋_GBK" w:eastAsia="方正书宋_GBK"/>
              </w:rPr>
              <w:t>使更多的贫困家庭、患病儿童得到救助</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建立健全应急救援体系，建立应急救护培训长效机制，提高人道救助能力</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救助贫困对象满意度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救助大病贫困患者户数及贫困学生助学户数满意度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开展博爱送万家活动救助家庭户数满意度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二、红十字会事业发展</w:t>
            </w:r>
          </w:p>
        </w:tc>
        <w:tc>
          <w:tcPr>
            <w:tcW w:w="1350"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5.00</w:t>
            </w:r>
          </w:p>
        </w:tc>
        <w:tc>
          <w:tcPr>
            <w:tcW w:w="2443"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认真贯彻执行《中华人民共和国红十字会法》和《中国红十字会章程》，推动红十字各项工作的开展</w:t>
            </w:r>
          </w:p>
        </w:tc>
        <w:tc>
          <w:tcPr>
            <w:tcW w:w="263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加强无偿献血、造血干细胞捐献、遗体和人体器官捐献工作；积极参与国际红十字运动，开展红十字青少年活动，广泛宣传</w:t>
            </w:r>
            <w:r>
              <w:rPr>
                <w:rFonts w:hint="eastAsia" w:ascii="方正书宋_GBK" w:eastAsia="方正书宋_GBK"/>
                <w:lang w:eastAsia="zh-CN"/>
              </w:rPr>
              <w:t>《中华人民共和国红十字会法》</w:t>
            </w:r>
            <w:r>
              <w:rPr>
                <w:rFonts w:hint="eastAsia" w:ascii="方正书宋_GBK" w:eastAsia="方正书宋_GBK"/>
              </w:rPr>
              <w:t>，发展红十字志愿者，不断扩大红十字会影响</w:t>
            </w:r>
          </w:p>
        </w:tc>
        <w:tc>
          <w:tcPr>
            <w:tcW w:w="2646" w:type="dxa"/>
            <w:shd w:val="clear" w:color="auto" w:fill="auto"/>
            <w:vAlign w:val="center"/>
          </w:tcPr>
          <w:p>
            <w:pPr>
              <w:spacing w:line="300" w:lineRule="exact"/>
              <w:jc w:val="left"/>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w:t>
            </w:r>
            <w:r>
              <w:rPr>
                <w:rFonts w:hint="cs" w:ascii="方正书宋_GBK" w:eastAsia="方正书宋_GBK"/>
                <w:b/>
              </w:rPr>
              <w:t>“</w:t>
            </w:r>
            <w:r>
              <w:rPr>
                <w:rFonts w:hint="eastAsia" w:ascii="方正书宋_GBK" w:eastAsia="方正书宋_GBK"/>
                <w:b/>
              </w:rPr>
              <w:t>三献</w:t>
            </w:r>
            <w:r>
              <w:rPr>
                <w:rFonts w:hint="cs" w:ascii="方正书宋_GBK" w:eastAsia="方正书宋_GBK"/>
                <w:b/>
              </w:rPr>
              <w:t>”</w:t>
            </w:r>
            <w:r>
              <w:rPr>
                <w:rFonts w:hint="eastAsia" w:ascii="方正书宋_GBK" w:eastAsia="方正书宋_GBK"/>
                <w:b/>
              </w:rPr>
              <w:t>工作</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扩大造血干细胞库容量；建立健全我区遗体和人体器官捐献工作体系</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认真贯彻执行《中华人民共和国红十字会法》和《中国红十字章程》，推动红十字各项工作开展</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采集入库血样数据完成率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无偿献血任务数完成率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招募干细胞志愿者数量完成率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、国际人道援助和志愿者工作</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加强与国际红十字及港澳台组织在人道救援、志愿服务、红十字青少年等方面交流与合作。积极参与国际红十字运动，发展红十字志愿者</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认真贯彻执行《中华人民共和国红十字会法》和《中国红十字章程》，推动红十字各项工作开展</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防灾避险知识普及满意度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开展防灾避险知识竞赛人数</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500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防灾避险知识知晓人数</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500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开展红十字青少年、志愿服务次数</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、红十字会综合事务工作</w:t>
            </w:r>
          </w:p>
        </w:tc>
        <w:tc>
          <w:tcPr>
            <w:tcW w:w="1350"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3.00</w:t>
            </w:r>
          </w:p>
        </w:tc>
        <w:tc>
          <w:tcPr>
            <w:tcW w:w="2443"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lang w:eastAsia="zh-CN"/>
              </w:rPr>
              <w:t>《中华人民共和国红十字会法》</w:t>
            </w:r>
            <w:r>
              <w:rPr>
                <w:rFonts w:hint="eastAsia" w:ascii="方正书宋_GBK" w:eastAsia="方正书宋_GBK"/>
              </w:rPr>
              <w:t>得到贯彻执行，按期完成总会及市红十字会部署的工作，全区红十字标志使用管理规范，加强与国际红十字组织的交流与合作</w:t>
            </w:r>
          </w:p>
        </w:tc>
        <w:tc>
          <w:tcPr>
            <w:tcW w:w="263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认真贯彻执行《中华人民共和国红十字会法》和《中国红十字章程》，推动红十字各项工作开展</w:t>
            </w: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lang w:eastAsia="zh-CN"/>
              </w:rPr>
              <w:t>《中华人民共和国红十字会法》</w:t>
            </w:r>
            <w:r>
              <w:rPr>
                <w:rFonts w:hint="eastAsia" w:ascii="方正书宋_GBK" w:eastAsia="方正书宋_GBK"/>
              </w:rPr>
              <w:t>和红十字工作宣传次数</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订阅红十字报刊杂志</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1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350" w:type="dxa"/>
            <w:vMerge w:val="continue"/>
            <w:shd w:val="clear" w:color="auto" w:fill="auto"/>
            <w:vAlign w:val="center"/>
          </w:tcPr>
          <w:p>
            <w:pPr>
              <w:spacing w:line="300" w:lineRule="exact"/>
              <w:jc w:val="left"/>
              <w:rPr>
                <w:rFonts w:ascii="方正书宋_GBK" w:hAnsi="Calibri" w:eastAsia="方正书宋_GBK" w:cs="Times New Roman"/>
              </w:rPr>
            </w:pPr>
          </w:p>
        </w:tc>
        <w:tc>
          <w:tcPr>
            <w:tcW w:w="2443" w:type="dxa"/>
            <w:vMerge w:val="continue"/>
            <w:shd w:val="clear" w:color="auto" w:fill="auto"/>
            <w:vAlign w:val="center"/>
          </w:tcPr>
          <w:p>
            <w:pPr>
              <w:spacing w:line="300" w:lineRule="exact"/>
              <w:jc w:val="left"/>
              <w:rPr>
                <w:rFonts w:ascii="方正书宋_GBK" w:hAnsi="Calibri" w:eastAsia="方正书宋_GBK" w:cs="Times New Roman"/>
              </w:rPr>
            </w:pPr>
          </w:p>
        </w:tc>
        <w:tc>
          <w:tcPr>
            <w:tcW w:w="2636" w:type="dxa"/>
            <w:vMerge w:val="continue"/>
            <w:shd w:val="clear" w:color="auto" w:fill="auto"/>
            <w:vAlign w:val="center"/>
          </w:tcPr>
          <w:p>
            <w:pPr>
              <w:spacing w:line="300" w:lineRule="exact"/>
              <w:jc w:val="left"/>
              <w:rPr>
                <w:rFonts w:ascii="方正书宋_GBK" w:hAnsi="Calibri" w:eastAsia="方正书宋_GBK" w:cs="Times New Roman"/>
              </w:rPr>
            </w:pPr>
          </w:p>
        </w:tc>
        <w:tc>
          <w:tcPr>
            <w:tcW w:w="264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lang w:eastAsia="zh-CN"/>
              </w:rPr>
              <w:t>《中华人民共和国红十字会法》</w:t>
            </w:r>
            <w:r>
              <w:rPr>
                <w:rFonts w:hint="eastAsia" w:ascii="方正书宋_GBK" w:eastAsia="方正书宋_GBK"/>
              </w:rPr>
              <w:t>和红十字工作宣传群众满意度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60%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hint="eastAsia" w:ascii="仿宋" w:hAnsi="仿宋" w:eastAsia="仿宋" w:cs="仿宋"/>
          <w:sz w:val="32"/>
          <w:szCs w:val="32"/>
        </w:rPr>
      </w:pPr>
      <w:bookmarkStart w:id="1"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2019年，本部门无政府采购计划。</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1"/>
    </w:p>
    <w:tbl>
      <w:tblPr>
        <w:tblStyle w:val="8"/>
        <w:tblW w:w="133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4"/>
        <w:gridCol w:w="944"/>
        <w:gridCol w:w="650"/>
        <w:gridCol w:w="1474"/>
        <w:gridCol w:w="545"/>
        <w:gridCol w:w="944"/>
        <w:gridCol w:w="944"/>
        <w:gridCol w:w="944"/>
        <w:gridCol w:w="944"/>
        <w:gridCol w:w="944"/>
        <w:gridCol w:w="729"/>
        <w:gridCol w:w="731"/>
        <w:gridCol w:w="831"/>
        <w:gridCol w:w="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58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hint="eastAsia" w:ascii="方正小标宋_GBK" w:eastAsia="方正小标宋_GBK"/>
                <w:sz w:val="24"/>
                <w:lang w:val="en-US" w:eastAsia="zh-CN"/>
              </w:rPr>
              <w:t>717</w:t>
            </w:r>
            <w:r>
              <w:rPr>
                <w:rFonts w:hint="eastAsia" w:ascii="方正小标宋_GBK" w:eastAsia="方正小标宋_GBK"/>
                <w:sz w:val="24"/>
                <w:lang w:eastAsia="zh-CN"/>
              </w:rPr>
              <w:t>石家庄市鹿泉区红十字会</w:t>
            </w:r>
          </w:p>
        </w:tc>
        <w:tc>
          <w:tcPr>
            <w:tcW w:w="571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2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6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4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  单位</w:t>
            </w:r>
          </w:p>
        </w:tc>
        <w:tc>
          <w:tcPr>
            <w:tcW w:w="94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4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715"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8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4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650" w:type="dxa"/>
            <w:vMerge w:val="continue"/>
            <w:shd w:val="clear" w:color="auto" w:fill="auto"/>
            <w:vAlign w:val="center"/>
          </w:tcPr>
          <w:p>
            <w:pPr>
              <w:spacing w:line="300" w:lineRule="exact"/>
              <w:jc w:val="left"/>
              <w:outlineLvl w:val="0"/>
            </w:pPr>
          </w:p>
        </w:tc>
        <w:tc>
          <w:tcPr>
            <w:tcW w:w="1474" w:type="dxa"/>
            <w:vMerge w:val="continue"/>
            <w:shd w:val="clear" w:color="auto" w:fill="auto"/>
            <w:vAlign w:val="center"/>
          </w:tcPr>
          <w:p>
            <w:pPr>
              <w:spacing w:line="300" w:lineRule="exact"/>
              <w:jc w:val="left"/>
              <w:outlineLvl w:val="0"/>
            </w:pPr>
          </w:p>
        </w:tc>
        <w:tc>
          <w:tcPr>
            <w:tcW w:w="545"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94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179"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59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84"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650" w:type="dxa"/>
            <w:vMerge w:val="continue"/>
            <w:shd w:val="clear" w:color="auto" w:fill="auto"/>
            <w:vAlign w:val="center"/>
          </w:tcPr>
          <w:p>
            <w:pPr>
              <w:spacing w:line="300" w:lineRule="exact"/>
              <w:jc w:val="left"/>
              <w:outlineLvl w:val="0"/>
            </w:pPr>
          </w:p>
        </w:tc>
        <w:tc>
          <w:tcPr>
            <w:tcW w:w="1474" w:type="dxa"/>
            <w:vMerge w:val="continue"/>
            <w:shd w:val="clear" w:color="auto" w:fill="auto"/>
            <w:vAlign w:val="center"/>
          </w:tcPr>
          <w:p>
            <w:pPr>
              <w:spacing w:line="300" w:lineRule="exact"/>
              <w:jc w:val="left"/>
              <w:outlineLvl w:val="0"/>
            </w:pPr>
          </w:p>
        </w:tc>
        <w:tc>
          <w:tcPr>
            <w:tcW w:w="545"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944" w:type="dxa"/>
            <w:vMerge w:val="continue"/>
            <w:shd w:val="clear" w:color="auto" w:fill="auto"/>
            <w:vAlign w:val="center"/>
          </w:tcPr>
          <w:p>
            <w:pPr>
              <w:spacing w:line="300" w:lineRule="exact"/>
              <w:jc w:val="left"/>
              <w:outlineLvl w:val="0"/>
            </w:pPr>
          </w:p>
        </w:tc>
        <w:tc>
          <w:tcPr>
            <w:tcW w:w="9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2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3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3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592"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44" w:type="dxa"/>
            <w:shd w:val="clear" w:color="auto" w:fill="auto"/>
            <w:vAlign w:val="center"/>
          </w:tcPr>
          <w:p>
            <w:pPr>
              <w:spacing w:line="300" w:lineRule="exact"/>
              <w:jc w:val="right"/>
              <w:rPr>
                <w:rFonts w:ascii="方正书宋_GBK" w:eastAsia="方正书宋_GBK"/>
                <w:b/>
              </w:rPr>
            </w:pPr>
          </w:p>
        </w:tc>
        <w:tc>
          <w:tcPr>
            <w:tcW w:w="650" w:type="dxa"/>
            <w:shd w:val="clear" w:color="auto" w:fill="auto"/>
            <w:vAlign w:val="center"/>
          </w:tcPr>
          <w:p>
            <w:pPr>
              <w:spacing w:line="300" w:lineRule="exact"/>
              <w:jc w:val="left"/>
              <w:rPr>
                <w:rFonts w:ascii="方正书宋_GBK" w:eastAsia="方正书宋_GBK"/>
                <w:b/>
              </w:rPr>
            </w:pPr>
          </w:p>
        </w:tc>
        <w:tc>
          <w:tcPr>
            <w:tcW w:w="1474" w:type="dxa"/>
            <w:shd w:val="clear" w:color="auto" w:fill="auto"/>
            <w:vAlign w:val="center"/>
          </w:tcPr>
          <w:p>
            <w:pPr>
              <w:spacing w:line="300" w:lineRule="exact"/>
              <w:jc w:val="left"/>
              <w:rPr>
                <w:rFonts w:ascii="方正书宋_GBK" w:eastAsia="方正书宋_GBK"/>
                <w:b/>
              </w:rPr>
            </w:pPr>
          </w:p>
        </w:tc>
        <w:tc>
          <w:tcPr>
            <w:tcW w:w="545" w:type="dxa"/>
            <w:shd w:val="clear" w:color="auto" w:fill="auto"/>
            <w:vAlign w:val="center"/>
          </w:tcPr>
          <w:p>
            <w:pPr>
              <w:spacing w:line="300" w:lineRule="exact"/>
              <w:jc w:val="lef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729" w:type="dxa"/>
            <w:shd w:val="clear" w:color="auto" w:fill="auto"/>
            <w:vAlign w:val="center"/>
          </w:tcPr>
          <w:p>
            <w:pPr>
              <w:spacing w:line="300" w:lineRule="exact"/>
              <w:jc w:val="right"/>
              <w:rPr>
                <w:rFonts w:ascii="方正书宋_GBK" w:eastAsia="方正书宋_GBK"/>
                <w:b/>
              </w:rPr>
            </w:pPr>
          </w:p>
        </w:tc>
        <w:tc>
          <w:tcPr>
            <w:tcW w:w="731" w:type="dxa"/>
            <w:shd w:val="clear" w:color="auto" w:fill="auto"/>
            <w:vAlign w:val="center"/>
          </w:tcPr>
          <w:p>
            <w:pPr>
              <w:spacing w:line="300" w:lineRule="exact"/>
              <w:jc w:val="right"/>
              <w:rPr>
                <w:rFonts w:ascii="方正书宋_GBK" w:eastAsia="方正书宋_GBK"/>
                <w:b/>
              </w:rPr>
            </w:pPr>
          </w:p>
        </w:tc>
        <w:tc>
          <w:tcPr>
            <w:tcW w:w="831" w:type="dxa"/>
            <w:shd w:val="clear" w:color="auto" w:fill="auto"/>
            <w:vAlign w:val="center"/>
          </w:tcPr>
          <w:p>
            <w:pPr>
              <w:spacing w:line="300" w:lineRule="exact"/>
              <w:jc w:val="right"/>
              <w:rPr>
                <w:rFonts w:ascii="方正书宋_GBK" w:eastAsia="方正书宋_GBK"/>
                <w:b/>
              </w:rPr>
            </w:pPr>
          </w:p>
        </w:tc>
        <w:tc>
          <w:tcPr>
            <w:tcW w:w="59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84" w:type="dxa"/>
            <w:shd w:val="clear" w:color="auto" w:fill="auto"/>
            <w:vAlign w:val="center"/>
          </w:tcPr>
          <w:p>
            <w:pPr>
              <w:spacing w:line="300" w:lineRule="exact"/>
              <w:jc w:val="center"/>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650" w:type="dxa"/>
            <w:shd w:val="clear" w:color="auto" w:fill="auto"/>
            <w:vAlign w:val="center"/>
          </w:tcPr>
          <w:p>
            <w:pPr>
              <w:spacing w:line="300" w:lineRule="exact"/>
              <w:jc w:val="left"/>
              <w:rPr>
                <w:rFonts w:ascii="方正书宋_GBK" w:eastAsia="方正书宋_GBK"/>
                <w:b/>
              </w:rPr>
            </w:pPr>
          </w:p>
        </w:tc>
        <w:tc>
          <w:tcPr>
            <w:tcW w:w="1474" w:type="dxa"/>
            <w:shd w:val="clear" w:color="auto" w:fill="auto"/>
            <w:vAlign w:val="center"/>
          </w:tcPr>
          <w:p>
            <w:pPr>
              <w:spacing w:line="300" w:lineRule="exact"/>
              <w:jc w:val="left"/>
              <w:rPr>
                <w:rFonts w:ascii="方正书宋_GBK" w:eastAsia="方正书宋_GBK"/>
                <w:b/>
              </w:rPr>
            </w:pPr>
          </w:p>
        </w:tc>
        <w:tc>
          <w:tcPr>
            <w:tcW w:w="545" w:type="dxa"/>
            <w:shd w:val="clear" w:color="auto" w:fill="auto"/>
            <w:vAlign w:val="center"/>
          </w:tcPr>
          <w:p>
            <w:pPr>
              <w:spacing w:line="300" w:lineRule="exact"/>
              <w:jc w:val="lef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944" w:type="dxa"/>
            <w:shd w:val="clear" w:color="auto" w:fill="auto"/>
            <w:vAlign w:val="center"/>
          </w:tcPr>
          <w:p>
            <w:pPr>
              <w:spacing w:line="300" w:lineRule="exact"/>
              <w:jc w:val="right"/>
              <w:rPr>
                <w:rFonts w:ascii="方正书宋_GBK" w:eastAsia="方正书宋_GBK"/>
                <w:b/>
              </w:rPr>
            </w:pPr>
          </w:p>
        </w:tc>
        <w:tc>
          <w:tcPr>
            <w:tcW w:w="729" w:type="dxa"/>
            <w:shd w:val="clear" w:color="auto" w:fill="auto"/>
            <w:vAlign w:val="center"/>
          </w:tcPr>
          <w:p>
            <w:pPr>
              <w:spacing w:line="300" w:lineRule="exact"/>
              <w:jc w:val="right"/>
              <w:rPr>
                <w:rFonts w:ascii="方正书宋_GBK" w:eastAsia="方正书宋_GBK"/>
                <w:b/>
              </w:rPr>
            </w:pPr>
          </w:p>
        </w:tc>
        <w:tc>
          <w:tcPr>
            <w:tcW w:w="731" w:type="dxa"/>
            <w:shd w:val="clear" w:color="auto" w:fill="auto"/>
            <w:vAlign w:val="center"/>
          </w:tcPr>
          <w:p>
            <w:pPr>
              <w:spacing w:line="300" w:lineRule="exact"/>
              <w:jc w:val="right"/>
              <w:rPr>
                <w:rFonts w:ascii="方正书宋_GBK" w:eastAsia="方正书宋_GBK"/>
                <w:b/>
              </w:rPr>
            </w:pPr>
          </w:p>
        </w:tc>
        <w:tc>
          <w:tcPr>
            <w:tcW w:w="831" w:type="dxa"/>
            <w:shd w:val="clear" w:color="auto" w:fill="auto"/>
            <w:vAlign w:val="center"/>
          </w:tcPr>
          <w:p>
            <w:pPr>
              <w:spacing w:line="300" w:lineRule="exact"/>
              <w:jc w:val="right"/>
              <w:rPr>
                <w:rFonts w:ascii="方正书宋_GBK" w:eastAsia="方正书宋_GBK"/>
                <w:b/>
              </w:rPr>
            </w:pPr>
          </w:p>
        </w:tc>
        <w:tc>
          <w:tcPr>
            <w:tcW w:w="592" w:type="dxa"/>
            <w:shd w:val="clear" w:color="auto" w:fill="auto"/>
            <w:vAlign w:val="center"/>
          </w:tcPr>
          <w:p>
            <w:pPr>
              <w:spacing w:line="300" w:lineRule="exact"/>
              <w:jc w:val="right"/>
              <w:rPr>
                <w:rFonts w:ascii="方正书宋_GBK" w:eastAsia="方正书宋_GBK"/>
                <w:b/>
              </w:rPr>
            </w:pPr>
          </w:p>
        </w:tc>
      </w:tr>
    </w:tbl>
    <w:p>
      <w:pPr>
        <w:autoSpaceDE w:val="0"/>
        <w:autoSpaceDN w:val="0"/>
        <w:adjustRightInd w:val="0"/>
        <w:ind w:left="198"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石家庄市鹿泉区红十字会</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38.75</w:t>
      </w:r>
      <w:r>
        <w:rPr>
          <w:rFonts w:hint="eastAsia" w:ascii="仿宋" w:hAnsi="仿宋" w:eastAsia="仿宋" w:cs="仿宋"/>
          <w:sz w:val="32"/>
          <w:szCs w:val="32"/>
        </w:rPr>
        <w:t>万元（详见下表）。</w:t>
      </w:r>
    </w:p>
    <w:tbl>
      <w:tblPr>
        <w:tblStyle w:val="8"/>
        <w:tblW w:w="13460" w:type="dxa"/>
        <w:tblInd w:w="93" w:type="dxa"/>
        <w:tblLayout w:type="fixed"/>
        <w:tblCellMar>
          <w:top w:w="0" w:type="dxa"/>
          <w:left w:w="108" w:type="dxa"/>
          <w:bottom w:w="0" w:type="dxa"/>
          <w:right w:w="108" w:type="dxa"/>
        </w:tblCellMar>
      </w:tblPr>
      <w:tblGrid>
        <w:gridCol w:w="5215"/>
        <w:gridCol w:w="3150"/>
        <w:gridCol w:w="5095"/>
      </w:tblGrid>
      <w:tr>
        <w:tblPrEx>
          <w:tblCellMar>
            <w:top w:w="0" w:type="dxa"/>
            <w:left w:w="108" w:type="dxa"/>
            <w:bottom w:w="0" w:type="dxa"/>
            <w:right w:w="108" w:type="dxa"/>
          </w:tblCellMar>
        </w:tblPrEx>
        <w:trPr>
          <w:trHeight w:val="521" w:hRule="atLeast"/>
        </w:trPr>
        <w:tc>
          <w:tcPr>
            <w:tcW w:w="13460"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石家庄市鹿泉区区直</w:t>
            </w:r>
            <w:r>
              <w:rPr>
                <w:rFonts w:hint="eastAsia" w:ascii="宋体" w:hAnsi="宋体" w:eastAsia="宋体" w:cs="宋体"/>
                <w:b/>
                <w:bCs/>
                <w:kern w:val="0"/>
                <w:sz w:val="32"/>
                <w:szCs w:val="32"/>
              </w:rPr>
              <w:t>部门固定资产占用情况表</w:t>
            </w:r>
          </w:p>
        </w:tc>
      </w:tr>
      <w:tr>
        <w:tblPrEx>
          <w:tblCellMar>
            <w:top w:w="0" w:type="dxa"/>
            <w:left w:w="108" w:type="dxa"/>
            <w:bottom w:w="0" w:type="dxa"/>
            <w:right w:w="108" w:type="dxa"/>
          </w:tblCellMar>
        </w:tblPrEx>
        <w:trPr>
          <w:trHeight w:val="351" w:hRule="atLeast"/>
        </w:trPr>
        <w:tc>
          <w:tcPr>
            <w:tcW w:w="8365"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石家庄市鹿泉区红十字会</w:t>
            </w:r>
          </w:p>
        </w:tc>
        <w:tc>
          <w:tcPr>
            <w:tcW w:w="5095"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458" w:hRule="atLeast"/>
        </w:trPr>
        <w:tc>
          <w:tcPr>
            <w:tcW w:w="521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09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458"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0"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095" w:type="dxa"/>
            <w:tcBorders>
              <w:top w:val="nil"/>
              <w:left w:val="nil"/>
              <w:bottom w:val="single" w:color="auto" w:sz="4" w:space="0"/>
              <w:right w:val="single" w:color="auto" w:sz="4" w:space="0"/>
            </w:tcBorders>
            <w:shd w:val="clear" w:color="auto" w:fill="auto"/>
            <w:vAlign w:val="center"/>
          </w:tcPr>
          <w:p>
            <w:pPr>
              <w:widowControl/>
              <w:jc w:val="center"/>
              <w:rPr>
                <w:rFonts w:hint="eastAsia" w:ascii="Times New Roman" w:hAnsi="Times New Roman" w:eastAsia="宋体" w:cs="Times New Roman"/>
                <w:kern w:val="0"/>
                <w:sz w:val="22"/>
                <w:lang w:eastAsia="zh-CN"/>
              </w:rPr>
            </w:pPr>
            <w:r>
              <w:rPr>
                <w:rFonts w:hint="eastAsia" w:ascii="Times New Roman" w:hAnsi="Times New Roman" w:eastAsia="宋体" w:cs="Times New Roman"/>
                <w:kern w:val="0"/>
                <w:sz w:val="22"/>
                <w:lang w:val="en-US" w:eastAsia="zh-CN"/>
              </w:rPr>
              <w:t>38.75</w:t>
            </w:r>
          </w:p>
        </w:tc>
      </w:tr>
      <w:tr>
        <w:tblPrEx>
          <w:tblCellMar>
            <w:top w:w="0" w:type="dxa"/>
            <w:left w:w="108" w:type="dxa"/>
            <w:bottom w:w="0" w:type="dxa"/>
            <w:right w:w="108" w:type="dxa"/>
          </w:tblCellMar>
        </w:tblPrEx>
        <w:trPr>
          <w:trHeight w:val="458"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09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458"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09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458"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0"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1</w:t>
            </w:r>
          </w:p>
        </w:tc>
        <w:tc>
          <w:tcPr>
            <w:tcW w:w="509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14.11</w:t>
            </w:r>
          </w:p>
        </w:tc>
      </w:tr>
      <w:tr>
        <w:tblPrEx>
          <w:tblCellMar>
            <w:top w:w="0" w:type="dxa"/>
            <w:left w:w="108" w:type="dxa"/>
            <w:bottom w:w="0" w:type="dxa"/>
            <w:right w:w="108" w:type="dxa"/>
          </w:tblCellMar>
        </w:tblPrEx>
        <w:trPr>
          <w:trHeight w:val="458"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09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474" w:hRule="atLeast"/>
        </w:trPr>
        <w:tc>
          <w:tcPr>
            <w:tcW w:w="5215"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0"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09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24.64</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1、一般公共预算拨款收入：指省级财政当年拨付的资金。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M2NWYxN2I4OWVmMWUzYmE4MGJiZTdiNTczMGVhNjY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D944BB"/>
    <w:rsid w:val="035924B5"/>
    <w:rsid w:val="04B026D1"/>
    <w:rsid w:val="0A8B1571"/>
    <w:rsid w:val="0B570169"/>
    <w:rsid w:val="0F2B617A"/>
    <w:rsid w:val="100A43A6"/>
    <w:rsid w:val="11ED1EA6"/>
    <w:rsid w:val="127D479D"/>
    <w:rsid w:val="15C84085"/>
    <w:rsid w:val="16B24D23"/>
    <w:rsid w:val="1E666007"/>
    <w:rsid w:val="1F4619BE"/>
    <w:rsid w:val="220934C5"/>
    <w:rsid w:val="247E10BD"/>
    <w:rsid w:val="26B70EC3"/>
    <w:rsid w:val="289B2BA4"/>
    <w:rsid w:val="2B31465E"/>
    <w:rsid w:val="2B9D45B1"/>
    <w:rsid w:val="2DF31A76"/>
    <w:rsid w:val="2F9346FC"/>
    <w:rsid w:val="34726DF7"/>
    <w:rsid w:val="36142231"/>
    <w:rsid w:val="36801CC7"/>
    <w:rsid w:val="382725A2"/>
    <w:rsid w:val="39D1586A"/>
    <w:rsid w:val="3B4B7745"/>
    <w:rsid w:val="3D3B245B"/>
    <w:rsid w:val="3E760EBB"/>
    <w:rsid w:val="42605D47"/>
    <w:rsid w:val="42DC4800"/>
    <w:rsid w:val="44451DF5"/>
    <w:rsid w:val="46241098"/>
    <w:rsid w:val="488A0CA3"/>
    <w:rsid w:val="4B5B3AE0"/>
    <w:rsid w:val="4CEF6D6B"/>
    <w:rsid w:val="4D993254"/>
    <w:rsid w:val="4F5B3927"/>
    <w:rsid w:val="53A6481E"/>
    <w:rsid w:val="55625B8E"/>
    <w:rsid w:val="56114643"/>
    <w:rsid w:val="56D8067C"/>
    <w:rsid w:val="599D4970"/>
    <w:rsid w:val="59E96214"/>
    <w:rsid w:val="5BE14FC7"/>
    <w:rsid w:val="5FEC51C7"/>
    <w:rsid w:val="622670F4"/>
    <w:rsid w:val="64B65823"/>
    <w:rsid w:val="657475E2"/>
    <w:rsid w:val="665750DE"/>
    <w:rsid w:val="66D01162"/>
    <w:rsid w:val="692A51B4"/>
    <w:rsid w:val="6E441592"/>
    <w:rsid w:val="70A3184F"/>
    <w:rsid w:val="75B76C36"/>
    <w:rsid w:val="78996F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autoRedefine/>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autoRedefine/>
    <w:unhideWhenUsed/>
    <w:qFormat/>
    <w:uiPriority w:val="99"/>
    <w:rPr>
      <w:sz w:val="18"/>
      <w:szCs w:val="18"/>
    </w:rPr>
  </w:style>
  <w:style w:type="paragraph" w:styleId="3">
    <w:name w:val="footer"/>
    <w:basedOn w:val="1"/>
    <w:link w:val="14"/>
    <w:autoRedefine/>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autoRedefine/>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autoRedefine/>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autoRedefine/>
    <w:unhideWhenUsed/>
    <w:qFormat/>
    <w:uiPriority w:val="99"/>
  </w:style>
  <w:style w:type="character" w:styleId="11">
    <w:name w:val="Hyperlink"/>
    <w:unhideWhenUsed/>
    <w:qFormat/>
    <w:uiPriority w:val="99"/>
    <w:rPr>
      <w:color w:val="0000FF"/>
      <w:u w:val="single"/>
    </w:rPr>
  </w:style>
  <w:style w:type="character" w:styleId="12">
    <w:name w:val="footnote reference"/>
    <w:autoRedefin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autoRedefine/>
    <w:semiHidden/>
    <w:qFormat/>
    <w:uiPriority w:val="99"/>
    <w:rPr>
      <w:sz w:val="18"/>
      <w:szCs w:val="18"/>
    </w:rPr>
  </w:style>
  <w:style w:type="paragraph" w:customStyle="1" w:styleId="16">
    <w:name w:val="Default"/>
    <w:autoRedefine/>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autoRedefine/>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0</TotalTime>
  <ScaleCrop>false</ScaleCrop>
  <LinksUpToDate>false</LinksUpToDate>
  <CharactersWithSpaces>20505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2024-01-29T07:55:03Z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3CDA90753F1F4B0FAADCA609488610E0</vt:lpwstr>
  </property>
</Properties>
</file>