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jc w:val="center"/>
        <w:rPr>
          <w:rFonts w:ascii="Times New Roman" w:hAnsi="Times New Roman" w:eastAsia="方正小标宋_GBK"/>
          <w:sz w:val="44"/>
          <w:szCs w:val="44"/>
        </w:rPr>
      </w:pPr>
      <w:r>
        <w:rPr>
          <w:rFonts w:hint="eastAsia" w:ascii="Times New Roman" w:hAnsi="Times New Roman" w:eastAsia="方正小标宋_GBK"/>
          <w:sz w:val="44"/>
          <w:szCs w:val="44"/>
        </w:rPr>
        <w:t>石家庄市鹿泉区文学艺术界联合会</w:t>
      </w:r>
    </w:p>
    <w:p>
      <w:pPr>
        <w:ind w:firstLine="880"/>
        <w:jc w:val="center"/>
        <w:rPr>
          <w:rFonts w:ascii="Times New Roman" w:hAnsi="Times New Roman" w:eastAsia="方正小标宋_GBK"/>
          <w:sz w:val="44"/>
          <w:szCs w:val="44"/>
        </w:rPr>
      </w:pPr>
      <w:r>
        <w:rPr>
          <w:rFonts w:ascii="Times New Roman" w:hAnsi="Times New Roman" w:eastAsia="方正小标宋_GBK"/>
          <w:sz w:val="44"/>
          <w:szCs w:val="44"/>
        </w:rPr>
        <w:t>201</w:t>
      </w:r>
      <w:r>
        <w:rPr>
          <w:rFonts w:hint="eastAsia" w:ascii="Times New Roman" w:hAnsi="Times New Roman" w:eastAsia="方正小标宋_GBK"/>
          <w:sz w:val="44"/>
          <w:szCs w:val="44"/>
        </w:rPr>
        <w:t>9</w:t>
      </w:r>
      <w:r>
        <w:rPr>
          <w:rFonts w:ascii="Times New Roman" w:hAnsi="Times New Roman" w:eastAsia="方正小标宋_GBK"/>
          <w:sz w:val="44"/>
          <w:szCs w:val="44"/>
        </w:rPr>
        <w:t>年部门预算信息公开</w:t>
      </w:r>
      <w:r>
        <w:rPr>
          <w:rFonts w:hint="eastAsia" w:ascii="Times New Roman" w:hAnsi="Times New Roman" w:eastAsia="方正小标宋_GBK"/>
          <w:sz w:val="44"/>
          <w:szCs w:val="44"/>
        </w:rPr>
        <w:t>情况说明</w:t>
      </w:r>
    </w:p>
    <w:p>
      <w:pPr>
        <w:ind w:firstLine="640"/>
        <w:rPr>
          <w:rFonts w:ascii="仿宋" w:hAnsi="仿宋" w:eastAsia="仿宋" w:cs="仿宋"/>
          <w:sz w:val="32"/>
          <w:szCs w:val="32"/>
        </w:rPr>
      </w:pPr>
      <w:r>
        <w:rPr>
          <w:rFonts w:hint="eastAsia" w:ascii="仿宋" w:hAnsi="仿宋" w:eastAsia="仿宋" w:cs="仿宋"/>
          <w:sz w:val="32"/>
          <w:szCs w:val="32"/>
        </w:rPr>
        <w:t>按照《中华人民共和国</w:t>
      </w:r>
      <w:bookmarkStart w:id="4" w:name="_GoBack"/>
      <w:bookmarkEnd w:id="4"/>
      <w:r>
        <w:rPr>
          <w:rFonts w:hint="eastAsia" w:ascii="仿宋" w:hAnsi="仿宋" w:eastAsia="仿宋" w:cs="仿宋"/>
          <w:sz w:val="32"/>
          <w:szCs w:val="32"/>
        </w:rPr>
        <w:t>预算法》、《地方预决算公开操作规程》和《河北省省级预算公开办法》规定，现将石家庄市鹿泉区文学艺术界联合会2019年部门预算公开如下：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rPr>
          <w:rFonts w:ascii="Times New Roman" w:hAnsi="Times New Roman" w:eastAsia="方正仿宋_GBK"/>
          <w:b/>
          <w:sz w:val="32"/>
          <w:szCs w:val="32"/>
        </w:rPr>
      </w:pPr>
      <w:r>
        <w:rPr>
          <w:rFonts w:hint="eastAsia" w:ascii="Times New Roman" w:hAnsi="Times New Roman" w:eastAsia="方正仿宋_GBK"/>
          <w:b/>
          <w:sz w:val="32"/>
          <w:szCs w:val="32"/>
        </w:rPr>
        <w:t>部门</w:t>
      </w:r>
      <w:r>
        <w:rPr>
          <w:rFonts w:ascii="Times New Roman" w:hAnsi="Times New Roman" w:eastAsia="方正仿宋_GBK"/>
          <w:b/>
          <w:sz w:val="32"/>
          <w:szCs w:val="32"/>
        </w:rPr>
        <w:t>职责：</w:t>
      </w:r>
    </w:p>
    <w:p>
      <w:pPr>
        <w:spacing w:line="360" w:lineRule="auto"/>
        <w:ind w:firstLine="640"/>
        <w:rPr>
          <w:rFonts w:ascii="仿宋_GB2312" w:hAnsi="仿宋_GB2312" w:eastAsia="仿宋_GB2312" w:cs="仿宋"/>
          <w:sz w:val="32"/>
          <w:szCs w:val="32"/>
        </w:rPr>
      </w:pPr>
      <w:r>
        <w:rPr>
          <w:rFonts w:hint="eastAsia" w:ascii="仿宋_GB2312" w:hAnsi="仿宋_GB2312" w:eastAsia="仿宋_GB2312" w:cs="仿宋"/>
          <w:sz w:val="32"/>
          <w:szCs w:val="32"/>
        </w:rPr>
        <w:t>协调局机关党政事务，对有关工作进行管理；负责全局重大活动；负责拟订审核文化的实施见、发展规划等文件；负责本局目标责任制、各项规章制度分解、落实、考核工作及组织机关学习；负责局系统内的机构编制、人事和劳动工资等工作；负责局系统内的组织、档案等工作；负责机关财务管理工作，监督指导系统内的财务管理工作。</w:t>
      </w:r>
    </w:p>
    <w:p>
      <w:pPr>
        <w:ind w:left="198" w:firstLine="640"/>
        <w:jc w:val="left"/>
        <w:rPr>
          <w:rFonts w:ascii="方正仿宋_GBK" w:hAnsi="方正仿宋_GBK" w:eastAsia="方正仿宋_GBK"/>
          <w:b/>
          <w:sz w:val="32"/>
          <w:szCs w:val="32"/>
        </w:rPr>
      </w:pPr>
    </w:p>
    <w:p>
      <w:pPr>
        <w:ind w:left="198" w:firstLine="640"/>
        <w:jc w:val="left"/>
        <w:rPr>
          <w:rFonts w:ascii="方正仿宋_GBK" w:hAnsi="方正仿宋_GBK" w:eastAsia="方正仿宋_GBK"/>
          <w:b/>
          <w:sz w:val="32"/>
          <w:szCs w:val="32"/>
        </w:rPr>
      </w:pPr>
      <w:r>
        <w:rPr>
          <w:rFonts w:hint="eastAsia" w:ascii="方正仿宋_GBK" w:hAnsi="方正仿宋_GBK" w:eastAsia="方正仿宋_GBK"/>
          <w:b/>
          <w:sz w:val="32"/>
          <w:szCs w:val="32"/>
        </w:rPr>
        <w:t>机构设置：</w:t>
      </w:r>
    </w:p>
    <w:p>
      <w:pPr>
        <w:widowControl/>
        <w:spacing w:line="360" w:lineRule="auto"/>
        <w:ind w:firstLine="736"/>
        <w:jc w:val="left"/>
        <w:rPr>
          <w:rFonts w:ascii="仿宋_GB2312" w:hAnsi="仿宋_GB2312" w:eastAsia="仿宋_GB2312" w:cs="宋体"/>
          <w:color w:val="3D3D3D"/>
          <w:sz w:val="32"/>
          <w:szCs w:val="32"/>
        </w:rPr>
      </w:pPr>
      <w:r>
        <w:rPr>
          <w:rFonts w:hint="eastAsia" w:ascii="仿宋_GB2312" w:hAnsi="仿宋_GB2312" w:eastAsia="仿宋_GB2312" w:cs="宋体"/>
          <w:sz w:val="32"/>
          <w:szCs w:val="32"/>
        </w:rPr>
        <w:t>石家庄市鹿泉区文学艺术界联合会为财政全额拨款一级预算单位，无下属单位.</w:t>
      </w:r>
      <w:r>
        <w:rPr>
          <w:rFonts w:hint="eastAsia" w:ascii="仿宋_GB2312" w:hAnsi="仿宋_GB2312" w:eastAsia="仿宋_GB2312" w:cs="宋体"/>
          <w:color w:val="3D3D3D"/>
          <w:sz w:val="32"/>
          <w:szCs w:val="32"/>
        </w:rPr>
        <w:t xml:space="preserve"> </w:t>
      </w:r>
    </w:p>
    <w:p>
      <w:pPr>
        <w:ind w:left="198" w:firstLine="640"/>
        <w:jc w:val="left"/>
        <w:rPr>
          <w:rFonts w:ascii="方正仿宋_GBK" w:hAnsi="方正仿宋_GBK" w:eastAsia="方正仿宋_GBK"/>
          <w:b/>
          <w:sz w:val="32"/>
          <w:szCs w:val="32"/>
        </w:rPr>
      </w:pPr>
    </w:p>
    <w:p>
      <w:pPr>
        <w:jc w:val="center"/>
        <w:outlineLvl w:val="0"/>
        <w:rPr>
          <w:rFonts w:ascii="Times New Roman" w:hAnsi="Times New Roman" w:eastAsia="方正小标宋_GBK"/>
          <w:sz w:val="32"/>
          <w:szCs w:val="24"/>
        </w:rPr>
      </w:pPr>
      <w:r>
        <w:pict>
          <v:shape id="文本框1" o:spid="_x0000_s1026" o:spt="202" type="#_x0000_t202" style="position:absolute;left:0pt;margin-left:73.3pt;margin-top:-19.3pt;height:73.2pt;width:513.8pt;mso-position-horizontal-relative:margin;mso-wrap-distance-bottom:0pt;mso-wrap-distance-left:9pt;mso-wrap-distance-right:9pt;mso-wrap-distance-top:0pt;z-index:251659264;mso-width-relative:page;mso-height-relative:page;" filled="f" stroked="f" coordsize="21600,21600" o:allowincell="f" o:gfxdata="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natds2QAAAAwBAAAPAAAAAAAA&#10;AAEAIAAAACIAAABkcnMvZG93bnJldi54bWxQSwECFAAUAAAACACHTuJAA6h24dgBAACMAwAADgAA&#10;AAAAAAABACAAAAAoAQAAZHJzL2Uyb0RvYy54bWxQSwUGAAAAAAYABgBZAQAAcgUAAAAA&#10;">
            <v:path/>
            <v:fill on="f" focussize="0,0"/>
            <v:stroke on="f" weight="1pt" joinstyle="miter"/>
            <v:imagedata o:title=""/>
            <o:lock v:ext="edit"/>
            <v:textbox inset="0mm,0mm,0.000866141732283465pt,0.000866141732283465pt">
              <w:txbxContent>
                <w:tbl>
                  <w:tblPr>
                    <w:tblStyle w:val="8"/>
                    <w:tblW w:w="9496" w:type="dxa"/>
                    <w:jc w:val="center"/>
                    <w:tblLayout w:type="fixed"/>
                    <w:tblCellMar>
                      <w:top w:w="0" w:type="dxa"/>
                      <w:left w:w="10" w:type="dxa"/>
                      <w:bottom w:w="0" w:type="dxa"/>
                      <w:right w:w="10" w:type="dxa"/>
                    </w:tblCellMar>
                  </w:tblPr>
                  <w:tblGrid>
                    <w:gridCol w:w="4111"/>
                    <w:gridCol w:w="1011"/>
                    <w:gridCol w:w="1209"/>
                    <w:gridCol w:w="3165"/>
                  </w:tblGrid>
                  <w:tr>
                    <w:tblPrEx>
                      <w:tblCellMar>
                        <w:top w:w="0" w:type="dxa"/>
                        <w:left w:w="10" w:type="dxa"/>
                        <w:bottom w:w="0" w:type="dxa"/>
                        <w:right w:w="10" w:type="dxa"/>
                      </w:tblCellMar>
                    </w:tblPrEx>
                    <w:trPr>
                      <w:trHeight w:val="539" w:hRule="atLeast"/>
                      <w:jc w:val="center"/>
                    </w:trPr>
                    <w:tc>
                      <w:tcPr>
                        <w:tcW w:w="411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8"/>
                            <w:szCs w:val="28"/>
                          </w:rPr>
                        </w:pPr>
                        <w:r>
                          <w:rPr>
                            <w:rFonts w:hint="eastAsia" w:ascii="仿宋_GB2312" w:hAnsi="仿宋_GB2312" w:eastAsia="仿宋_GB2312" w:cs="仿宋"/>
                            <w:sz w:val="28"/>
                            <w:szCs w:val="28"/>
                          </w:rPr>
                          <w:t>单位名称</w:t>
                        </w:r>
                      </w:p>
                    </w:tc>
                    <w:tc>
                      <w:tcPr>
                        <w:tcW w:w="101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8"/>
                            <w:szCs w:val="28"/>
                          </w:rPr>
                        </w:pPr>
                        <w:r>
                          <w:rPr>
                            <w:rFonts w:hint="eastAsia" w:ascii="仿宋_GB2312" w:hAnsi="仿宋_GB2312" w:eastAsia="仿宋_GB2312" w:cs="仿宋"/>
                            <w:sz w:val="28"/>
                            <w:szCs w:val="28"/>
                          </w:rPr>
                          <w:t>单位性质</w:t>
                        </w:r>
                      </w:p>
                    </w:tc>
                    <w:tc>
                      <w:tcPr>
                        <w:tcW w:w="120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8"/>
                            <w:szCs w:val="28"/>
                          </w:rPr>
                        </w:pPr>
                        <w:r>
                          <w:rPr>
                            <w:rFonts w:hint="eastAsia" w:ascii="仿宋_GB2312" w:hAnsi="仿宋_GB2312" w:eastAsia="仿宋_GB2312" w:cs="仿宋"/>
                            <w:sz w:val="28"/>
                            <w:szCs w:val="28"/>
                          </w:rPr>
                          <w:t>单位规格</w:t>
                        </w:r>
                      </w:p>
                    </w:tc>
                    <w:tc>
                      <w:tcPr>
                        <w:tcW w:w="31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8"/>
                            <w:szCs w:val="28"/>
                          </w:rPr>
                        </w:pPr>
                        <w:r>
                          <w:rPr>
                            <w:rFonts w:hint="eastAsia" w:ascii="仿宋_GB2312" w:hAnsi="仿宋_GB2312" w:eastAsia="仿宋_GB2312" w:cs="仿宋"/>
                            <w:sz w:val="28"/>
                            <w:szCs w:val="28"/>
                          </w:rPr>
                          <w:t>经费保障形式</w:t>
                        </w:r>
                      </w:p>
                    </w:tc>
                  </w:tr>
                  <w:tr>
                    <w:tblPrEx>
                      <w:tblCellMar>
                        <w:top w:w="0" w:type="dxa"/>
                        <w:left w:w="10" w:type="dxa"/>
                        <w:bottom w:w="0" w:type="dxa"/>
                        <w:right w:w="10" w:type="dxa"/>
                      </w:tblCellMar>
                    </w:tblPrEx>
                    <w:trPr>
                      <w:trHeight w:val="554" w:hRule="atLeast"/>
                      <w:jc w:val="center"/>
                    </w:trPr>
                    <w:tc>
                      <w:tcPr>
                        <w:tcW w:w="411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4"/>
                            <w:szCs w:val="24"/>
                          </w:rPr>
                        </w:pPr>
                        <w:r>
                          <w:rPr>
                            <w:rFonts w:hint="eastAsia" w:ascii="仿宋_GB2312" w:hAnsi="仿宋_GB2312" w:eastAsia="仿宋_GB2312" w:cs="仿宋"/>
                            <w:sz w:val="24"/>
                            <w:szCs w:val="24"/>
                          </w:rPr>
                          <w:t>石家庄市鹿泉区文联</w:t>
                        </w:r>
                      </w:p>
                    </w:tc>
                    <w:tc>
                      <w:tcPr>
                        <w:tcW w:w="101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8"/>
                            <w:szCs w:val="28"/>
                          </w:rPr>
                        </w:pPr>
                        <w:r>
                          <w:rPr>
                            <w:rFonts w:hint="eastAsia" w:ascii="仿宋_GB2312" w:hAnsi="仿宋_GB2312" w:eastAsia="仿宋_GB2312" w:cs="仿宋"/>
                            <w:sz w:val="28"/>
                            <w:szCs w:val="28"/>
                          </w:rPr>
                          <w:t>行政</w:t>
                        </w:r>
                      </w:p>
                    </w:tc>
                    <w:tc>
                      <w:tcPr>
                        <w:tcW w:w="1209"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4"/>
                            <w:szCs w:val="24"/>
                          </w:rPr>
                        </w:pPr>
                        <w:r>
                          <w:rPr>
                            <w:rFonts w:hint="eastAsia" w:ascii="仿宋_GB2312" w:hAnsi="仿宋_GB2312" w:eastAsia="仿宋_GB2312" w:cs="仿宋"/>
                            <w:sz w:val="24"/>
                            <w:szCs w:val="24"/>
                          </w:rPr>
                          <w:t>正科级</w:t>
                        </w:r>
                      </w:p>
                    </w:tc>
                    <w:tc>
                      <w:tcPr>
                        <w:tcW w:w="31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jc w:val="center"/>
                          <w:rPr>
                            <w:rFonts w:ascii="仿宋_GB2312" w:hAnsi="仿宋_GB2312" w:eastAsia="仿宋_GB2312" w:cs="仿宋"/>
                            <w:sz w:val="24"/>
                            <w:szCs w:val="24"/>
                          </w:rPr>
                        </w:pPr>
                        <w:r>
                          <w:rPr>
                            <w:rFonts w:hint="eastAsia" w:ascii="仿宋_GB2312" w:hAnsi="仿宋_GB2312" w:eastAsia="仿宋_GB2312" w:cs="仿宋"/>
                            <w:sz w:val="24"/>
                            <w:szCs w:val="24"/>
                          </w:rPr>
                          <w:t>财政拨款</w:t>
                        </w:r>
                      </w:p>
                    </w:tc>
                  </w:tr>
                </w:tbl>
                <w:p/>
              </w:txbxContent>
            </v:textbox>
            <w10:wrap type="square"/>
          </v:shape>
        </w:pict>
      </w:r>
    </w:p>
    <w:p>
      <w:pP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p>
    <w:p>
      <w:pPr>
        <w:ind w:firstLine="480"/>
        <w:rPr>
          <w:rFonts w:ascii="仿宋_GB2312" w:hAnsi="仿宋_GB2312" w:eastAsia="仿宋_GB2312"/>
          <w:sz w:val="32"/>
          <w:szCs w:val="32"/>
        </w:rPr>
      </w:pPr>
      <w:r>
        <w:rPr>
          <w:rFonts w:hint="eastAsia" w:ascii="仿宋_GB2312" w:hAnsi="仿宋_GB2312" w:eastAsia="仿宋_GB2312"/>
          <w:sz w:val="32"/>
          <w:szCs w:val="32"/>
        </w:rPr>
        <w:t>编制4名，其中主席1名、副主席1名、秘书1名，下设办公室人员1名。</w:t>
      </w:r>
    </w:p>
    <w:p>
      <w:pPr>
        <w:outlineLvl w:val="0"/>
        <w:rPr>
          <w:rFonts w:ascii="Times New Roman" w:hAnsi="Times New Roman" w:eastAsia="方正小标宋_GBK"/>
          <w:sz w:val="32"/>
          <w:szCs w:val="24"/>
        </w:rPr>
      </w:pP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p>
      <w:pPr>
        <w:ind w:firstLine="64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仿宋" w:hAnsi="仿宋" w:eastAsia="仿宋" w:cs="仿宋"/>
          <w:sz w:val="32"/>
          <w:szCs w:val="32"/>
        </w:rPr>
      </w:pPr>
      <w:r>
        <w:rPr>
          <w:rFonts w:hint="eastAsia" w:ascii="仿宋" w:hAnsi="仿宋" w:eastAsia="仿宋" w:cs="仿宋"/>
          <w:sz w:val="32"/>
          <w:szCs w:val="32"/>
        </w:rPr>
        <w:t>1、收入说明</w:t>
      </w:r>
    </w:p>
    <w:p>
      <w:pPr>
        <w:ind w:firstLine="640"/>
        <w:rPr>
          <w:rFonts w:ascii="仿宋" w:hAnsi="仿宋" w:eastAsia="仿宋" w:cs="仿宋"/>
          <w:sz w:val="32"/>
          <w:szCs w:val="32"/>
        </w:rPr>
      </w:pPr>
      <w:r>
        <w:rPr>
          <w:rFonts w:hint="eastAsia" w:ascii="仿宋" w:hAnsi="仿宋" w:eastAsia="仿宋" w:cs="仿宋"/>
          <w:sz w:val="32"/>
          <w:szCs w:val="32"/>
        </w:rPr>
        <w:t>反映本部门当年全部收入。2019年预算收入70.92万元，其中：一般公共预算收入70.92万元，基金预算收入0万元，财政专户核拨收入0万元，其他来源收入0万元。</w:t>
      </w:r>
    </w:p>
    <w:p>
      <w:pPr>
        <w:ind w:firstLine="640"/>
        <w:rPr>
          <w:rFonts w:ascii="仿宋" w:hAnsi="仿宋" w:eastAsia="仿宋" w:cs="仿宋"/>
          <w:sz w:val="32"/>
          <w:szCs w:val="32"/>
        </w:rPr>
      </w:pPr>
      <w:r>
        <w:rPr>
          <w:rFonts w:hint="eastAsia" w:ascii="仿宋" w:hAnsi="仿宋" w:eastAsia="仿宋" w:cs="仿宋"/>
          <w:sz w:val="32"/>
          <w:szCs w:val="32"/>
        </w:rPr>
        <w:t>2、支出说明</w:t>
      </w:r>
    </w:p>
    <w:p>
      <w:pPr>
        <w:ind w:firstLine="64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文学艺术界联合会年度部门预算中支出预算的总体情况。2019年支出预算70.92万元，其中基本支出58.52万元，包括人员经费44.87万元和日常公用经费13.65万元；项目支出12.4万元，包括鹿泉文苑印刷费及协会活动经费，全为本级项目支出。</w:t>
      </w:r>
    </w:p>
    <w:p>
      <w:pPr>
        <w:ind w:firstLine="640"/>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ascii="仿宋" w:hAnsi="仿宋" w:eastAsia="仿宋" w:cs="仿宋"/>
          <w:sz w:val="32"/>
          <w:szCs w:val="32"/>
        </w:rPr>
      </w:pPr>
      <w:r>
        <w:rPr>
          <w:rFonts w:hint="eastAsia" w:ascii="仿宋" w:hAnsi="仿宋" w:eastAsia="仿宋" w:cs="仿宋"/>
          <w:sz w:val="32"/>
          <w:szCs w:val="32"/>
        </w:rPr>
        <w:t>2019年预算收支安排70.92万元，较2018年预算增加4.15，其中：基本支出增加7.45万元，主要为增加人员经费支出；项目支出减少3万元，主要为减少一次性项目支出。</w:t>
      </w:r>
    </w:p>
    <w:p>
      <w:pPr>
        <w:ind w:left="198" w:firstLine="640"/>
        <w:jc w:val="left"/>
        <w:rPr>
          <w:rFonts w:ascii="黑体" w:hAnsi="黑体" w:eastAsia="黑体"/>
          <w:sz w:val="32"/>
          <w:szCs w:val="32"/>
        </w:rPr>
      </w:pPr>
      <w:r>
        <w:rPr>
          <w:rFonts w:hint="eastAsia" w:ascii="黑体" w:hAnsi="黑体" w:eastAsia="黑体"/>
          <w:sz w:val="32"/>
          <w:szCs w:val="32"/>
        </w:rPr>
        <w:t>三、机关运行经费安排情况</w:t>
      </w:r>
    </w:p>
    <w:p>
      <w:pPr>
        <w:ind w:firstLine="640"/>
        <w:rPr>
          <w:rFonts w:ascii="仿宋" w:hAnsi="仿宋" w:eastAsia="仿宋" w:cs="仿宋"/>
          <w:sz w:val="32"/>
          <w:szCs w:val="32"/>
        </w:rPr>
      </w:pPr>
      <w:r>
        <w:rPr>
          <w:rFonts w:hint="eastAsia" w:ascii="仿宋" w:hAnsi="仿宋" w:eastAsia="仿宋" w:cs="仿宋"/>
          <w:sz w:val="32"/>
          <w:szCs w:val="32"/>
        </w:rPr>
        <w:t>2019年，我单位机关运行经费共计安排14.59万元，主要用于我单位的日常维修、办公用房水电费、办公用房取暖费、办公用房物业管理费等日常运行支出。</w:t>
      </w:r>
    </w:p>
    <w:p>
      <w:pPr>
        <w:ind w:left="198" w:firstLine="640"/>
        <w:jc w:val="left"/>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仿宋" w:hAnsi="仿宋" w:eastAsia="仿宋" w:cs="仿宋"/>
          <w:sz w:val="32"/>
          <w:szCs w:val="32"/>
        </w:rPr>
        <w:t>2019年，我单位财政拨款“三公”经费预算安排2.7万元，其中因公出国（境）费0万元；公务用车购置及运维费2.7万元（其中：公务用车购置费为0万元，公务用车运维费2.7万元)与2018年相比持平；公务接待费0万元。</w:t>
      </w:r>
      <w:r>
        <w:rPr>
          <w:rFonts w:hint="eastAsia" w:ascii="Times New Roman" w:hAnsi="Times New Roman" w:eastAsia="仿宋"/>
          <w:sz w:val="32"/>
          <w:szCs w:val="32"/>
        </w:rPr>
        <w:t>“三公”经费与上年持平，无增减变化。</w:t>
      </w:r>
    </w:p>
    <w:p>
      <w:pPr>
        <w:ind w:firstLine="640"/>
        <w:rPr>
          <w:rFonts w:ascii="仿宋" w:hAnsi="仿宋" w:eastAsia="仿宋" w:cs="仿宋"/>
          <w:sz w:val="32"/>
          <w:szCs w:val="32"/>
        </w:rPr>
      </w:pPr>
    </w:p>
    <w:p>
      <w:pPr>
        <w:ind w:firstLine="640"/>
        <w:rPr>
          <w:rFonts w:ascii="黑体" w:hAnsi="黑体" w:eastAsia="黑体"/>
          <w:sz w:val="32"/>
          <w:szCs w:val="32"/>
        </w:rPr>
      </w:pPr>
      <w:r>
        <w:rPr>
          <w:rFonts w:hint="eastAsia" w:ascii="黑体" w:hAnsi="黑体" w:eastAsia="黑体"/>
          <w:sz w:val="32"/>
          <w:szCs w:val="32"/>
        </w:rPr>
        <w:t>五、绩效预算信息</w:t>
      </w:r>
    </w:p>
    <w:p>
      <w:pPr>
        <w:ind w:firstLine="640"/>
        <w:jc w:val="left"/>
        <w:rPr>
          <w:rFonts w:ascii="Times New Roman" w:hAnsi="Times New Roman" w:eastAsia="方正仿宋_GBK"/>
          <w:b/>
          <w:sz w:val="32"/>
          <w:szCs w:val="32"/>
        </w:rPr>
      </w:pPr>
      <w:bookmarkStart w:id="0" w:name="_Toc471398463"/>
      <w:bookmarkEnd w:id="0"/>
      <w:r>
        <w:rPr>
          <w:rFonts w:ascii="Times New Roman" w:hAnsi="Times New Roman" w:eastAsia="方正仿宋_GBK"/>
          <w:b/>
          <w:sz w:val="32"/>
          <w:szCs w:val="32"/>
        </w:rPr>
        <w:t>总体绩效目标：</w:t>
      </w:r>
    </w:p>
    <w:p>
      <w:pPr>
        <w:spacing w:line="500" w:lineRule="exact"/>
        <w:ind w:firstLine="560"/>
        <w:rPr>
          <w:rFonts w:ascii="方正仿宋_GBK" w:eastAsia="方正仿宋_GBK"/>
          <w:sz w:val="28"/>
        </w:rPr>
      </w:pPr>
      <w:r>
        <w:rPr>
          <w:rFonts w:ascii="方正仿宋_GBK" w:eastAsia="方正仿宋_GBK"/>
          <w:sz w:val="28"/>
        </w:rPr>
        <w:t>1. 组织召开区文联和全区性文艺家协会代表大会、文联委员会和主席会议，组织召开全区文联系统的工作会议，开展会员间的联络、协调和服务工作，听取和反映文艺界的情况和意见。</w:t>
      </w:r>
    </w:p>
    <w:p>
      <w:pPr>
        <w:spacing w:line="500" w:lineRule="exact"/>
        <w:ind w:firstLine="560"/>
        <w:rPr>
          <w:rFonts w:ascii="方正仿宋_GBK" w:eastAsia="方正仿宋_GBK"/>
          <w:sz w:val="28"/>
        </w:rPr>
      </w:pPr>
      <w:r>
        <w:rPr>
          <w:rFonts w:ascii="方正仿宋_GBK" w:eastAsia="方正仿宋_GBK"/>
          <w:sz w:val="28"/>
        </w:rPr>
        <w:t>推进协会管理科学规范，召开联络会议，组织会员活动，加大培训力度，为河北文艺事业健康快速发展提供组织保障。</w:t>
      </w:r>
    </w:p>
    <w:p>
      <w:pPr>
        <w:spacing w:line="500" w:lineRule="exact"/>
        <w:ind w:firstLine="560"/>
        <w:rPr>
          <w:rFonts w:ascii="方正仿宋_GBK" w:eastAsia="方正仿宋_GBK"/>
          <w:sz w:val="28"/>
        </w:rPr>
      </w:pPr>
      <w:r>
        <w:rPr>
          <w:rFonts w:ascii="方正仿宋_GBK" w:eastAsia="方正仿宋_GBK"/>
          <w:sz w:val="28"/>
        </w:rPr>
        <w:t>2.召开协会会议，加强会员管理，举办会员活动，维护活动场所，建设文艺人才资源库，组织文艺研修，提高广大文艺工作者的政治、业务素质。保障机关正常运行。</w:t>
      </w:r>
    </w:p>
    <w:p>
      <w:pPr>
        <w:spacing w:line="500" w:lineRule="exact"/>
        <w:ind w:firstLine="560"/>
        <w:rPr>
          <w:rFonts w:ascii="方正仿宋_GBK" w:eastAsia="方正仿宋_GBK"/>
          <w:sz w:val="28"/>
        </w:rPr>
      </w:pPr>
      <w:r>
        <w:rPr>
          <w:rFonts w:ascii="方正仿宋_GBK" w:eastAsia="方正仿宋_GBK"/>
          <w:sz w:val="28"/>
        </w:rPr>
        <w:t>推进协会管理科学规范，保障文联正常有序运行，召开联络会议，组织会员活动，加大培训力度，为河北文艺事业健康快速发展提供组织保障。</w:t>
      </w:r>
    </w:p>
    <w:p>
      <w:pPr>
        <w:spacing w:line="500" w:lineRule="exact"/>
        <w:ind w:firstLine="560"/>
        <w:rPr>
          <w:rFonts w:ascii="方正仿宋_GBK" w:eastAsia="方正仿宋_GBK"/>
          <w:sz w:val="28"/>
        </w:rPr>
      </w:pPr>
      <w:r>
        <w:rPr>
          <w:rFonts w:ascii="方正仿宋_GBK" w:eastAsia="方正仿宋_GBK"/>
          <w:sz w:val="28"/>
        </w:rPr>
        <w:t>3.宣传、动员组织广大文艺工作者致力于繁荣发展燕赵艺术事业，组织艺术家深入生活，创作优秀作品。组织文艺理论研讨和学术交流工作。</w:t>
      </w:r>
    </w:p>
    <w:p>
      <w:pPr>
        <w:spacing w:line="500" w:lineRule="exact"/>
        <w:ind w:firstLine="420" w:firstLineChars="150"/>
        <w:rPr>
          <w:rFonts w:hint="eastAsia" w:ascii="方正仿宋_GBK" w:eastAsia="方正仿宋_GBK"/>
          <w:sz w:val="28"/>
        </w:rPr>
      </w:pPr>
      <w:r>
        <w:rPr>
          <w:rFonts w:ascii="方正仿宋_GBK" w:eastAsia="方正仿宋_GBK"/>
          <w:sz w:val="28"/>
        </w:rPr>
        <w:t xml:space="preserve"> 4.组织区内文艺工作者创作文艺精品，繁荣文化事业，促进文化艺术的影响力和美誉进一步提高。</w:t>
      </w:r>
    </w:p>
    <w:p>
      <w:pPr>
        <w:autoSpaceDE w:val="0"/>
        <w:autoSpaceDN w:val="0"/>
        <w:adjustRightInd w:val="0"/>
        <w:ind w:firstLine="643"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分项绩效目标</w:t>
      </w:r>
      <w:r>
        <w:rPr>
          <w:rFonts w:ascii="Times New Roman" w:hAnsi="Times New Roman" w:eastAsia="方正仿宋_GBK"/>
          <w:b/>
          <w:sz w:val="32"/>
          <w:szCs w:val="32"/>
        </w:rPr>
        <w:fldChar w:fldCharType="begin"/>
      </w:r>
      <w:r>
        <w:rPr>
          <w:rFonts w:ascii="Times New Roman" w:hAnsi="Times New Roman" w:eastAsia="方正仿宋_GBK"/>
          <w:b/>
          <w:sz w:val="32"/>
          <w:szCs w:val="32"/>
        </w:rPr>
        <w:instrText xml:space="preserve"> TC </w:instrText>
      </w:r>
      <w:bookmarkStart w:id="1" w:name="_Toc29484629"/>
      <w:r>
        <w:rPr>
          <w:rFonts w:hint="eastAsia" w:ascii="Times New Roman" w:hAnsi="Times New Roman" w:eastAsia="方正仿宋_GBK"/>
          <w:b/>
          <w:sz w:val="32"/>
          <w:szCs w:val="32"/>
        </w:rPr>
        <w:instrText xml:space="preserve">分项绩效目标</w:instrText>
      </w:r>
      <w:bookmarkEnd w:id="1"/>
      <w:r>
        <w:rPr>
          <w:rFonts w:ascii="Times New Roman" w:hAnsi="Times New Roman" w:eastAsia="方正仿宋_GBK"/>
          <w:b/>
          <w:sz w:val="32"/>
          <w:szCs w:val="32"/>
        </w:rPr>
        <w:instrText xml:space="preserve"> \f A \l 1 </w:instrText>
      </w:r>
      <w:r>
        <w:rPr>
          <w:rFonts w:ascii="Times New Roman" w:hAnsi="Times New Roman" w:eastAsia="方正仿宋_GBK"/>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宋体" w:hAnsi="宋体" w:eastAsia="宋体" w:cs="黑体"/>
          <w:sz w:val="32"/>
        </w:rPr>
      </w:pPr>
      <w:r>
        <w:rPr>
          <w:rFonts w:hint="eastAsia" w:ascii="宋体" w:hAnsi="宋体" w:eastAsia="宋体" w:cs="宋体"/>
          <w:sz w:val="32"/>
        </w:rPr>
        <w:t>（一）组织艺术家开展文艺活动。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hint="eastAsia" w:ascii="新宋体" w:hAnsi="新宋体" w:eastAsia="新宋体"/>
          <w:sz w:val="32"/>
        </w:rPr>
      </w:pPr>
      <w:r>
        <w:rPr>
          <w:rFonts w:hint="eastAsia" w:ascii="宋体" w:hAnsi="宋体" w:eastAsia="宋体" w:cs="宋体"/>
          <w:sz w:val="32"/>
        </w:rPr>
        <w:t>绩效目标：</w:t>
      </w:r>
      <w:r>
        <w:rPr>
          <w:rFonts w:hint="eastAsia" w:ascii="新宋体" w:hAnsi="新宋体" w:eastAsia="新宋体"/>
          <w:sz w:val="32"/>
        </w:rPr>
        <w:t>组织艺术家围绕区委、区政府的中心工作开展一系列文艺活动，定期召开协会会议，增强协会成员之间的凝聚力。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hint="eastAsia" w:ascii="Arial" w:hAnsi="Arial" w:eastAsia="宋体"/>
          <w:sz w:val="32"/>
        </w:rPr>
      </w:pPr>
      <w:r>
        <w:rPr>
          <w:rFonts w:hint="eastAsia" w:ascii="宋体" w:hAnsi="宋体" w:eastAsia="宋体" w:cs="宋体"/>
          <w:sz w:val="32"/>
        </w:rPr>
        <w:t>绩效指标：</w:t>
      </w:r>
      <w:r>
        <w:rPr>
          <w:rFonts w:hint="eastAsia" w:ascii="新宋体" w:hAnsi="新宋体" w:eastAsia="新宋体"/>
          <w:sz w:val="32"/>
        </w:rPr>
        <w:t>每年组织各种门类艺术活动不低于30场，开展协会会议不低于10次。提高社会影响力，得到广大群众的充分认可；群众满意度达到90%以上。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ascii="宋体" w:hAnsi="宋体"/>
          <w:sz w:val="32"/>
        </w:rPr>
      </w:pPr>
      <w:r>
        <w:rPr>
          <w:rFonts w:hint="eastAsia" w:ascii="宋体" w:hAnsi="宋体" w:eastAsia="宋体" w:cs="宋体"/>
          <w:sz w:val="32"/>
        </w:rPr>
        <w:t>（二）出版《鹿泉文苑》文艺书籍。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hint="eastAsia" w:ascii="新宋体" w:hAnsi="新宋体" w:eastAsia="新宋体"/>
          <w:sz w:val="32"/>
        </w:rPr>
      </w:pPr>
      <w:r>
        <w:rPr>
          <w:rFonts w:hint="eastAsia" w:ascii="宋体" w:hAnsi="宋体" w:eastAsia="宋体" w:cs="宋体"/>
          <w:sz w:val="32"/>
        </w:rPr>
        <w:t>绩效目标：</w:t>
      </w:r>
      <w:r>
        <w:rPr>
          <w:rFonts w:hint="eastAsia" w:ascii="新宋体" w:hAnsi="新宋体" w:eastAsia="新宋体"/>
          <w:sz w:val="32"/>
        </w:rPr>
        <w:t>由文联组织面向大众征集审核优秀文艺作品，编辑《鹿泉文苑》书刊及电子杂志，进行免费发放，供文艺爱好者阅读，以提高我区居民的文化素养。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29"/>
        <w:rPr>
          <w:rFonts w:hint="eastAsia" w:ascii="Arial" w:hAnsi="Arial" w:eastAsia="宋体"/>
          <w:sz w:val="32"/>
        </w:rPr>
      </w:pPr>
      <w:r>
        <w:rPr>
          <w:rFonts w:hint="eastAsia" w:ascii="宋体" w:hAnsi="宋体" w:eastAsia="宋体" w:cs="宋体"/>
          <w:sz w:val="32"/>
        </w:rPr>
        <w:t>绩效指标：</w:t>
      </w:r>
      <w:r>
        <w:rPr>
          <w:rFonts w:hint="eastAsia" w:ascii="新宋体" w:hAnsi="新宋体" w:eastAsia="新宋体"/>
          <w:sz w:val="32"/>
        </w:rPr>
        <w:t>每年组织刊印《鹿泉文苑》书籍不低于6期，数量不低于1500本，发放人数不低于1500人，向群众征集优秀作品不低于10次，得到广大群众的充分认可，满意度达到90%以上。</w:t>
      </w:r>
    </w:p>
    <w:p>
      <w:pPr>
        <w:pStyle w:val="18"/>
        <w:widowControl/>
        <w:rPr>
          <w:rFonts w:ascii="Arial" w:hAnsi="Arial"/>
          <w:sz w:val="32"/>
        </w:rPr>
      </w:pPr>
    </w:p>
    <w:p>
      <w:pPr>
        <w:autoSpaceDE w:val="0"/>
        <w:autoSpaceDN w:val="0"/>
        <w:adjustRightInd w:val="0"/>
        <w:ind w:firstLine="643"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工作保障措施</w:t>
      </w:r>
      <w:r>
        <w:rPr>
          <w:rFonts w:ascii="Times New Roman" w:hAnsi="Times New Roman" w:eastAsia="方正仿宋_GBK"/>
          <w:b/>
          <w:sz w:val="32"/>
          <w:szCs w:val="32"/>
        </w:rPr>
        <w:fldChar w:fldCharType="begin"/>
      </w:r>
      <w:r>
        <w:rPr>
          <w:rFonts w:ascii="Times New Roman" w:hAnsi="Times New Roman" w:eastAsia="方正仿宋_GBK"/>
          <w:b/>
          <w:sz w:val="32"/>
          <w:szCs w:val="32"/>
        </w:rPr>
        <w:instrText xml:space="preserve"> TC </w:instrText>
      </w:r>
      <w:bookmarkStart w:id="2" w:name="_Toc29484630"/>
      <w:r>
        <w:rPr>
          <w:rFonts w:hint="eastAsia" w:ascii="Times New Roman" w:hAnsi="Times New Roman" w:eastAsia="方正仿宋_GBK"/>
          <w:b/>
          <w:sz w:val="32"/>
          <w:szCs w:val="32"/>
        </w:rPr>
        <w:instrText xml:space="preserve">工作保障措施</w:instrText>
      </w:r>
      <w:bookmarkEnd w:id="2"/>
      <w:r>
        <w:rPr>
          <w:rFonts w:ascii="Times New Roman" w:hAnsi="Times New Roman" w:eastAsia="方正仿宋_GBK"/>
          <w:b/>
          <w:sz w:val="32"/>
          <w:szCs w:val="32"/>
        </w:rPr>
        <w:instrText xml:space="preserve"> \f A \l 1 </w:instrText>
      </w:r>
      <w:r>
        <w:rPr>
          <w:rFonts w:ascii="Times New Roman" w:hAnsi="Times New Roman" w:eastAsia="方正仿宋_GBK"/>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cs="黑体"/>
          <w:sz w:val="32"/>
        </w:rPr>
      </w:pPr>
      <w:r>
        <w:rPr>
          <w:color w:val="353535"/>
          <w:shd w:val="clear" w:color="auto" w:fill="FAFAFD"/>
        </w:rPr>
        <w:t xml:space="preserve"> </w:t>
      </w:r>
      <w:r>
        <w:rPr>
          <w:rFonts w:hint="eastAsia" w:ascii="新宋体" w:hAnsi="新宋体" w:eastAsia="新宋体"/>
          <w:sz w:val="32"/>
        </w:rPr>
        <w:t>完善制度建设，完善落实绩效预算管理制度，制定2020重点工作台账，将每项工作任务分解，明确责任到人，全面落实主体责任，切实担负起职责使命，奋力推动上级关于文联工作的各项决策部署落地落实，为全年预算绩效目标的实现奠定基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hint="eastAsia" w:ascii="新宋体" w:hAnsi="新宋体" w:eastAsia="新宋体"/>
          <w:sz w:val="32"/>
        </w:rPr>
      </w:pPr>
      <w:r>
        <w:rPr>
          <w:rFonts w:hint="eastAsia" w:ascii="新宋体" w:hAnsi="新宋体" w:eastAsia="新宋体"/>
          <w:sz w:val="32"/>
        </w:rPr>
        <w:t>加强支出管理。将2020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hint="eastAsia" w:ascii="新宋体" w:hAnsi="新宋体" w:eastAsia="新宋体"/>
          <w:sz w:val="32"/>
        </w:rPr>
      </w:pPr>
      <w:r>
        <w:rPr>
          <w:rFonts w:hint="eastAsia" w:ascii="新宋体" w:hAnsi="新宋体" w:eastAsia="新宋体"/>
          <w:sz w:val="32"/>
        </w:rPr>
        <w:t>加强绩效运行监控。严格执行三重一大制度，所有大额资金支出、重大项目实施等，必须经领导班子会研究通过并执行。按要求开展绩效运行监控，发现问题及时采取措施，确保绩效目标如期保质实现。</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hint="eastAsia" w:ascii="新宋体" w:hAnsi="新宋体" w:eastAsia="新宋体"/>
          <w:sz w:val="32"/>
        </w:rPr>
      </w:pPr>
      <w:r>
        <w:rPr>
          <w:rFonts w:hint="eastAsia" w:ascii="新宋体" w:hAnsi="新宋体" w:eastAsia="新宋体"/>
          <w:sz w:val="32"/>
        </w:rPr>
        <w:t>做好绩效自评。按要求开展上年度部门预算绩效自评和重点评价工作，对评价中发现的问题及时整改，调整优化支出结构，提高财政资金使用效益。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hint="eastAsia" w:ascii="新宋体" w:hAnsi="新宋体" w:eastAsia="新宋体"/>
          <w:sz w:val="32"/>
        </w:rPr>
      </w:pPr>
      <w:r>
        <w:rPr>
          <w:rFonts w:hint="eastAsia" w:ascii="新宋体" w:hAnsi="新宋体" w:eastAsia="新宋体"/>
          <w:sz w:val="32"/>
        </w:rPr>
        <w:t>规范财务资产管理。完善财务管理制度，严格审批程序，加强固定资产登记、使用和报废处置管理，做到支出合理，物尽其用。建立离任审计制度，确保财务管理规范合理。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hint="eastAsia" w:ascii="新宋体" w:hAnsi="新宋体" w:eastAsia="新宋体"/>
          <w:sz w:val="32"/>
        </w:rPr>
      </w:pPr>
      <w:r>
        <w:rPr>
          <w:rFonts w:hint="eastAsia" w:ascii="新宋体" w:hAnsi="新宋体" w:eastAsia="新宋体"/>
          <w:sz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30"/>
        <w:rPr>
          <w:rFonts w:ascii="新宋体" w:hAnsi="新宋体" w:eastAsia="新宋体"/>
          <w:sz w:val="32"/>
        </w:rPr>
      </w:pPr>
      <w:r>
        <w:rPr>
          <w:rFonts w:hint="eastAsia" w:ascii="新宋体" w:hAnsi="新宋体" w:eastAsia="新宋体"/>
          <w:sz w:val="32"/>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ind w:firstLine="560"/>
        <w:rPr>
          <w:rFonts w:ascii="楷体_GB2312" w:hAnsi="楷体_GB2312" w:eastAsia="楷体_GB2312"/>
          <w:b/>
          <w:sz w:val="32"/>
          <w:szCs w:val="32"/>
        </w:rPr>
      </w:pPr>
    </w:p>
    <w:p>
      <w:pPr>
        <w:ind w:firstLine="560"/>
        <w:rPr>
          <w:rFonts w:ascii="楷体_GB2312" w:hAnsi="楷体_GB2312" w:eastAsia="楷体_GB2312"/>
          <w:b/>
          <w:sz w:val="32"/>
          <w:szCs w:val="24"/>
        </w:rPr>
      </w:pPr>
      <w:r>
        <w:rPr>
          <w:rFonts w:hint="eastAsia" w:ascii="楷体_GB2312" w:hAnsi="楷体_GB2312" w:eastAsia="楷体_GB2312"/>
          <w:b/>
          <w:sz w:val="32"/>
          <w:szCs w:val="32"/>
        </w:rPr>
        <w:t>部门职责及工作活动绩效目标指标：</w:t>
      </w:r>
    </w:p>
    <w:p>
      <w:pPr>
        <w:jc w:val="center"/>
        <w:outlineLvl w:val="0"/>
        <w:rPr>
          <w:rFonts w:ascii="方正小标宋_GBK" w:hAnsi="方正小标宋_GBK" w:eastAsia="方正小标宋_GBK"/>
          <w:sz w:val="32"/>
          <w:szCs w:val="24"/>
        </w:rPr>
      </w:pPr>
      <w:r>
        <w:rPr>
          <w:rFonts w:hint="eastAsia" w:ascii="方正小标宋_GBK" w:hAnsi="方正小标宋_GBK" w:eastAsia="方正小标宋_GBK"/>
          <w:sz w:val="32"/>
          <w:szCs w:val="24"/>
        </w:rPr>
        <w:t>部门职责-工作活动绩效目标</w:t>
      </w:r>
    </w:p>
    <w:tbl>
      <w:tblPr>
        <w:tblStyle w:val="8"/>
        <w:tblW w:w="14162" w:type="dxa"/>
        <w:tblInd w:w="0" w:type="dxa"/>
        <w:tblLayout w:type="fixed"/>
        <w:tblCellMar>
          <w:top w:w="0" w:type="dxa"/>
          <w:left w:w="108" w:type="dxa"/>
          <w:bottom w:w="0" w:type="dxa"/>
          <w:right w:w="108" w:type="dxa"/>
        </w:tblCellMar>
      </w:tblPr>
      <w:tblGrid>
        <w:gridCol w:w="108"/>
        <w:gridCol w:w="2233"/>
        <w:gridCol w:w="1276"/>
        <w:gridCol w:w="2976"/>
        <w:gridCol w:w="2976"/>
        <w:gridCol w:w="1417"/>
        <w:gridCol w:w="108"/>
        <w:gridCol w:w="629"/>
        <w:gridCol w:w="737"/>
        <w:gridCol w:w="737"/>
        <w:gridCol w:w="737"/>
        <w:gridCol w:w="228"/>
      </w:tblGrid>
      <w:tr>
        <w:trPr>
          <w:gridBefore w:val="1"/>
          <w:wBefore w:w="108" w:type="dxa"/>
          <w:trHeight w:val="227" w:hRule="atLeast"/>
          <w:tblHeader/>
        </w:trPr>
        <w:tc>
          <w:tcPr>
            <w:tcW w:w="10986" w:type="dxa"/>
            <w:gridSpan w:val="6"/>
            <w:tcBorders>
              <w:top w:val="single" w:color="FFFFFF" w:sz="6" w:space="0"/>
              <w:left w:val="single" w:color="FFFFFF" w:sz="6" w:space="0"/>
              <w:bottom w:val="single" w:color="000000" w:sz="6" w:space="0"/>
            </w:tcBorders>
            <w:shd w:val="clear" w:color="auto" w:fill="auto"/>
            <w:vAlign w:val="center"/>
          </w:tcPr>
          <w:p>
            <w:pPr>
              <w:spacing w:line="300" w:lineRule="exact"/>
              <w:jc w:val="left"/>
            </w:pPr>
            <w:r>
              <w:rPr>
                <w:rFonts w:ascii="方正小标宋_GBK" w:hAnsi="方正小标宋_GBK" w:eastAsia="方正小标宋_GBK" w:cs="方正小标宋_GBK"/>
                <w:sz w:val="24"/>
              </w:rPr>
              <w:t>7</w:t>
            </w:r>
            <w:r>
              <w:rPr>
                <w:rFonts w:hint="eastAsia" w:ascii="方正小标宋_GBK" w:hAnsi="方正小标宋_GBK" w:eastAsia="方正小标宋_GBK" w:cs="方正小标宋_GBK"/>
                <w:sz w:val="24"/>
              </w:rPr>
              <w:t>2</w:t>
            </w:r>
            <w:r>
              <w:rPr>
                <w:rFonts w:ascii="方正小标宋_GBK" w:hAnsi="方正小标宋_GBK" w:eastAsia="方正小标宋_GBK" w:cs="方正小标宋_GBK"/>
                <w:sz w:val="24"/>
              </w:rPr>
              <w:t>1</w:t>
            </w:r>
            <w:r>
              <w:rPr>
                <w:rFonts w:hint="eastAsia" w:ascii="方正小标宋_GBK" w:hAnsi="方正小标宋_GBK" w:eastAsia="方正小标宋_GBK" w:cs="方正小标宋_GBK"/>
                <w:sz w:val="24"/>
              </w:rPr>
              <w:t>石家庄市鹿泉区文学艺术界联合会</w:t>
            </w:r>
          </w:p>
        </w:tc>
        <w:tc>
          <w:tcPr>
            <w:tcW w:w="3068" w:type="dxa"/>
            <w:gridSpan w:val="5"/>
            <w:tcBorders>
              <w:top w:val="single" w:color="FFFFFF" w:sz="6" w:space="0"/>
              <w:left w:val="single" w:color="FFFFFF" w:sz="6" w:space="0"/>
              <w:bottom w:val="single" w:color="000000" w:sz="6" w:space="0"/>
              <w:right w:val="single" w:color="FFFFFF" w:sz="6" w:space="0"/>
            </w:tcBorders>
            <w:shd w:val="clear" w:color="auto" w:fill="auto"/>
            <w:vAlign w:val="center"/>
          </w:tcPr>
          <w:p>
            <w:pPr>
              <w:spacing w:line="300" w:lineRule="exact"/>
              <w:jc w:val="right"/>
            </w:pPr>
            <w:r>
              <w:rPr>
                <w:rFonts w:hint="eastAsia" w:ascii="方正书宋_GBK" w:hAnsi="方正书宋_GBK" w:eastAsia="方正书宋_GBK" w:cs="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blHeader/>
        </w:trPr>
        <w:tc>
          <w:tcPr>
            <w:tcW w:w="2341" w:type="dxa"/>
            <w:gridSpan w:val="2"/>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blHeader/>
        </w:trPr>
        <w:tc>
          <w:tcPr>
            <w:tcW w:w="2341" w:type="dxa"/>
            <w:gridSpan w:val="2"/>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一、文艺联络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12.40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组织召开区文联和全区性文艺家协会代表大会、文联委员会和主席会议，组织召开全区文联系统的工作会议</w:t>
            </w:r>
            <w:r>
              <w:rPr>
                <w:rFonts w:ascii="方正书宋_GBK" w:eastAsia="方正书宋_GBK"/>
              </w:rPr>
              <w:t>,</w:t>
            </w:r>
            <w:r>
              <w:rPr>
                <w:rFonts w:hint="eastAsia" w:ascii="方正书宋_GBK" w:eastAsia="方正书宋_GBK"/>
              </w:rPr>
              <w:t>开展会员间的联络、协调和服务工作，听取和反映文艺界的情况和意见。</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推进协会管理科学规范，召开联络会议，组织会员活动，加大培训力度，为河北文艺事业健康快速发展提供组织保障。</w:t>
            </w:r>
          </w:p>
        </w:tc>
        <w:tc>
          <w:tcPr>
            <w:tcW w:w="1417" w:type="dxa"/>
            <w:shd w:val="clear" w:color="auto" w:fill="auto"/>
            <w:vAlign w:val="center"/>
          </w:tcPr>
          <w:p>
            <w:pPr>
              <w:spacing w:line="300" w:lineRule="exact"/>
              <w:jc w:val="left"/>
              <w:rPr>
                <w:rFonts w:ascii="方正书宋_GBK" w:eastAsia="方正书宋_GBK"/>
              </w:rPr>
            </w:pPr>
          </w:p>
        </w:tc>
        <w:tc>
          <w:tcPr>
            <w:tcW w:w="737" w:type="dxa"/>
            <w:gridSpan w:val="2"/>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、文艺联络</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12.40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召开协会会议，加强会员管理，举办会员活动，维护活动场所，建设文艺人才资源库，组织文艺研修，提高广大文艺工作者的政治、业务素质。保障机关正常运行。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推进协会管理科学规范、保障文联正常有序运行，召开联络会议，组织会员活动，加大培训力度，为河北文艺事业健康快速发展提供组织保障</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组织活动的场次</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文艺人才资源库人数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文艺研修教育人数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二、文艺创作与推介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宣传、动员、组织广大文艺工作者致力于繁荣发展燕赵艺术事业，组织艺术家深入生活，创作优秀作品。组织文艺理论研讨和学术交流工作。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组织区内文艺工作者创作文艺精品，繁荣文化事业，促进文化艺术的影响力和美誉度进一步提高。</w:t>
            </w:r>
          </w:p>
        </w:tc>
        <w:tc>
          <w:tcPr>
            <w:tcW w:w="1417" w:type="dxa"/>
            <w:shd w:val="clear" w:color="auto" w:fill="auto"/>
            <w:vAlign w:val="center"/>
          </w:tcPr>
          <w:p>
            <w:pPr>
              <w:spacing w:line="300" w:lineRule="exact"/>
              <w:jc w:val="left"/>
              <w:rPr>
                <w:rFonts w:ascii="方正书宋_GBK" w:eastAsia="方正书宋_GBK"/>
              </w:rPr>
            </w:pPr>
          </w:p>
        </w:tc>
        <w:tc>
          <w:tcPr>
            <w:tcW w:w="737" w:type="dxa"/>
            <w:gridSpan w:val="2"/>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、研讨推介</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组织艺术家深入生活，打造出一批体现时代精神，具有本地特色的艺术精品。举办论坛、研讨、展示、展演、评奖活动，积极申报全国性文艺奖项，组织好区内评奖，弘扬优秀传统文化，推动文化强区建设。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完善文艺精品扶持和奖励机制，落实责任制，论证确定一批既具有地域特色，又具备创作空间和社会影响力的题材，签约创作意向，力推精品生产和文艺名家</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文艺期刊编办次数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组织对外交流次数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组织民间文化交流次数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媒体宣传、信息数量</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组织艺术家创作次数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组织研讨推介活动次数</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28" w:type="dxa"/>
          <w:trHeight w:val="227" w:hRule="atLeast"/>
        </w:trPr>
        <w:tc>
          <w:tcPr>
            <w:tcW w:w="2341" w:type="dxa"/>
            <w:gridSpan w:val="2"/>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文艺精品生产数量</w:t>
            </w:r>
          </w:p>
        </w:tc>
        <w:tc>
          <w:tcPr>
            <w:tcW w:w="737" w:type="dxa"/>
            <w:gridSpan w:val="2"/>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r>
    </w:tbl>
    <w:p>
      <w:pPr>
        <w:ind w:left="200"/>
        <w:jc w:val="left"/>
        <w:rPr>
          <w:rFonts w:ascii="宋体" w:hAnsi="宋体" w:eastAsia="宋体" w:cs="宋体"/>
          <w:sz w:val="18"/>
          <w:szCs w:val="18"/>
        </w:rPr>
      </w:pPr>
    </w:p>
    <w:p>
      <w:pPr>
        <w:ind w:firstLine="640"/>
        <w:jc w:val="left"/>
        <w:rPr>
          <w:rFonts w:ascii="黑体" w:hAnsi="黑体" w:eastAsia="黑体"/>
          <w:sz w:val="32"/>
          <w:szCs w:val="32"/>
        </w:rPr>
      </w:pPr>
    </w:p>
    <w:p>
      <w:pPr>
        <w:ind w:firstLine="640"/>
        <w:jc w:val="left"/>
        <w:rPr>
          <w:rFonts w:ascii="黑体" w:hAnsi="黑体" w:eastAsia="黑体"/>
          <w:sz w:val="32"/>
          <w:szCs w:val="32"/>
        </w:rPr>
      </w:pPr>
      <w:r>
        <w:rPr>
          <w:rFonts w:hint="eastAsia" w:ascii="黑体" w:hAnsi="黑体" w:eastAsia="黑体"/>
          <w:sz w:val="32"/>
          <w:szCs w:val="32"/>
        </w:rPr>
        <w:t>六、政府采购预算情况</w:t>
      </w:r>
    </w:p>
    <w:p>
      <w:pPr>
        <w:outlineLvl w:val="0"/>
        <w:rPr>
          <w:rFonts w:ascii="仿宋" w:hAnsi="仿宋" w:eastAsia="仿宋" w:cs="仿宋"/>
          <w:sz w:val="32"/>
          <w:szCs w:val="32"/>
        </w:rPr>
      </w:pPr>
      <w:bookmarkStart w:id="3" w:name="_Toc471398468"/>
      <w:bookmarkEnd w:id="3"/>
      <w:r>
        <w:rPr>
          <w:rFonts w:ascii="Times New Roman" w:hAnsi="Times New Roman" w:eastAsia="方正仿宋_GBK"/>
          <w:sz w:val="32"/>
          <w:szCs w:val="24"/>
        </w:rPr>
        <w:t xml:space="preserve">   </w:t>
      </w:r>
      <w:r>
        <w:rPr>
          <w:rFonts w:hint="eastAsia" w:ascii="仿宋" w:hAnsi="仿宋" w:eastAsia="仿宋" w:cs="仿宋"/>
          <w:sz w:val="32"/>
          <w:szCs w:val="32"/>
        </w:rPr>
        <w:t>2019年，我单位无政府采购预算工表列示。</w:t>
      </w:r>
    </w:p>
    <w:p>
      <w:pPr>
        <w:jc w:val="center"/>
        <w:outlineLvl w:val="0"/>
        <w:rPr>
          <w:rFonts w:ascii="方正小标宋_GBK" w:hAnsi="方正小标宋_GBK" w:eastAsia="方正小标宋_GBK"/>
          <w:sz w:val="32"/>
          <w:szCs w:val="24"/>
        </w:rPr>
      </w:pPr>
      <w:r>
        <w:rPr>
          <w:rFonts w:hint="eastAsia" w:ascii="方正小标宋_GBK" w:hAnsi="方正小标宋_GBK" w:eastAsia="方正小标宋_GBK"/>
          <w:sz w:val="32"/>
          <w:szCs w:val="24"/>
        </w:rPr>
        <w:t>部门政府采购预算</w:t>
      </w:r>
    </w:p>
    <w:tbl>
      <w:tblPr>
        <w:tblStyle w:val="8"/>
        <w:tblW w:w="13752" w:type="dxa"/>
        <w:jc w:val="center"/>
        <w:tblLayout w:type="fixed"/>
        <w:tblCellMar>
          <w:top w:w="0" w:type="dxa"/>
          <w:left w:w="10" w:type="dxa"/>
          <w:bottom w:w="0" w:type="dxa"/>
          <w:right w:w="10" w:type="dxa"/>
        </w:tblCellMar>
      </w:tblPr>
      <w:tblGrid>
        <w:gridCol w:w="1567"/>
        <w:gridCol w:w="1564"/>
        <w:gridCol w:w="672"/>
        <w:gridCol w:w="1524"/>
        <w:gridCol w:w="564"/>
        <w:gridCol w:w="976"/>
        <w:gridCol w:w="976"/>
        <w:gridCol w:w="708"/>
        <w:gridCol w:w="862"/>
        <w:gridCol w:w="854"/>
        <w:gridCol w:w="862"/>
        <w:gridCol w:w="853"/>
        <w:gridCol w:w="853"/>
        <w:gridCol w:w="917"/>
      </w:tblGrid>
      <w:tr>
        <w:tblPrEx>
          <w:tblCellMar>
            <w:top w:w="0" w:type="dxa"/>
            <w:left w:w="10" w:type="dxa"/>
            <w:bottom w:w="0" w:type="dxa"/>
            <w:right w:w="10" w:type="dxa"/>
          </w:tblCellMar>
        </w:tblPrEx>
        <w:trPr>
          <w:tblHeader/>
          <w:jc w:val="center"/>
        </w:trPr>
        <w:tc>
          <w:tcPr>
            <w:tcW w:w="7843" w:type="dxa"/>
            <w:gridSpan w:val="7"/>
            <w:tcBorders>
              <w:top w:val="single" w:color="FFFFFF" w:sz="6" w:space="0"/>
              <w:left w:val="single" w:color="FFFFFF" w:sz="6" w:space="0"/>
              <w:bottom w:val="single" w:color="000000" w:sz="6" w:space="0"/>
              <w:right w:val="single" w:color="FFFFFF" w:sz="6" w:space="0"/>
            </w:tcBorders>
            <w:tcMar>
              <w:top w:w="0" w:type="dxa"/>
              <w:left w:w="108" w:type="dxa"/>
              <w:bottom w:w="0" w:type="dxa"/>
              <w:right w:w="108" w:type="dxa"/>
            </w:tcMar>
            <w:vAlign w:val="center"/>
          </w:tcPr>
          <w:p>
            <w:pPr>
              <w:spacing w:line="300" w:lineRule="exact"/>
              <w:jc w:val="left"/>
              <w:rPr>
                <w:rFonts w:ascii="方正小标宋_GBK" w:hAnsi="方正小标宋_GBK" w:eastAsia="方正小标宋_GBK"/>
                <w:sz w:val="24"/>
              </w:rPr>
            </w:pPr>
            <w:r>
              <w:rPr>
                <w:rFonts w:hint="eastAsia" w:ascii="方正小标宋_GBK" w:hAnsi="方正小标宋_GBK" w:eastAsia="方正小标宋_GBK"/>
                <w:sz w:val="24"/>
              </w:rPr>
              <w:t>721石家庄市鹿泉区文学艺术界联合会</w:t>
            </w:r>
          </w:p>
        </w:tc>
        <w:tc>
          <w:tcPr>
            <w:tcW w:w="5909" w:type="dxa"/>
            <w:gridSpan w:val="7"/>
            <w:tcBorders>
              <w:top w:val="single" w:color="FFFFFF" w:sz="6" w:space="0"/>
              <w:left w:val="single" w:color="FFFFFF" w:sz="6" w:space="0"/>
              <w:bottom w:val="single" w:color="000000" w:sz="6" w:space="0"/>
              <w:right w:val="single" w:color="FFFFFF" w:sz="6" w:space="0"/>
            </w:tcBorders>
            <w:tcMar>
              <w:top w:w="0" w:type="dxa"/>
              <w:left w:w="108" w:type="dxa"/>
              <w:bottom w:w="0" w:type="dxa"/>
              <w:right w:w="108" w:type="dxa"/>
            </w:tcMar>
            <w:vAlign w:val="center"/>
          </w:tcPr>
          <w:p>
            <w:pPr>
              <w:spacing w:line="300" w:lineRule="exact"/>
              <w:jc w:val="right"/>
              <w:rPr>
                <w:rFonts w:ascii="方正书宋_GBK" w:hAnsi="方正书宋_GBK" w:eastAsia="方正书宋_GBK"/>
                <w:sz w:val="24"/>
              </w:rPr>
            </w:pPr>
            <w:r>
              <w:rPr>
                <w:rFonts w:hint="eastAsia" w:ascii="方正书宋_GBK" w:hAnsi="方正书宋_GBK" w:eastAsia="方正书宋_GBK"/>
                <w:sz w:val="24"/>
              </w:rPr>
              <w:t>单位：万元</w:t>
            </w:r>
          </w:p>
        </w:tc>
      </w:tr>
      <w:tr>
        <w:tblPrEx>
          <w:tblCellMar>
            <w:top w:w="0" w:type="dxa"/>
            <w:left w:w="10" w:type="dxa"/>
            <w:bottom w:w="0" w:type="dxa"/>
            <w:right w:w="10" w:type="dxa"/>
          </w:tblCellMar>
        </w:tblPrEx>
        <w:trPr>
          <w:tblHeader/>
          <w:jc w:val="center"/>
        </w:trPr>
        <w:tc>
          <w:tcPr>
            <w:tcW w:w="3131" w:type="dxa"/>
            <w:gridSpan w:val="2"/>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政府采购项目来源</w:t>
            </w:r>
          </w:p>
        </w:tc>
        <w:tc>
          <w:tcPr>
            <w:tcW w:w="672"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采购物品名称</w:t>
            </w:r>
          </w:p>
        </w:tc>
        <w:tc>
          <w:tcPr>
            <w:tcW w:w="152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政府采购目录序号</w:t>
            </w:r>
          </w:p>
        </w:tc>
        <w:tc>
          <w:tcPr>
            <w:tcW w:w="56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数量  单位</w:t>
            </w:r>
          </w:p>
        </w:tc>
        <w:tc>
          <w:tcPr>
            <w:tcW w:w="976"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数量</w:t>
            </w:r>
          </w:p>
        </w:tc>
        <w:tc>
          <w:tcPr>
            <w:tcW w:w="976"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单价</w:t>
            </w:r>
          </w:p>
        </w:tc>
        <w:tc>
          <w:tcPr>
            <w:tcW w:w="5909" w:type="dxa"/>
            <w:gridSpan w:val="7"/>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政府采购金额</w:t>
            </w:r>
          </w:p>
        </w:tc>
      </w:tr>
      <w:tr>
        <w:tblPrEx>
          <w:tblCellMar>
            <w:top w:w="0" w:type="dxa"/>
            <w:left w:w="10" w:type="dxa"/>
            <w:bottom w:w="0" w:type="dxa"/>
            <w:right w:w="10" w:type="dxa"/>
          </w:tblCellMar>
        </w:tblPrEx>
        <w:trPr>
          <w:tblHeader/>
          <w:jc w:val="center"/>
        </w:trPr>
        <w:tc>
          <w:tcPr>
            <w:tcW w:w="1567"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项目名称</w:t>
            </w:r>
          </w:p>
        </w:tc>
        <w:tc>
          <w:tcPr>
            <w:tcW w:w="156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预算资金</w:t>
            </w:r>
          </w:p>
        </w:tc>
        <w:tc>
          <w:tcPr>
            <w:tcW w:w="672"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152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708"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总计</w:t>
            </w:r>
          </w:p>
        </w:tc>
        <w:tc>
          <w:tcPr>
            <w:tcW w:w="4284" w:type="dxa"/>
            <w:gridSpan w:val="5"/>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当年部门预算安排资金</w:t>
            </w:r>
          </w:p>
        </w:tc>
        <w:tc>
          <w:tcPr>
            <w:tcW w:w="917"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其他渠道资金</w:t>
            </w:r>
          </w:p>
        </w:tc>
      </w:tr>
      <w:tr>
        <w:tblPrEx>
          <w:tblCellMar>
            <w:top w:w="0" w:type="dxa"/>
            <w:left w:w="10" w:type="dxa"/>
            <w:bottom w:w="0" w:type="dxa"/>
            <w:right w:w="10" w:type="dxa"/>
          </w:tblCellMar>
        </w:tblPrEx>
        <w:trPr>
          <w:tblHeader/>
          <w:jc w:val="center"/>
        </w:trPr>
        <w:tc>
          <w:tcPr>
            <w:tcW w:w="1567"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1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672"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152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708"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合计</w:t>
            </w: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一般公共预算拨款</w:t>
            </w: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基金预算拨款</w:t>
            </w: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财政专户核拨</w:t>
            </w: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其他来源收入</w:t>
            </w:r>
          </w:p>
        </w:tc>
        <w:tc>
          <w:tcPr>
            <w:tcW w:w="917"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合　计</w:t>
            </w: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center"/>
              <w:textAlignment w:val="center"/>
              <w:rPr>
                <w:rFonts w:ascii="方正书宋_GBK" w:hAnsi="方正书宋_GBK" w:eastAsia="方正书宋_GBK"/>
                <w:b/>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b/>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b/>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b/>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rPr>
                <w:rFonts w:ascii="方正书宋_GBK" w:hAnsi="方正书宋_GBK" w:eastAsia="方正书宋_GBK"/>
                <w:b/>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ind w:right="105"/>
              <w:jc w:val="right"/>
              <w:textAlignment w:val="center"/>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lef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3131" w:type="dxa"/>
            <w:gridSpan w:val="2"/>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政府采购项目来源</w:t>
            </w:r>
          </w:p>
        </w:tc>
        <w:tc>
          <w:tcPr>
            <w:tcW w:w="672"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采购物品名称</w:t>
            </w:r>
          </w:p>
        </w:tc>
        <w:tc>
          <w:tcPr>
            <w:tcW w:w="152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政府采购目录序号</w:t>
            </w:r>
          </w:p>
        </w:tc>
        <w:tc>
          <w:tcPr>
            <w:tcW w:w="56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数量  单位</w:t>
            </w:r>
          </w:p>
        </w:tc>
        <w:tc>
          <w:tcPr>
            <w:tcW w:w="976"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数量</w:t>
            </w:r>
          </w:p>
        </w:tc>
        <w:tc>
          <w:tcPr>
            <w:tcW w:w="976"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单价</w:t>
            </w:r>
          </w:p>
        </w:tc>
        <w:tc>
          <w:tcPr>
            <w:tcW w:w="5909" w:type="dxa"/>
            <w:gridSpan w:val="7"/>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b/>
              </w:rPr>
            </w:pPr>
            <w:r>
              <w:rPr>
                <w:rFonts w:hint="eastAsia" w:ascii="方正书宋_GBK" w:hAnsi="方正书宋_GBK" w:eastAsia="方正书宋_GBK" w:cs="方正书宋_GBK"/>
                <w:b/>
                <w:color w:val="000000"/>
                <w:szCs w:val="21"/>
              </w:rPr>
              <w:t>政府采购金额</w:t>
            </w:r>
          </w:p>
        </w:tc>
      </w:tr>
      <w:tr>
        <w:tblPrEx>
          <w:tblCellMar>
            <w:top w:w="0" w:type="dxa"/>
            <w:left w:w="10" w:type="dxa"/>
            <w:bottom w:w="0" w:type="dxa"/>
            <w:right w:w="10" w:type="dxa"/>
          </w:tblCellMar>
        </w:tblPrEx>
        <w:trPr>
          <w:jc w:val="center"/>
        </w:trPr>
        <w:tc>
          <w:tcPr>
            <w:tcW w:w="1567"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项目名称</w:t>
            </w:r>
          </w:p>
        </w:tc>
        <w:tc>
          <w:tcPr>
            <w:tcW w:w="1564"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预算资金</w:t>
            </w:r>
          </w:p>
        </w:tc>
        <w:tc>
          <w:tcPr>
            <w:tcW w:w="672"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152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708"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总计</w:t>
            </w:r>
          </w:p>
        </w:tc>
        <w:tc>
          <w:tcPr>
            <w:tcW w:w="4284" w:type="dxa"/>
            <w:gridSpan w:val="5"/>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当年部门预算安排资金</w:t>
            </w:r>
          </w:p>
        </w:tc>
        <w:tc>
          <w:tcPr>
            <w:tcW w:w="917" w:type="dxa"/>
            <w:vMerge w:val="restart"/>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其他渠道资金</w:t>
            </w:r>
          </w:p>
        </w:tc>
      </w:tr>
      <w:tr>
        <w:tblPrEx>
          <w:tblCellMar>
            <w:top w:w="0" w:type="dxa"/>
            <w:left w:w="10" w:type="dxa"/>
            <w:bottom w:w="0" w:type="dxa"/>
            <w:right w:w="10" w:type="dxa"/>
          </w:tblCellMar>
        </w:tblPrEx>
        <w:trPr>
          <w:jc w:val="center"/>
        </w:trPr>
        <w:tc>
          <w:tcPr>
            <w:tcW w:w="1567"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1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672"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152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564"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976"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708"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合计</w:t>
            </w: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一般公共预算拨款</w:t>
            </w: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基金预算拨款</w:t>
            </w: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财政专户核拨</w:t>
            </w: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其他来源收入</w:t>
            </w:r>
          </w:p>
        </w:tc>
        <w:tc>
          <w:tcPr>
            <w:tcW w:w="917" w:type="dxa"/>
            <w:vMerge w:val="continue"/>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center"/>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jc w:val="center"/>
              <w:textAlignment w:val="center"/>
              <w:rPr>
                <w:rFonts w:ascii="方正书宋_GBK" w:hAnsi="方正书宋_GBK" w:eastAsia="方正书宋_GBK"/>
              </w:rPr>
            </w:pPr>
            <w:r>
              <w:rPr>
                <w:rFonts w:hint="eastAsia" w:ascii="方正书宋_GBK" w:hAnsi="方正书宋_GBK" w:eastAsia="方正书宋_GBK" w:cs="方正书宋_GBK"/>
                <w:b/>
                <w:color w:val="000000"/>
                <w:szCs w:val="21"/>
              </w:rPr>
              <w:t>合　计</w:t>
            </w: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r>
      <w:tr>
        <w:tblPrEx>
          <w:tblCellMar>
            <w:top w:w="0" w:type="dxa"/>
            <w:left w:w="10" w:type="dxa"/>
            <w:bottom w:w="0" w:type="dxa"/>
            <w:right w:w="10" w:type="dxa"/>
          </w:tblCellMar>
        </w:tblPrEx>
        <w:trPr>
          <w:jc w:val="center"/>
        </w:trPr>
        <w:tc>
          <w:tcPr>
            <w:tcW w:w="156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center"/>
              <w:textAlignment w:val="center"/>
              <w:rPr>
                <w:rFonts w:ascii="方正书宋_GBK" w:hAnsi="方正书宋_GBK" w:eastAsia="方正书宋_GBK"/>
              </w:rPr>
            </w:pPr>
          </w:p>
        </w:tc>
        <w:tc>
          <w:tcPr>
            <w:tcW w:w="1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67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152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56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left"/>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76"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708"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54"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widowControl/>
              <w:snapToGrid w:val="0"/>
              <w:jc w:val="right"/>
              <w:textAlignment w:val="center"/>
              <w:rPr>
                <w:rFonts w:ascii="方正书宋_GBK" w:hAnsi="方正书宋_GBK" w:eastAsia="方正书宋_GBK"/>
              </w:rPr>
            </w:pPr>
          </w:p>
        </w:tc>
        <w:tc>
          <w:tcPr>
            <w:tcW w:w="862"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853"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jc w:val="right"/>
              <w:rPr>
                <w:rFonts w:ascii="方正书宋_GBK" w:hAnsi="方正书宋_GBK" w:eastAsia="方正书宋_GBK"/>
              </w:rPr>
            </w:pPr>
          </w:p>
        </w:tc>
        <w:tc>
          <w:tcPr>
            <w:tcW w:w="917" w:type="dxa"/>
            <w:tcBorders>
              <w:top w:val="single" w:color="000000" w:sz="6" w:space="0"/>
              <w:left w:val="single" w:color="000000" w:sz="6" w:space="0"/>
              <w:bottom w:val="single" w:color="000000" w:sz="6" w:space="0"/>
              <w:right w:val="single" w:color="000000" w:sz="6" w:space="0"/>
            </w:tcBorders>
            <w:tcMar>
              <w:top w:w="0" w:type="dxa"/>
              <w:left w:w="108" w:type="dxa"/>
              <w:bottom w:w="0" w:type="dxa"/>
              <w:right w:w="108" w:type="dxa"/>
            </w:tcMar>
            <w:vAlign w:val="center"/>
          </w:tcPr>
          <w:p>
            <w:pPr>
              <w:snapToGrid w:val="0"/>
              <w:rPr>
                <w:rFonts w:ascii="方正书宋_GBK" w:hAnsi="方正书宋_GBK" w:eastAsia="方正书宋_GBK"/>
              </w:rPr>
            </w:pPr>
          </w:p>
        </w:tc>
      </w:tr>
    </w:tbl>
    <w:p>
      <w:pPr>
        <w:ind w:left="198" w:firstLine="640"/>
        <w:jc w:val="left"/>
        <w:rPr>
          <w:rFonts w:ascii="黑体" w:hAnsi="黑体" w:eastAsia="黑体"/>
          <w:sz w:val="32"/>
          <w:szCs w:val="32"/>
        </w:rPr>
      </w:pPr>
    </w:p>
    <w:p>
      <w:pPr>
        <w:ind w:firstLine="640"/>
        <w:jc w:val="left"/>
        <w:rPr>
          <w:rFonts w:ascii="黑体" w:hAnsi="黑体" w:eastAsia="黑体"/>
          <w:sz w:val="32"/>
          <w:szCs w:val="32"/>
        </w:rPr>
      </w:pPr>
      <w:r>
        <w:rPr>
          <w:rFonts w:hint="eastAsia" w:ascii="黑体" w:hAnsi="黑体" w:eastAsia="黑体"/>
          <w:sz w:val="32"/>
          <w:szCs w:val="32"/>
        </w:rPr>
        <w:t>七、国有资产信息</w:t>
      </w:r>
    </w:p>
    <w:p>
      <w:pPr>
        <w:ind w:firstLine="640"/>
        <w:rPr>
          <w:rFonts w:ascii="仿宋" w:hAnsi="仿宋" w:eastAsia="仿宋" w:cs="仿宋"/>
          <w:sz w:val="32"/>
          <w:szCs w:val="32"/>
        </w:rPr>
      </w:pPr>
      <w:r>
        <w:rPr>
          <w:rFonts w:hint="eastAsia" w:ascii="仿宋" w:hAnsi="仿宋" w:eastAsia="仿宋" w:cs="仿宋"/>
          <w:sz w:val="32"/>
          <w:szCs w:val="32"/>
        </w:rPr>
        <w:t>石家庄市鹿泉区文学艺术界2018年年初固定资产金额为29.11万元，2018年年末固定资产27.94万元，其中房屋：0万元、汽车12.5万元、其他固定资产15.44万元。较2017年固定资产减少1.17万元，主要原因为资产处置。本年度拟购置固定资产总额为0万元。（详见下表）</w:t>
      </w:r>
    </w:p>
    <w:tbl>
      <w:tblPr>
        <w:tblStyle w:val="8"/>
        <w:tblW w:w="13482" w:type="dxa"/>
        <w:tblInd w:w="-15" w:type="dxa"/>
        <w:tblLayout w:type="fixed"/>
        <w:tblCellMar>
          <w:top w:w="0" w:type="dxa"/>
          <w:left w:w="10" w:type="dxa"/>
          <w:bottom w:w="0" w:type="dxa"/>
          <w:right w:w="10" w:type="dxa"/>
        </w:tblCellMar>
      </w:tblPr>
      <w:tblGrid>
        <w:gridCol w:w="5224"/>
        <w:gridCol w:w="3155"/>
        <w:gridCol w:w="5103"/>
      </w:tblGrid>
      <w:tr>
        <w:tblPrEx>
          <w:tblCellMar>
            <w:top w:w="0" w:type="dxa"/>
            <w:left w:w="10" w:type="dxa"/>
            <w:bottom w:w="0" w:type="dxa"/>
            <w:right w:w="10" w:type="dxa"/>
          </w:tblCellMar>
        </w:tblPrEx>
        <w:trPr>
          <w:trHeight w:val="705" w:hRule="atLeast"/>
        </w:trPr>
        <w:tc>
          <w:tcPr>
            <w:tcW w:w="13482" w:type="dxa"/>
            <w:gridSpan w:val="3"/>
            <w:tcBorders>
              <w:top w:val="nil"/>
              <w:left w:val="nil"/>
              <w:bottom w:val="nil"/>
              <w:right w:val="nil"/>
            </w:tcBorders>
            <w:tcMar>
              <w:top w:w="0" w:type="dxa"/>
              <w:left w:w="108" w:type="dxa"/>
              <w:bottom w:w="0" w:type="dxa"/>
              <w:right w:w="108" w:type="dxa"/>
            </w:tcMar>
            <w:vAlign w:val="center"/>
          </w:tcPr>
          <w:p>
            <w:pPr>
              <w:widowControl/>
              <w:jc w:val="center"/>
              <w:rPr>
                <w:rFonts w:ascii="宋体" w:hAnsi="宋体" w:eastAsia="宋体" w:cs="宋体"/>
                <w:b/>
                <w:bCs/>
                <w:sz w:val="32"/>
                <w:szCs w:val="32"/>
              </w:rPr>
            </w:pPr>
            <w:r>
              <w:rPr>
                <w:rFonts w:hint="eastAsia" w:ascii="宋体" w:hAnsi="宋体" w:eastAsia="宋体" w:cs="宋体"/>
                <w:b/>
                <w:bCs/>
                <w:sz w:val="32"/>
                <w:szCs w:val="32"/>
              </w:rPr>
              <w:t>固定资产占用情况表</w:t>
            </w:r>
          </w:p>
        </w:tc>
      </w:tr>
      <w:tr>
        <w:tblPrEx>
          <w:tblCellMar>
            <w:top w:w="0" w:type="dxa"/>
            <w:left w:w="10" w:type="dxa"/>
            <w:bottom w:w="0" w:type="dxa"/>
            <w:right w:w="10" w:type="dxa"/>
          </w:tblCellMar>
        </w:tblPrEx>
        <w:trPr>
          <w:trHeight w:val="510" w:hRule="atLeast"/>
        </w:trPr>
        <w:tc>
          <w:tcPr>
            <w:tcW w:w="8379" w:type="dxa"/>
            <w:gridSpan w:val="2"/>
            <w:tcBorders>
              <w:top w:val="nil"/>
              <w:left w:val="nil"/>
              <w:bottom w:val="nil"/>
              <w:right w:val="nil"/>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编制部门：石家庄市鹿泉区文学艺术界联合会</w:t>
            </w:r>
          </w:p>
        </w:tc>
        <w:tc>
          <w:tcPr>
            <w:tcW w:w="5103" w:type="dxa"/>
            <w:tcBorders>
              <w:top w:val="nil"/>
              <w:left w:val="nil"/>
              <w:bottom w:val="nil"/>
              <w:right w:val="nil"/>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 xml:space="preserve">截止时间：2018年12月31日  </w:t>
            </w:r>
          </w:p>
        </w:tc>
      </w:tr>
      <w:tr>
        <w:tblPrEx>
          <w:tblCellMar>
            <w:top w:w="0" w:type="dxa"/>
            <w:left w:w="10" w:type="dxa"/>
            <w:bottom w:w="0" w:type="dxa"/>
            <w:right w:w="10"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center"/>
              <w:rPr>
                <w:rFonts w:ascii="宋体" w:hAnsi="宋体" w:eastAsia="宋体" w:cs="宋体"/>
                <w:b/>
                <w:bCs/>
                <w:sz w:val="22"/>
              </w:rPr>
            </w:pPr>
            <w:r>
              <w:rPr>
                <w:rFonts w:hint="eastAsia" w:ascii="宋体" w:hAnsi="宋体" w:eastAsia="宋体" w:cs="宋体"/>
                <w:b/>
                <w:bCs/>
                <w:sz w:val="22"/>
              </w:rPr>
              <w:t>项   目</w:t>
            </w:r>
          </w:p>
        </w:tc>
        <w:tc>
          <w:tcPr>
            <w:tcW w:w="3155" w:type="dxa"/>
            <w:tcBorders>
              <w:top w:val="single" w:color="000000" w:sz="4" w:space="0"/>
              <w:left w:val="nil"/>
              <w:bottom w:val="single" w:color="000000" w:sz="4" w:space="0"/>
              <w:right w:val="single" w:color="000000" w:sz="4" w:space="0"/>
            </w:tcBorders>
            <w:tcMar>
              <w:top w:w="0" w:type="dxa"/>
              <w:left w:w="108" w:type="dxa"/>
              <w:bottom w:w="0" w:type="dxa"/>
              <w:right w:w="108" w:type="dxa"/>
            </w:tcMar>
            <w:vAlign w:val="center"/>
          </w:tcPr>
          <w:p>
            <w:pPr>
              <w:widowControl/>
              <w:jc w:val="center"/>
              <w:rPr>
                <w:rFonts w:ascii="宋体" w:hAnsi="宋体" w:eastAsia="宋体" w:cs="宋体"/>
                <w:b/>
                <w:bCs/>
                <w:sz w:val="22"/>
              </w:rPr>
            </w:pPr>
            <w:r>
              <w:rPr>
                <w:rFonts w:hint="eastAsia" w:ascii="宋体" w:hAnsi="宋体" w:eastAsia="宋体" w:cs="宋体"/>
                <w:b/>
                <w:bCs/>
                <w:sz w:val="22"/>
              </w:rPr>
              <w:t>数量</w:t>
            </w:r>
          </w:p>
        </w:tc>
        <w:tc>
          <w:tcPr>
            <w:tcW w:w="5103" w:type="dxa"/>
            <w:tcBorders>
              <w:top w:val="single" w:color="000000" w:sz="4" w:space="0"/>
              <w:left w:val="nil"/>
              <w:bottom w:val="single" w:color="000000" w:sz="4" w:space="0"/>
              <w:right w:val="single" w:color="000000" w:sz="4" w:space="0"/>
            </w:tcBorders>
            <w:tcMar>
              <w:top w:w="0" w:type="dxa"/>
              <w:left w:w="108" w:type="dxa"/>
              <w:bottom w:w="0" w:type="dxa"/>
              <w:right w:w="108" w:type="dxa"/>
            </w:tcMar>
            <w:vAlign w:val="center"/>
          </w:tcPr>
          <w:p>
            <w:pPr>
              <w:widowControl/>
              <w:jc w:val="center"/>
              <w:rPr>
                <w:rFonts w:ascii="宋体" w:hAnsi="宋体" w:eastAsia="宋体" w:cs="宋体"/>
                <w:b/>
                <w:bCs/>
                <w:sz w:val="22"/>
              </w:rPr>
            </w:pPr>
            <w:r>
              <w:rPr>
                <w:rFonts w:hint="eastAsia" w:ascii="宋体" w:hAnsi="宋体" w:eastAsia="宋体" w:cs="宋体"/>
                <w:b/>
                <w:bCs/>
                <w:sz w:val="22"/>
              </w:rPr>
              <w:t>价值（金额单位：万元）</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center"/>
              <w:rPr>
                <w:rFonts w:ascii="宋体" w:hAnsi="宋体" w:eastAsia="宋体" w:cs="宋体"/>
                <w:sz w:val="22"/>
              </w:rPr>
            </w:pPr>
            <w:r>
              <w:rPr>
                <w:rFonts w:hint="eastAsia" w:ascii="宋体" w:hAnsi="宋体" w:eastAsia="宋体" w:cs="宋体"/>
                <w:sz w:val="22"/>
              </w:rPr>
              <w:t>资产总额</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widowControl/>
              <w:jc w:val="center"/>
              <w:rPr>
                <w:rFonts w:ascii="Times New Roman" w:hAnsi="Times New Roman" w:eastAsia="宋体"/>
                <w:sz w:val="22"/>
              </w:rPr>
            </w:pPr>
            <w:r>
              <w:rPr>
                <w:rFonts w:ascii="Times New Roman" w:hAnsi="Times New Roman" w:eastAsia="宋体"/>
                <w:sz w:val="22"/>
              </w:rPr>
              <w:t>——</w:t>
            </w: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widowControl/>
              <w:jc w:val="center"/>
              <w:rPr>
                <w:rFonts w:ascii="Times New Roman" w:hAnsi="Times New Roman" w:eastAsia="宋体"/>
                <w:sz w:val="22"/>
              </w:rPr>
            </w:pPr>
            <w:r>
              <w:rPr>
                <w:rFonts w:hint="eastAsia" w:ascii="Times New Roman" w:hAnsi="Times New Roman" w:eastAsia="宋体"/>
                <w:sz w:val="22"/>
              </w:rPr>
              <w:t>27.94</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1、房屋（平方米）</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0</w:t>
            </w: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0</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 xml:space="preserve">   其中：办公用房（平方米）</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0</w:t>
            </w: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0</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2、车辆（台、辆）</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1</w:t>
            </w: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12.5</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3、单价在20万元以上的设备</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sz w:val="22"/>
              </w:rPr>
            </w:pP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0</w:t>
            </w:r>
          </w:p>
        </w:tc>
      </w:tr>
      <w:tr>
        <w:tblPrEx>
          <w:tblCellMar>
            <w:top w:w="0" w:type="dxa"/>
            <w:left w:w="10" w:type="dxa"/>
            <w:bottom w:w="0" w:type="dxa"/>
            <w:right w:w="10" w:type="dxa"/>
          </w:tblCellMar>
        </w:tblPrEx>
        <w:trPr>
          <w:trHeight w:val="645" w:hRule="atLeast"/>
        </w:trPr>
        <w:tc>
          <w:tcPr>
            <w:tcW w:w="5224" w:type="dxa"/>
            <w:tcBorders>
              <w:top w:val="nil"/>
              <w:left w:val="single" w:color="000000" w:sz="4" w:space="0"/>
              <w:bottom w:val="single" w:color="000000" w:sz="4" w:space="0"/>
              <w:right w:val="single" w:color="000000" w:sz="4" w:space="0"/>
            </w:tcBorders>
            <w:tcMar>
              <w:top w:w="0" w:type="dxa"/>
              <w:left w:w="108" w:type="dxa"/>
              <w:bottom w:w="0" w:type="dxa"/>
              <w:right w:w="108" w:type="dxa"/>
            </w:tcMar>
            <w:vAlign w:val="center"/>
          </w:tcPr>
          <w:p>
            <w:pPr>
              <w:widowControl/>
              <w:jc w:val="left"/>
              <w:rPr>
                <w:rFonts w:ascii="宋体" w:hAnsi="宋体" w:eastAsia="宋体" w:cs="宋体"/>
                <w:sz w:val="22"/>
              </w:rPr>
            </w:pPr>
            <w:r>
              <w:rPr>
                <w:rFonts w:hint="eastAsia" w:ascii="宋体" w:hAnsi="宋体" w:eastAsia="宋体" w:cs="宋体"/>
                <w:sz w:val="22"/>
              </w:rPr>
              <w:t>4、其他固定资产</w:t>
            </w:r>
          </w:p>
        </w:tc>
        <w:tc>
          <w:tcPr>
            <w:tcW w:w="3155"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sz w:val="22"/>
              </w:rPr>
            </w:pPr>
          </w:p>
        </w:tc>
        <w:tc>
          <w:tcPr>
            <w:tcW w:w="5103" w:type="dxa"/>
            <w:tcBorders>
              <w:top w:val="nil"/>
              <w:left w:val="nil"/>
              <w:bottom w:val="single" w:color="000000" w:sz="4" w:space="0"/>
              <w:right w:val="single" w:color="000000" w:sz="4" w:space="0"/>
            </w:tcBorders>
            <w:tcMar>
              <w:top w:w="0" w:type="dxa"/>
              <w:left w:w="108" w:type="dxa"/>
              <w:bottom w:w="0" w:type="dxa"/>
              <w:right w:w="108" w:type="dxa"/>
            </w:tcMar>
            <w:vAlign w:val="center"/>
          </w:tcPr>
          <w:p>
            <w:pPr>
              <w:jc w:val="center"/>
              <w:rPr>
                <w:rFonts w:ascii="Times New Roman" w:hAnsi="Times New Roman" w:eastAsia="宋体"/>
                <w:sz w:val="22"/>
              </w:rPr>
            </w:pPr>
            <w:r>
              <w:rPr>
                <w:rFonts w:hint="eastAsia" w:ascii="Times New Roman" w:hAnsi="Times New Roman" w:eastAsia="宋体"/>
                <w:sz w:val="22"/>
              </w:rPr>
              <w:t>15.44</w:t>
            </w:r>
          </w:p>
        </w:tc>
      </w:tr>
    </w:tbl>
    <w:p>
      <w:pPr>
        <w:ind w:left="198" w:firstLine="640"/>
        <w:jc w:val="left"/>
        <w:rPr>
          <w:rFonts w:ascii="黑体" w:hAnsi="黑体" w:eastAsia="黑体"/>
          <w:sz w:val="32"/>
          <w:szCs w:val="32"/>
        </w:rPr>
      </w:pPr>
      <w:r>
        <w:rPr>
          <w:rFonts w:hint="eastAsia" w:ascii="黑体" w:hAnsi="黑体" w:eastAsia="黑体"/>
          <w:sz w:val="32"/>
          <w:szCs w:val="32"/>
        </w:rPr>
        <w:t>八、名词解释</w:t>
      </w:r>
    </w:p>
    <w:p>
      <w:pPr>
        <w:ind w:firstLine="640"/>
        <w:rPr>
          <w:rFonts w:ascii="仿宋" w:hAnsi="仿宋" w:eastAsia="仿宋" w:cs="仿宋"/>
          <w:sz w:val="32"/>
          <w:szCs w:val="32"/>
        </w:rPr>
      </w:pPr>
      <w:r>
        <w:rPr>
          <w:rFonts w:hint="eastAsia" w:ascii="仿宋" w:hAnsi="仿宋" w:eastAsia="仿宋" w:cs="仿宋"/>
          <w:sz w:val="32"/>
          <w:szCs w:val="32"/>
        </w:rPr>
        <w:t>1、一般公共预算拨款收入：指区级财政当年拨付的资金。</w:t>
      </w:r>
    </w:p>
    <w:p>
      <w:pPr>
        <w:ind w:firstLine="64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rPr>
          <w:rFonts w:ascii="仿宋" w:hAnsi="仿宋" w:eastAsia="仿宋" w:cs="仿宋"/>
          <w:sz w:val="32"/>
          <w:szCs w:val="32"/>
        </w:rPr>
      </w:pPr>
      <w:r>
        <w:rPr>
          <w:rFonts w:hint="eastAsia" w:ascii="仿宋" w:hAnsi="仿宋" w:eastAsia="仿宋" w:cs="仿宋"/>
          <w:sz w:val="32"/>
          <w:szCs w:val="32"/>
        </w:rPr>
        <w:t>7、“三公”经费：纳入区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ind w:left="198" w:firstLine="640"/>
        <w:jc w:val="left"/>
        <w:rPr>
          <w:rFonts w:ascii="黑体" w:hAnsi="黑体" w:eastAsia="黑体"/>
          <w:sz w:val="32"/>
          <w:szCs w:val="32"/>
        </w:rPr>
      </w:pPr>
      <w:r>
        <w:rPr>
          <w:rFonts w:hint="eastAsia" w:ascii="黑体" w:hAnsi="黑体" w:eastAsia="黑体"/>
          <w:sz w:val="32"/>
          <w:szCs w:val="32"/>
        </w:rPr>
        <w:t>九、其他需要说明的事项</w:t>
      </w:r>
    </w:p>
    <w:p>
      <w:pPr>
        <w:ind w:firstLine="627"/>
      </w:pPr>
      <w:r>
        <w:rPr>
          <w:rFonts w:hint="eastAsia" w:ascii="仿宋" w:hAnsi="仿宋" w:eastAsia="仿宋" w:cs="仿宋"/>
          <w:sz w:val="32"/>
          <w:szCs w:val="32"/>
        </w:rPr>
        <w:t>1</w:t>
      </w:r>
      <w:r>
        <w:rPr>
          <w:rFonts w:hint="eastAsia" w:ascii="仿宋" w:hAnsi="仿宋" w:eastAsia="仿宋" w:cs="宋体"/>
          <w:sz w:val="32"/>
          <w:szCs w:val="32"/>
        </w:rPr>
        <w:t>、我单位无政府性基金预算支出，所以部门预算政府性基金预算财政拨款支出表为空表。</w:t>
      </w:r>
    </w:p>
    <w:p>
      <w:pPr>
        <w:ind w:firstLine="627"/>
      </w:pPr>
      <w:r>
        <w:rPr>
          <w:rFonts w:hint="eastAsia" w:ascii="仿宋" w:hAnsi="仿宋" w:eastAsia="仿宋" w:cs="仿宋"/>
          <w:sz w:val="32"/>
          <w:szCs w:val="32"/>
        </w:rPr>
        <w:t>2</w:t>
      </w:r>
      <w:r>
        <w:rPr>
          <w:rFonts w:hint="eastAsia" w:ascii="仿宋" w:hAnsi="仿宋" w:eastAsia="仿宋" w:cs="宋体"/>
          <w:sz w:val="32"/>
          <w:szCs w:val="32"/>
        </w:rPr>
        <w:t>、我单位无国有资本经营预算财政拨款支出，所以部门预算国有资本经营预算财政拨款支出表为空表。</w:t>
      </w:r>
    </w:p>
    <w:p>
      <w:pPr>
        <w:ind w:firstLine="640"/>
        <w:rPr>
          <w:rFonts w:ascii="仿宋" w:hAnsi="仿宋" w:eastAsia="仿宋" w:cs="仿宋"/>
          <w:sz w:val="32"/>
          <w:szCs w:val="32"/>
        </w:rPr>
      </w:pPr>
    </w:p>
    <w:sectPr>
      <w:endnotePr>
        <w:numFmt w:val="decimal"/>
      </w:endnotePr>
      <w:pgSz w:w="16838" w:h="11906" w:orient="landscape"/>
      <w:pgMar w:top="1800" w:right="1440" w:bottom="1800" w:left="144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新宋体">
    <w:panose1 w:val="02010609030101010101"/>
    <w:charset w:val="86"/>
    <w:family w:val="modern"/>
    <w:pitch w:val="default"/>
    <w:sig w:usb0="00000283" w:usb1="288F0000" w:usb2="0000000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characterSpacingControl w:val="doNotCompress"/>
  <w:endnotePr>
    <w:numFmt w:val="decimal"/>
  </w:endnotePr>
  <w:compat>
    <w:doNotExpandShiftReturn/>
    <w:useFELayout/>
    <w:compatSetting w:name="compatibilityMode" w:uri="http://schemas.microsoft.com/office/word" w:val="12"/>
  </w:compat>
  <w:rsids>
    <w:rsidRoot w:val="002F575B"/>
    <w:rsid w:val="000C5974"/>
    <w:rsid w:val="00127019"/>
    <w:rsid w:val="00206231"/>
    <w:rsid w:val="002F575B"/>
    <w:rsid w:val="003321FF"/>
    <w:rsid w:val="003C573F"/>
    <w:rsid w:val="004B0A1A"/>
    <w:rsid w:val="005D74DD"/>
    <w:rsid w:val="005D7D63"/>
    <w:rsid w:val="006369CD"/>
    <w:rsid w:val="00664AEA"/>
    <w:rsid w:val="00B64342"/>
    <w:rsid w:val="00C51CA5"/>
    <w:rsid w:val="00E82912"/>
    <w:rsid w:val="00F36160"/>
    <w:rsid w:val="14D045E8"/>
    <w:rsid w:val="1AD11A0D"/>
    <w:rsid w:val="6AB802E5"/>
    <w:rsid w:val="74A26D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uiPriority="99"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Times New Roman"/>
      <w:kern w:val="1"/>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qFormat/>
    <w:uiPriority w:val="0"/>
    <w:pPr>
      <w:widowControl w:val="0"/>
      <w:jc w:val="both"/>
    </w:pPr>
    <w:rPr>
      <w:rFonts w:ascii="Calibri" w:hAnsi="Calibri" w:eastAsia="Calibri" w:cs="Times New Roman"/>
      <w:kern w:val="1"/>
      <w:sz w:val="18"/>
      <w:szCs w:val="18"/>
      <w:lang w:val="en-US" w:eastAsia="zh-CN" w:bidi="ar-SA"/>
    </w:rPr>
  </w:style>
  <w:style w:type="paragraph" w:styleId="3">
    <w:name w:val="footer"/>
    <w:basedOn w:val="1"/>
    <w:qFormat/>
    <w:uiPriority w:val="0"/>
    <w:pPr>
      <w:jc w:val="left"/>
    </w:pPr>
    <w:rPr>
      <w:rFonts w:ascii="Times New Roman" w:hAnsi="Times New Roman" w:eastAsia="宋体"/>
      <w:sz w:val="18"/>
      <w:szCs w:val="18"/>
    </w:rPr>
  </w:style>
  <w:style w:type="paragraph" w:styleId="4">
    <w:name w:val="header"/>
    <w:basedOn w:val="1"/>
    <w:qFormat/>
    <w:uiPriority w:val="0"/>
    <w:pPr>
      <w:pBdr>
        <w:top w:val="none" w:color="000000" w:sz="0" w:space="3"/>
        <w:left w:val="none" w:color="000000" w:sz="0" w:space="3"/>
        <w:bottom w:val="single" w:color="000000" w:sz="6" w:space="1"/>
        <w:right w:val="none" w:color="000000" w:sz="0" w:space="3"/>
        <w:between w:val="none" w:color="000000" w:sz="0" w:space="0"/>
      </w:pBdr>
      <w:shd w:val="solid" w:color="auto" w:fill="auto"/>
      <w:jc w:val="center"/>
    </w:pPr>
    <w:rPr>
      <w:rFonts w:ascii="Times New Roman" w:hAnsi="Times New Roman" w:eastAsia="宋体"/>
      <w:sz w:val="18"/>
      <w:szCs w:val="18"/>
    </w:rPr>
  </w:style>
  <w:style w:type="paragraph" w:styleId="5">
    <w:name w:val="toc 1"/>
    <w:next w:val="1"/>
    <w:qFormat/>
    <w:uiPriority w:val="0"/>
    <w:pPr>
      <w:widowControl w:val="0"/>
      <w:jc w:val="both"/>
    </w:pPr>
    <w:rPr>
      <w:rFonts w:ascii="Times New Roman" w:hAnsi="Times New Roman" w:eastAsia="宋体" w:cs="Times New Roman"/>
      <w:kern w:val="1"/>
      <w:sz w:val="21"/>
      <w:szCs w:val="24"/>
      <w:lang w:val="en-US" w:eastAsia="zh-CN" w:bidi="ar-SA"/>
    </w:rPr>
  </w:style>
  <w:style w:type="paragraph" w:styleId="6">
    <w:name w:val="footnote text"/>
    <w:qFormat/>
    <w:uiPriority w:val="0"/>
    <w:pPr>
      <w:widowControl w:val="0"/>
    </w:pPr>
    <w:rPr>
      <w:rFonts w:ascii="Calibri" w:hAnsi="Calibri" w:eastAsia="宋体" w:cs="Times New Roman"/>
      <w:kern w:val="1"/>
      <w:sz w:val="18"/>
      <w:szCs w:val="18"/>
      <w:lang w:val="en-US" w:eastAsia="zh-CN" w:bidi="ar-SA"/>
    </w:rPr>
  </w:style>
  <w:style w:type="paragraph" w:styleId="7">
    <w:name w:val="toc 2"/>
    <w:next w:val="1"/>
    <w:qFormat/>
    <w:uiPriority w:val="0"/>
    <w:pPr>
      <w:widowControl w:val="0"/>
      <w:ind w:left="420"/>
      <w:jc w:val="both"/>
    </w:pPr>
    <w:rPr>
      <w:rFonts w:ascii="Times New Roman" w:hAnsi="Times New Roman" w:eastAsia="宋体" w:cs="Times New Roman"/>
      <w:kern w:val="1"/>
      <w:sz w:val="21"/>
      <w:szCs w:val="24"/>
      <w:lang w:val="en-US" w:eastAsia="zh-CN" w:bidi="ar-SA"/>
    </w:rPr>
  </w:style>
  <w:style w:type="character" w:styleId="10">
    <w:name w:val="page number"/>
    <w:uiPriority w:val="0"/>
    <w:rPr>
      <w:rFonts w:ascii="Times New Roman" w:hAnsi="Times New Roman" w:eastAsia="宋体"/>
      <w:kern w:val="0"/>
      <w:sz w:val="20"/>
      <w:szCs w:val="20"/>
      <w:lang w:val="en-US" w:eastAsia="zh-CN" w:bidi="ar-SA"/>
    </w:rPr>
  </w:style>
  <w:style w:type="character" w:styleId="11">
    <w:name w:val="Hyperlink"/>
    <w:qFormat/>
    <w:uiPriority w:val="0"/>
    <w:rPr>
      <w:rFonts w:ascii="Times New Roman" w:hAnsi="Times New Roman" w:eastAsia="宋体"/>
      <w:color w:val="0000FF"/>
      <w:kern w:val="0"/>
      <w:sz w:val="20"/>
      <w:szCs w:val="20"/>
      <w:u w:val="single"/>
      <w:lang w:val="en-US" w:eastAsia="zh-CN" w:bidi="ar-SA"/>
    </w:rPr>
  </w:style>
  <w:style w:type="character" w:styleId="12">
    <w:name w:val="footnote reference"/>
    <w:uiPriority w:val="0"/>
    <w:rPr>
      <w:rFonts w:ascii="Times New Roman" w:hAnsi="Times New Roman" w:eastAsia="宋体"/>
      <w:kern w:val="0"/>
      <w:sz w:val="20"/>
      <w:szCs w:val="20"/>
      <w:vertAlign w:val="superscript"/>
      <w:lang w:val="en-US" w:eastAsia="zh-CN" w:bidi="ar-SA"/>
    </w:rPr>
  </w:style>
  <w:style w:type="paragraph" w:customStyle="1" w:styleId="13">
    <w:name w:val="Default"/>
    <w:qFormat/>
    <w:uiPriority w:val="0"/>
    <w:pPr>
      <w:widowControl w:val="0"/>
    </w:pPr>
    <w:rPr>
      <w:rFonts w:ascii="Times New Roman" w:hAnsi="Times New Roman" w:eastAsia="Calibri" w:cs="Times New Roman"/>
      <w:kern w:val="1"/>
      <w:sz w:val="24"/>
      <w:szCs w:val="24"/>
      <w:lang w:val="en-US" w:eastAsia="zh-CN" w:bidi="ar-SA"/>
    </w:rPr>
  </w:style>
  <w:style w:type="character" w:customStyle="1" w:styleId="14">
    <w:name w:val="页眉 Char"/>
    <w:uiPriority w:val="0"/>
    <w:rPr>
      <w:rFonts w:ascii="Times New Roman" w:hAnsi="Times New Roman" w:eastAsia="宋体" w:cs="Times New Roman"/>
      <w:sz w:val="18"/>
      <w:szCs w:val="18"/>
    </w:rPr>
  </w:style>
  <w:style w:type="character" w:customStyle="1" w:styleId="15">
    <w:name w:val="页脚 Char"/>
    <w:uiPriority w:val="0"/>
    <w:rPr>
      <w:rFonts w:ascii="Times New Roman" w:hAnsi="Times New Roman" w:eastAsia="宋体" w:cs="Times New Roman"/>
      <w:sz w:val="18"/>
      <w:szCs w:val="18"/>
    </w:rPr>
  </w:style>
  <w:style w:type="character" w:customStyle="1" w:styleId="16">
    <w:name w:val="批注框文本 Char"/>
    <w:uiPriority w:val="0"/>
    <w:rPr>
      <w:sz w:val="18"/>
      <w:szCs w:val="18"/>
    </w:rPr>
  </w:style>
  <w:style w:type="character" w:customStyle="1" w:styleId="17">
    <w:name w:val="脚注文本 Char"/>
    <w:uiPriority w:val="0"/>
    <w:rPr>
      <w:rFonts w:ascii="Calibri" w:hAnsi="Calibri" w:eastAsia="宋体" w:cs="Times New Roman"/>
      <w:sz w:val="18"/>
      <w:szCs w:val="18"/>
    </w:rPr>
  </w:style>
  <w:style w:type="paragraph" w:customStyle="1" w:styleId="18">
    <w:name w:val="[Normal]"/>
    <w:uiPriority w:val="99"/>
    <w:pPr>
      <w:widowControl w:val="0"/>
      <w:autoSpaceDE w:val="0"/>
      <w:autoSpaceDN w:val="0"/>
      <w:adjustRightInd w:val="0"/>
    </w:pPr>
    <w:rPr>
      <w:rFonts w:ascii="宋体" w:hAnsi="宋体" w:eastAsia="宋体" w:cs="Times New Roman"/>
      <w:sz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majorFont>
      <a:minorFont>
        <a:latin typeface="Calibri"/>
        <a:ea typeface="宋体"/>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745</Words>
  <Characters>4248</Characters>
  <Lines>35</Lines>
  <Paragraphs>9</Paragraphs>
  <TotalTime>0</TotalTime>
  <ScaleCrop>false</ScaleCrop>
  <LinksUpToDate>false</LinksUpToDate>
  <CharactersWithSpaces>4984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2021-05-22T03:28:00Z</dcterms:created>
  <dc:creator>guest</dc:creator>
  <cp:lastModifiedBy>Administrator</cp:lastModifiedBy>
  <cp:lastPrinted>2017-11-09T01:12:00Z</cp:lastPrinted>
  <dcterms:modified xsi:type="dcterms:W3CDTF">2024-01-17T06:48:39Z</dcterms:modified>
  <dc:title>河北省财政厅2019年部门预算信息公开情况说明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