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石家庄市鹿泉区文学艺术界联合会</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w:t>
      </w:r>
      <w:bookmarkStart w:id="8" w:name="_GoBack"/>
      <w:bookmarkEnd w:id="8"/>
      <w:r>
        <w:rPr>
          <w:rFonts w:hint="eastAsia" w:ascii="Times New Roman" w:hAnsi="Times New Roman" w:eastAsia="仿宋" w:cs="Times New Roman"/>
          <w:sz w:val="32"/>
          <w:szCs w:val="32"/>
        </w:rPr>
        <w:t>法》、《地方预决算公开操作规程》和《河北省省级预算公开办法》规定，现将石家庄市鹿泉区文学艺术界联合会2020年部门预算公开如下：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ascii="Times New Roman" w:hAnsi="宋体"/>
          <w:sz w:val="28"/>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eastAsia="方正仿宋_GBK"/>
          <w:sz w:val="28"/>
        </w:rPr>
        <w:t>根据《石家庄市鹿泉区文学艺术界联合会职能配置、内设机构和人员编制规定》， 石家庄市鹿泉区文学艺术界联合会的主要职责是：</w:t>
      </w:r>
    </w:p>
    <w:p>
      <w:pPr>
        <w:spacing w:line="500" w:lineRule="exact"/>
        <w:ind w:firstLine="560" w:firstLineChars="200"/>
        <w:jc w:val="left"/>
        <w:rPr>
          <w:rFonts w:ascii="Times New Roman" w:eastAsia="方正仿宋_GBK"/>
          <w:sz w:val="28"/>
        </w:rPr>
      </w:pPr>
      <w:r>
        <w:rPr>
          <w:rFonts w:ascii="Times New Roman" w:eastAsia="方正仿宋_GBK"/>
          <w:sz w:val="28"/>
        </w:rPr>
        <w:t>1、围绕区委、区政府的中心工作开展一系列文艺活动，打造城市文化名片。</w:t>
      </w:r>
    </w:p>
    <w:p>
      <w:pPr>
        <w:spacing w:line="500" w:lineRule="exact"/>
        <w:ind w:firstLine="560" w:firstLineChars="200"/>
        <w:jc w:val="left"/>
        <w:rPr>
          <w:rFonts w:ascii="Times New Roman" w:eastAsia="方正仿宋_GBK"/>
          <w:sz w:val="28"/>
        </w:rPr>
      </w:pPr>
      <w:r>
        <w:rPr>
          <w:rFonts w:ascii="Times New Roman" w:eastAsia="方正仿宋_GBK"/>
          <w:sz w:val="28"/>
        </w:rPr>
        <w:t>2、组织艺术家深入生活；举办研讨、展示、展演、评奖活动，申报省市级文艺奖项，组织好区内评奖，推介名家名品、优秀作品和优秀人才。</w:t>
      </w:r>
    </w:p>
    <w:p>
      <w:pPr>
        <w:spacing w:line="500" w:lineRule="exact"/>
        <w:ind w:firstLine="560" w:firstLineChars="200"/>
        <w:jc w:val="left"/>
        <w:rPr>
          <w:rFonts w:ascii="Times New Roman" w:eastAsia="方正仿宋_GBK"/>
          <w:sz w:val="28"/>
        </w:rPr>
      </w:pPr>
      <w:r>
        <w:rPr>
          <w:rFonts w:ascii="Times New Roman" w:eastAsia="方正仿宋_GBK"/>
          <w:sz w:val="28"/>
        </w:rPr>
        <w:t>3、发掘和保护本地优秀民俗文化，完善奖励机制，鼓励和引导艺术家进行创作通过文化宣传宣传将文化力量转化为经济力量。</w:t>
      </w:r>
    </w:p>
    <w:p>
      <w:pPr>
        <w:spacing w:line="500" w:lineRule="exact"/>
        <w:ind w:firstLine="560" w:firstLineChars="200"/>
        <w:jc w:val="left"/>
        <w:rPr>
          <w:rFonts w:ascii="Times New Roman" w:eastAsia="方正仿宋_GBK"/>
          <w:sz w:val="28"/>
        </w:rPr>
      </w:pPr>
    </w:p>
    <w:p>
      <w:pPr>
        <w:rPr>
          <w:rFonts w:ascii="仿宋" w:hAnsi="仿宋" w:eastAsia="仿宋" w:cs="Times New Roman"/>
          <w:b/>
          <w:sz w:val="32"/>
          <w:szCs w:val="32"/>
        </w:rPr>
      </w:pPr>
      <w:r>
        <w:rPr>
          <w:rFonts w:hint="eastAsia" w:ascii="仿宋" w:hAnsi="仿宋" w:eastAsia="仿宋" w:cs="Times New Roman"/>
          <w:b/>
          <w:sz w:val="32"/>
          <w:szCs w:val="32"/>
        </w:rPr>
        <w:t>机构设置：</w:t>
      </w:r>
    </w:p>
    <w:p>
      <w:pPr>
        <w:spacing w:line="560" w:lineRule="exact"/>
        <w:ind w:firstLine="640" w:firstLineChars="200"/>
        <w:rPr>
          <w:rFonts w:ascii="仿宋_GB2312" w:eastAsia="仿宋_GB2312"/>
          <w:sz w:val="32"/>
          <w:szCs w:val="32"/>
        </w:rPr>
      </w:pPr>
    </w:p>
    <w:tbl>
      <w:tblPr>
        <w:tblStyle w:val="7"/>
        <w:tblpPr w:leftFromText="180" w:rightFromText="180" w:vertAnchor="text" w:horzAnchor="page" w:tblpX="1156" w:tblpY="147"/>
        <w:tblOverlap w:val="never"/>
        <w:tblW w:w="9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7"/>
        <w:gridCol w:w="636"/>
        <w:gridCol w:w="1020"/>
        <w:gridCol w:w="1536"/>
        <w:gridCol w:w="744"/>
        <w:gridCol w:w="528"/>
        <w:gridCol w:w="492"/>
        <w:gridCol w:w="576"/>
        <w:gridCol w:w="564"/>
        <w:gridCol w:w="635"/>
        <w:gridCol w:w="512"/>
        <w:gridCol w:w="5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664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762石家庄市鹿泉区文学艺术界联合会</w:t>
            </w:r>
          </w:p>
        </w:tc>
        <w:tc>
          <w:tcPr>
            <w:tcW w:w="3298"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217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63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020"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1536"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44" w:type="dxa"/>
            <w:vMerge w:val="restart"/>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020" w:type="dxa"/>
            <w:gridSpan w:val="2"/>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140" w:type="dxa"/>
            <w:gridSpan w:val="2"/>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1666" w:type="dxa"/>
            <w:gridSpan w:val="3"/>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2" w:hRule="atLeast"/>
          <w:tblHeader/>
        </w:trPr>
        <w:tc>
          <w:tcPr>
            <w:tcW w:w="2177" w:type="dxa"/>
            <w:vMerge w:val="continue"/>
            <w:vAlign w:val="center"/>
          </w:tcPr>
          <w:p>
            <w:pPr>
              <w:spacing w:line="300" w:lineRule="exact"/>
              <w:jc w:val="left"/>
              <w:outlineLvl w:val="0"/>
            </w:pPr>
          </w:p>
        </w:tc>
        <w:tc>
          <w:tcPr>
            <w:tcW w:w="636" w:type="dxa"/>
            <w:vMerge w:val="continue"/>
            <w:vAlign w:val="center"/>
          </w:tcPr>
          <w:p>
            <w:pPr>
              <w:spacing w:line="300" w:lineRule="exact"/>
              <w:jc w:val="left"/>
              <w:outlineLvl w:val="0"/>
            </w:pPr>
          </w:p>
        </w:tc>
        <w:tc>
          <w:tcPr>
            <w:tcW w:w="1020" w:type="dxa"/>
            <w:vMerge w:val="continue"/>
            <w:vAlign w:val="center"/>
          </w:tcPr>
          <w:p>
            <w:pPr>
              <w:spacing w:line="300" w:lineRule="exact"/>
              <w:jc w:val="left"/>
              <w:outlineLvl w:val="0"/>
            </w:pPr>
          </w:p>
        </w:tc>
        <w:tc>
          <w:tcPr>
            <w:tcW w:w="1536" w:type="dxa"/>
            <w:vMerge w:val="continue"/>
            <w:vAlign w:val="center"/>
          </w:tcPr>
          <w:p>
            <w:pPr>
              <w:spacing w:line="300" w:lineRule="exact"/>
              <w:jc w:val="left"/>
              <w:outlineLvl w:val="0"/>
            </w:pPr>
          </w:p>
        </w:tc>
        <w:tc>
          <w:tcPr>
            <w:tcW w:w="744" w:type="dxa"/>
            <w:vMerge w:val="continue"/>
            <w:vAlign w:val="center"/>
          </w:tcPr>
          <w:p>
            <w:pPr>
              <w:spacing w:line="300" w:lineRule="exact"/>
              <w:jc w:val="left"/>
              <w:outlineLvl w:val="0"/>
            </w:pPr>
          </w:p>
        </w:tc>
        <w:tc>
          <w:tcPr>
            <w:tcW w:w="528"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492"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576"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564"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635" w:type="dxa"/>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512" w:type="dxa"/>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519" w:type="dxa"/>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rPr>
        <w:tc>
          <w:tcPr>
            <w:tcW w:w="2177"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636" w:type="dxa"/>
            <w:vAlign w:val="center"/>
          </w:tcPr>
          <w:p>
            <w:pPr>
              <w:spacing w:line="300" w:lineRule="exact"/>
              <w:jc w:val="center"/>
              <w:rPr>
                <w:rFonts w:ascii="方正书宋_GBK" w:eastAsia="方正书宋_GBK"/>
                <w:b/>
              </w:rPr>
            </w:pPr>
          </w:p>
        </w:tc>
        <w:tc>
          <w:tcPr>
            <w:tcW w:w="1020" w:type="dxa"/>
            <w:vAlign w:val="center"/>
          </w:tcPr>
          <w:p>
            <w:pPr>
              <w:spacing w:line="300" w:lineRule="exact"/>
              <w:jc w:val="center"/>
              <w:rPr>
                <w:rFonts w:ascii="方正书宋_GBK" w:eastAsia="方正书宋_GBK"/>
                <w:b/>
              </w:rPr>
            </w:pPr>
          </w:p>
        </w:tc>
        <w:tc>
          <w:tcPr>
            <w:tcW w:w="1536" w:type="dxa"/>
            <w:vAlign w:val="center"/>
          </w:tcPr>
          <w:p>
            <w:pPr>
              <w:spacing w:line="300" w:lineRule="exact"/>
              <w:jc w:val="center"/>
              <w:rPr>
                <w:rFonts w:ascii="方正书宋_GBK" w:eastAsia="方正书宋_GBK"/>
                <w:b/>
              </w:rPr>
            </w:pPr>
          </w:p>
        </w:tc>
        <w:tc>
          <w:tcPr>
            <w:tcW w:w="744" w:type="dxa"/>
            <w:vAlign w:val="center"/>
          </w:tcPr>
          <w:p>
            <w:pPr>
              <w:spacing w:line="300" w:lineRule="exact"/>
              <w:jc w:val="center"/>
              <w:rPr>
                <w:rFonts w:ascii="方正书宋_GBK" w:eastAsia="方正书宋_GBK"/>
                <w:b/>
              </w:rPr>
            </w:pPr>
            <w:r>
              <w:rPr>
                <w:rFonts w:hint="eastAsia" w:ascii="方正书宋_GBK" w:eastAsia="方正书宋_GBK"/>
                <w:b/>
              </w:rPr>
              <w:t>1</w:t>
            </w:r>
          </w:p>
        </w:tc>
        <w:tc>
          <w:tcPr>
            <w:tcW w:w="528" w:type="dxa"/>
            <w:vAlign w:val="center"/>
          </w:tcPr>
          <w:p>
            <w:pPr>
              <w:spacing w:line="300" w:lineRule="exact"/>
              <w:jc w:val="center"/>
              <w:rPr>
                <w:rFonts w:ascii="方正书宋_GBK" w:eastAsia="方正书宋_GBK"/>
                <w:b/>
              </w:rPr>
            </w:pPr>
          </w:p>
        </w:tc>
        <w:tc>
          <w:tcPr>
            <w:tcW w:w="492" w:type="dxa"/>
            <w:vAlign w:val="center"/>
          </w:tcPr>
          <w:p>
            <w:pPr>
              <w:spacing w:line="300" w:lineRule="exact"/>
              <w:jc w:val="center"/>
              <w:rPr>
                <w:rFonts w:ascii="方正书宋_GBK" w:eastAsia="方正书宋_GBK"/>
                <w:b/>
              </w:rPr>
            </w:pPr>
            <w:r>
              <w:rPr>
                <w:rFonts w:hint="eastAsia" w:ascii="方正书宋_GBK" w:eastAsia="方正书宋_GBK"/>
                <w:b/>
              </w:rPr>
              <w:t>12</w:t>
            </w:r>
          </w:p>
        </w:tc>
        <w:tc>
          <w:tcPr>
            <w:tcW w:w="576" w:type="dxa"/>
            <w:vAlign w:val="center"/>
          </w:tcPr>
          <w:p>
            <w:pPr>
              <w:spacing w:line="300" w:lineRule="exact"/>
              <w:jc w:val="center"/>
              <w:rPr>
                <w:rFonts w:ascii="方正书宋_GBK" w:eastAsia="方正书宋_GBK"/>
                <w:b/>
              </w:rPr>
            </w:pPr>
          </w:p>
        </w:tc>
        <w:tc>
          <w:tcPr>
            <w:tcW w:w="564" w:type="dxa"/>
            <w:vAlign w:val="center"/>
          </w:tcPr>
          <w:p>
            <w:pPr>
              <w:spacing w:line="300" w:lineRule="exact"/>
              <w:jc w:val="center"/>
              <w:rPr>
                <w:rFonts w:ascii="方正书宋_GBK" w:eastAsia="方正书宋_GBK"/>
                <w:b/>
              </w:rPr>
            </w:pPr>
            <w:r>
              <w:rPr>
                <w:rFonts w:hint="eastAsia" w:ascii="方正书宋_GBK" w:eastAsia="方正书宋_GBK"/>
                <w:b/>
              </w:rPr>
              <w:t>12</w:t>
            </w:r>
          </w:p>
        </w:tc>
        <w:tc>
          <w:tcPr>
            <w:tcW w:w="635" w:type="dxa"/>
            <w:vAlign w:val="center"/>
          </w:tcPr>
          <w:p>
            <w:pPr>
              <w:spacing w:line="300" w:lineRule="exact"/>
              <w:jc w:val="center"/>
              <w:rPr>
                <w:rFonts w:ascii="方正书宋_GBK" w:eastAsia="方正书宋_GBK"/>
                <w:b/>
              </w:rPr>
            </w:pPr>
          </w:p>
        </w:tc>
        <w:tc>
          <w:tcPr>
            <w:tcW w:w="512" w:type="dxa"/>
            <w:vAlign w:val="center"/>
          </w:tcPr>
          <w:p>
            <w:pPr>
              <w:spacing w:line="300" w:lineRule="exact"/>
              <w:jc w:val="center"/>
              <w:rPr>
                <w:rFonts w:ascii="方正书宋_GBK" w:eastAsia="方正书宋_GBK"/>
                <w:b/>
              </w:rPr>
            </w:pPr>
            <w:r>
              <w:rPr>
                <w:rFonts w:hint="eastAsia" w:ascii="方正书宋_GBK" w:eastAsia="方正书宋_GBK"/>
                <w:b/>
              </w:rPr>
              <w:t>13</w:t>
            </w:r>
          </w:p>
        </w:tc>
        <w:tc>
          <w:tcPr>
            <w:tcW w:w="519" w:type="dxa"/>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trPr>
        <w:tc>
          <w:tcPr>
            <w:tcW w:w="2177" w:type="dxa"/>
            <w:vAlign w:val="center"/>
          </w:tcPr>
          <w:p>
            <w:pPr>
              <w:spacing w:line="300" w:lineRule="exact"/>
              <w:jc w:val="left"/>
              <w:rPr>
                <w:rFonts w:ascii="方正书宋_GBK" w:eastAsia="方正书宋_GBK"/>
              </w:rPr>
            </w:pPr>
            <w:r>
              <w:rPr>
                <w:rFonts w:hint="eastAsia" w:ascii="方正书宋_GBK" w:eastAsia="方正书宋_GBK"/>
              </w:rPr>
              <w:t>石家庄市鹿泉区文学艺术界联合会</w:t>
            </w:r>
          </w:p>
        </w:tc>
        <w:tc>
          <w:tcPr>
            <w:tcW w:w="636"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020"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1536"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44" w:type="dxa"/>
            <w:vAlign w:val="center"/>
          </w:tcPr>
          <w:p>
            <w:pPr>
              <w:spacing w:line="300" w:lineRule="exact"/>
              <w:jc w:val="center"/>
              <w:rPr>
                <w:rFonts w:ascii="方正书宋_GBK" w:eastAsia="方正书宋_GBK"/>
              </w:rPr>
            </w:pPr>
            <w:r>
              <w:rPr>
                <w:rFonts w:hint="eastAsia" w:ascii="方正书宋_GBK" w:eastAsia="方正书宋_GBK"/>
              </w:rPr>
              <w:t>1</w:t>
            </w:r>
          </w:p>
        </w:tc>
        <w:tc>
          <w:tcPr>
            <w:tcW w:w="528" w:type="dxa"/>
            <w:vAlign w:val="center"/>
          </w:tcPr>
          <w:p>
            <w:pPr>
              <w:spacing w:line="300" w:lineRule="exact"/>
              <w:jc w:val="center"/>
              <w:rPr>
                <w:rFonts w:ascii="方正书宋_GBK" w:eastAsia="方正书宋_GBK"/>
              </w:rPr>
            </w:pPr>
          </w:p>
        </w:tc>
        <w:tc>
          <w:tcPr>
            <w:tcW w:w="492" w:type="dxa"/>
            <w:vAlign w:val="center"/>
          </w:tcPr>
          <w:p>
            <w:pPr>
              <w:spacing w:line="300" w:lineRule="exact"/>
              <w:jc w:val="center"/>
              <w:rPr>
                <w:rFonts w:ascii="方正书宋_GBK" w:eastAsia="方正书宋_GBK"/>
              </w:rPr>
            </w:pPr>
            <w:r>
              <w:rPr>
                <w:rFonts w:hint="eastAsia" w:ascii="方正书宋_GBK" w:eastAsia="方正书宋_GBK"/>
              </w:rPr>
              <w:t>5</w:t>
            </w:r>
          </w:p>
        </w:tc>
        <w:tc>
          <w:tcPr>
            <w:tcW w:w="576" w:type="dxa"/>
            <w:vAlign w:val="center"/>
          </w:tcPr>
          <w:p>
            <w:pPr>
              <w:spacing w:line="300" w:lineRule="exact"/>
              <w:jc w:val="center"/>
              <w:rPr>
                <w:rFonts w:ascii="方正书宋_GBK" w:eastAsia="方正书宋_GBK"/>
              </w:rPr>
            </w:pPr>
          </w:p>
        </w:tc>
        <w:tc>
          <w:tcPr>
            <w:tcW w:w="564" w:type="dxa"/>
            <w:vAlign w:val="center"/>
          </w:tcPr>
          <w:p>
            <w:pPr>
              <w:spacing w:line="300" w:lineRule="exact"/>
              <w:jc w:val="center"/>
              <w:rPr>
                <w:rFonts w:ascii="方正书宋_GBK" w:eastAsia="方正书宋_GBK"/>
              </w:rPr>
            </w:pPr>
            <w:r>
              <w:rPr>
                <w:rFonts w:hint="eastAsia" w:ascii="方正书宋_GBK" w:eastAsia="方正书宋_GBK"/>
              </w:rPr>
              <w:t>5</w:t>
            </w:r>
          </w:p>
        </w:tc>
        <w:tc>
          <w:tcPr>
            <w:tcW w:w="635" w:type="dxa"/>
            <w:vAlign w:val="center"/>
          </w:tcPr>
          <w:p>
            <w:pPr>
              <w:spacing w:line="300" w:lineRule="exact"/>
              <w:jc w:val="center"/>
              <w:rPr>
                <w:rFonts w:ascii="方正书宋_GBK" w:eastAsia="方正书宋_GBK"/>
              </w:rPr>
            </w:pPr>
          </w:p>
        </w:tc>
        <w:tc>
          <w:tcPr>
            <w:tcW w:w="512" w:type="dxa"/>
            <w:vAlign w:val="center"/>
          </w:tcPr>
          <w:p>
            <w:pPr>
              <w:spacing w:line="300" w:lineRule="exact"/>
              <w:jc w:val="center"/>
              <w:rPr>
                <w:rFonts w:ascii="方正书宋_GBK" w:eastAsia="方正书宋_GBK"/>
              </w:rPr>
            </w:pPr>
            <w:r>
              <w:rPr>
                <w:rFonts w:hint="eastAsia" w:ascii="方正书宋_GBK" w:eastAsia="方正书宋_GBK"/>
              </w:rPr>
              <w:t>1</w:t>
            </w:r>
          </w:p>
        </w:tc>
        <w:tc>
          <w:tcPr>
            <w:tcW w:w="519" w:type="dxa"/>
            <w:vAlign w:val="center"/>
          </w:tcPr>
          <w:p>
            <w:pPr>
              <w:spacing w:line="300" w:lineRule="exact"/>
              <w:jc w:val="center"/>
              <w:rPr>
                <w:rFonts w:ascii="方正书宋_GBK" w:eastAsia="方正书宋_GBK"/>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反映本部门当年全部收入。2020年预算收入107.41万元，其中：一般公共预算收入107.41万元，基金预算收入0万元，财政专户核拨收入0万元，其他来源收入0万元。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文学艺术界联合会年度部门预算中支出预算的总体情况。2020年部门支出预算为107.41万元，其中基本支出95.01万元，包括人员经费77.44万元和日常公用经费17.57万元；项目支出12.4万元，主要为《鹿泉文苑》和电子书籍印刷费10万元，协会活动经费2.4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107.41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较2019年增加36.49万元，其中：基本支出增加36.49万元，主要是人员增加，相应增加人员经费和日常公用经费；项目支出与上年持平。</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17.57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2020年，我部门财政拨款“三公”经费预算安排2.7万元，其中：因公出国（境）费0万元；公务用车购置及运维费2.7万元（其中：公务用车购置费0万元，公务用车运行维护费2.7万元)；公务接待费0万元。 “三公”经费与上年持平，无增减变化。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新宋体" w:hAnsi="新宋体" w:eastAsia="新宋体"/>
          <w:sz w:val="32"/>
        </w:rPr>
      </w:pPr>
      <w:r>
        <w:rPr>
          <w:rFonts w:hint="eastAsia" w:ascii="新宋体" w:hAnsi="新宋体" w:eastAsia="新宋体"/>
          <w:sz w:val="32"/>
        </w:rPr>
        <w:t>鹿泉区文联是鹿泉区以发扬文人相知和文人相爱的精神，发掘和宣传优秀文化为宗旨的社会文艺团体，在区委、区政府的正确领导下，紧紧围绕区委、区政府中心任务，大力弘扬“文人相知和文人”的文联精神，加强组织和队伍建设，打牢文联工作的基础；提升文联工作的公信力；发掘民俗文化，扩大文联工作的影响力；广泛深入宣传，营造文联工作的良好氛围。充分履行政府文化宣传领域助手职责，努力推动全区文联工作再上新台阶。履行以下职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新宋体" w:hAnsi="新宋体" w:eastAsia="新宋体"/>
          <w:sz w:val="32"/>
        </w:rPr>
      </w:pPr>
      <w:r>
        <w:rPr>
          <w:rFonts w:hint="eastAsia" w:ascii="新宋体" w:hAnsi="新宋体" w:eastAsia="新宋体"/>
          <w:sz w:val="32"/>
        </w:rPr>
        <w:t>1、围绕区委、区政府的中心工作开展一系列文艺活动，打造城市文化名片。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新宋体" w:hAnsi="新宋体" w:eastAsia="新宋体"/>
          <w:sz w:val="32"/>
        </w:rPr>
      </w:pPr>
      <w:r>
        <w:rPr>
          <w:rFonts w:hint="eastAsia" w:ascii="新宋体" w:hAnsi="新宋体" w:eastAsia="新宋体"/>
          <w:sz w:val="32"/>
        </w:rPr>
        <w:t>2、组织艺术家深入生活；举办研讨、展示、展演、评奖活动，申报省市级文艺奖项，组织好区内评奖，推介名家名品、优秀作品和优秀人才。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新宋体" w:hAnsi="新宋体" w:eastAsia="新宋体"/>
          <w:sz w:val="32"/>
        </w:rPr>
      </w:pPr>
      <w:r>
        <w:rPr>
          <w:rFonts w:hint="eastAsia" w:ascii="新宋体" w:hAnsi="新宋体" w:eastAsia="新宋体"/>
          <w:sz w:val="32"/>
        </w:rPr>
        <w:t>3、发掘和保护本地优秀民俗文化，完善奖励机制，鼓励和引导艺术家进行创作通过文化宣传宣传将文化力量转化为经济力量。</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ascii="宋体" w:hAnsi="宋体"/>
          <w:sz w:val="32"/>
        </w:rPr>
      </w:pPr>
      <w:r>
        <w:rPr>
          <w:rFonts w:hint="eastAsia" w:ascii="宋体" w:hAnsi="宋体"/>
          <w:sz w:val="32"/>
        </w:rPr>
        <w:t>（一）组织艺术家开展文艺活动。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ascii="新宋体" w:hAnsi="新宋体" w:eastAsia="新宋体"/>
          <w:sz w:val="32"/>
        </w:rPr>
      </w:pPr>
      <w:r>
        <w:rPr>
          <w:rFonts w:hint="eastAsia" w:ascii="宋体" w:hAnsi="宋体"/>
          <w:sz w:val="32"/>
        </w:rPr>
        <w:t>绩效目标：</w:t>
      </w:r>
      <w:r>
        <w:rPr>
          <w:rFonts w:hint="eastAsia" w:ascii="新宋体" w:hAnsi="新宋体" w:eastAsia="新宋体"/>
          <w:sz w:val="32"/>
        </w:rPr>
        <w:t>组织艺术家围绕区委、区政府的中心工作开展一系列文艺活动，定期召开协会会议，增强协会成员之间的凝聚力。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ascii="Arial" w:hAnsi="Arial"/>
          <w:sz w:val="32"/>
        </w:rPr>
      </w:pPr>
      <w:r>
        <w:rPr>
          <w:rFonts w:hint="eastAsia" w:ascii="宋体" w:hAnsi="宋体"/>
          <w:sz w:val="32"/>
        </w:rPr>
        <w:t>绩效指标：</w:t>
      </w:r>
      <w:r>
        <w:rPr>
          <w:rFonts w:hint="eastAsia" w:ascii="新宋体" w:hAnsi="新宋体" w:eastAsia="新宋体"/>
          <w:sz w:val="32"/>
        </w:rPr>
        <w:t>每年组织各种门类艺术活动不低于30场，开展协会会议不低于10次。提高社会影响力，得到广大群众的充分认可；群众满意度达到90%以上。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ascii="宋体" w:hAnsi="宋体"/>
          <w:sz w:val="32"/>
        </w:rPr>
      </w:pPr>
      <w:r>
        <w:rPr>
          <w:rFonts w:hint="eastAsia" w:ascii="宋体" w:hAnsi="宋体"/>
          <w:sz w:val="32"/>
        </w:rPr>
        <w:t>（二）出版《鹿泉文苑》文艺书籍。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ascii="新宋体" w:hAnsi="新宋体" w:eastAsia="新宋体"/>
          <w:sz w:val="32"/>
        </w:rPr>
      </w:pPr>
      <w:r>
        <w:rPr>
          <w:rFonts w:hint="eastAsia" w:ascii="宋体" w:hAnsi="宋体"/>
          <w:sz w:val="32"/>
        </w:rPr>
        <w:t>绩效目标：</w:t>
      </w:r>
      <w:r>
        <w:rPr>
          <w:rFonts w:hint="eastAsia" w:ascii="新宋体" w:hAnsi="新宋体" w:eastAsia="新宋体"/>
          <w:sz w:val="32"/>
        </w:rPr>
        <w:t>由文联组织面向大众征集审核优秀文艺作品，编辑《鹿泉文苑》书刊及电子杂志，进行免费发放，供文艺爱好者阅读，以提高我区居民的文化素养。</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ascii="Arial" w:hAnsi="Arial"/>
          <w:sz w:val="32"/>
        </w:rPr>
      </w:pPr>
      <w:r>
        <w:rPr>
          <w:rFonts w:hint="eastAsia" w:ascii="宋体" w:hAnsi="宋体"/>
          <w:sz w:val="32"/>
        </w:rPr>
        <w:t>绩效指标：</w:t>
      </w:r>
      <w:r>
        <w:rPr>
          <w:rFonts w:hint="eastAsia" w:ascii="新宋体" w:hAnsi="新宋体" w:eastAsia="新宋体"/>
          <w:sz w:val="32"/>
        </w:rPr>
        <w:t>每年组织刊印《鹿泉文苑》书籍不低于6期，数量不低于1500本，发放人数不低于1500人，向群众征集优秀作品不低于10次，得到广大群众的充分认可，满意度达到90%以上。</w:t>
      </w:r>
    </w:p>
    <w:p>
      <w:pPr>
        <w:pStyle w:val="15"/>
        <w:widowControl/>
        <w:rPr>
          <w:rFonts w:hint="default" w:ascii="Arial" w:hAnsi="Arial"/>
          <w:sz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新宋体" w:hAnsi="新宋体" w:eastAsia="新宋体"/>
          <w:sz w:val="32"/>
        </w:rPr>
      </w:pPr>
      <w:r>
        <w:rPr>
          <w:color w:val="353535"/>
          <w:shd w:val="clear" w:color="auto" w:fill="FAFAFD"/>
        </w:rPr>
        <w:t xml:space="preserve"> </w:t>
      </w:r>
      <w:r>
        <w:rPr>
          <w:rFonts w:hint="eastAsia" w:ascii="新宋体" w:hAnsi="新宋体" w:eastAsia="新宋体"/>
          <w:sz w:val="32"/>
        </w:rPr>
        <w:t>完善制度建设，完善落实绩效预算管理制度，制定2020重点工作台账，将每项工作任务分解，明确责任到人，全面落实主体责任，切实担负起职责使命，奋力推动上级关于文联工作的各项决策部署落地落实，为全年预算绩效目标的实现奠定基础。</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新宋体" w:hAnsi="新宋体" w:eastAsia="新宋体"/>
          <w:sz w:val="32"/>
        </w:rPr>
      </w:pPr>
      <w:r>
        <w:rPr>
          <w:rFonts w:hint="eastAsia" w:ascii="新宋体" w:hAnsi="新宋体" w:eastAsia="新宋体"/>
          <w:sz w:val="32"/>
        </w:rPr>
        <w:t>加强支出管理。将2020年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新宋体" w:hAnsi="新宋体" w:eastAsia="新宋体"/>
          <w:sz w:val="32"/>
        </w:rPr>
      </w:pPr>
      <w:r>
        <w:rPr>
          <w:rFonts w:hint="eastAsia" w:ascii="新宋体" w:hAnsi="新宋体" w:eastAsia="新宋体"/>
          <w:sz w:val="32"/>
        </w:rPr>
        <w:t>加强绩效运行监控。严格执行三重一大制度，所有大额资金支出、重大项目实施等，必须经领导班子会研究通过并执行。按要求开展绩效运行监控，发现问题及时采取措施，确保绩效目标如期保质实现。</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新宋体" w:hAnsi="新宋体" w:eastAsia="新宋体"/>
          <w:sz w:val="32"/>
        </w:rPr>
      </w:pPr>
      <w:r>
        <w:rPr>
          <w:rFonts w:hint="eastAsia" w:ascii="新宋体" w:hAnsi="新宋体" w:eastAsia="新宋体"/>
          <w:sz w:val="32"/>
        </w:rPr>
        <w:t>做好绩效自评。按要求开展上年度部门预算绩效自评和重点评价工作，对评价中发现的问题及时整改，调整优化支出结构，提高财政资金使用效益。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新宋体" w:hAnsi="新宋体" w:eastAsia="新宋体"/>
          <w:sz w:val="32"/>
        </w:rPr>
      </w:pPr>
      <w:r>
        <w:rPr>
          <w:rFonts w:hint="eastAsia" w:ascii="新宋体" w:hAnsi="新宋体" w:eastAsia="新宋体"/>
          <w:sz w:val="32"/>
        </w:rPr>
        <w:t>规范财务资产管理。完善财务管理制度，严格审批程序，加强固定资产登记、使用和报废处置管理，做到支出合理，物尽其用。建立离任审计制度，确保财务管理规范合理。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新宋体" w:hAnsi="新宋体" w:eastAsia="新宋体"/>
          <w:sz w:val="32"/>
        </w:rPr>
      </w:pPr>
      <w:r>
        <w:rPr>
          <w:rFonts w:hint="eastAsia" w:ascii="新宋体" w:hAnsi="新宋体" w:eastAsia="新宋体"/>
          <w:sz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新宋体" w:hAnsi="新宋体" w:eastAsia="新宋体"/>
          <w:sz w:val="32"/>
        </w:rPr>
      </w:pPr>
      <w:r>
        <w:rPr>
          <w:rFonts w:hint="eastAsia" w:ascii="新宋体" w:hAnsi="新宋体" w:eastAsia="新宋体"/>
          <w:sz w:val="32"/>
        </w:rP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pStyle w:val="15"/>
        <w:widowControl/>
        <w:rPr>
          <w:rFonts w:hint="default" w:ascii="新宋体" w:hAnsi="新宋体" w:eastAsia="新宋体"/>
          <w:sz w:val="32"/>
        </w:rPr>
      </w:pPr>
    </w:p>
    <w:p>
      <w:pPr>
        <w:autoSpaceDE w:val="0"/>
        <w:autoSpaceDN w:val="0"/>
        <w:adjustRightInd w:val="0"/>
        <w:ind w:left="198" w:firstLine="643" w:firstLineChars="200"/>
        <w:jc w:val="center"/>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pPr>
        <w:ind w:firstLine="562" w:firstLineChars="200"/>
        <w:jc w:val="left"/>
        <w:outlineLvl w:val="1"/>
        <w:rPr>
          <w:rFonts w:ascii="Times New Roman" w:hAnsi="宋体"/>
          <w:b/>
          <w:sz w:val="28"/>
        </w:rPr>
      </w:pPr>
      <w:r>
        <w:rPr>
          <w:rFonts w:hint="eastAsia" w:ascii="方正仿宋_GBK" w:eastAsia="方正仿宋_GBK"/>
          <w:b/>
          <w:sz w:val="28"/>
        </w:rPr>
        <w:t>1、鹿泉文艺书记印刷费和电子书刊制作费绩效目标表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018203"/>
      <w:r>
        <w:rPr>
          <w:rFonts w:hint="eastAsia" w:ascii="方正仿宋_GBK" w:eastAsia="方正仿宋_GBK"/>
          <w:b/>
          <w:sz w:val="28"/>
        </w:rPr>
        <w:instrText xml:space="preserve">1、鹿泉文艺书记印刷费和电子书刊制作费绩效目标表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000-9999-JSN-06HP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鹿泉文艺书记印刷费和电子书刊制作费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繁荣我区文艺创作，持续推出在市内外有较大影响力的文艺精品，需向我区广大文艺工作者、爱好者征稿汇编并不定期出版印刷综合或专题文艺创作书籍，进行免费交流发放。并创新文艺载体，制作《繁花》电子书刊，为广大文艺工作者、爱好者提供原创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、我单位通过面向大众征集审核优秀文艺书品，编辑鹿泉文苑书刊及电子杂志，进行文化宣传。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、通过文艺书刊的宣传发放，提高我区居民的文化修养及道德素质，提高我区本土文艺爱好者的创作积极性。</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组织艺术家创作次数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艺术创作的次数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文艺期刊编办次数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期刊编办的期次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鹿泉文苑编办印发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鹿泉文苑编办的次数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文联组织艺术家投稿优秀文艺作品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文联组织艺术家投稿优秀文艺作品的次数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艺术家满意数量占总数的比例。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读者满意数量占总数的比例。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pPr>
    </w:p>
    <w:p>
      <w:pPr>
        <w:ind w:firstLine="562" w:firstLineChars="200"/>
        <w:jc w:val="left"/>
        <w:outlineLvl w:val="1"/>
        <w:rPr>
          <w:rFonts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2、协会活动经费绩效目标表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018204"/>
      <w:r>
        <w:rPr>
          <w:rFonts w:hint="eastAsia" w:ascii="方正仿宋_GBK" w:eastAsia="方正仿宋_GBK"/>
          <w:b/>
          <w:sz w:val="28"/>
        </w:rPr>
        <w:instrText xml:space="preserve">2、协会活动经费绩效目标表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000-9999-JSN-6226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协会活动经费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鹿泉区文联下属</w:t>
            </w:r>
            <w:r>
              <w:rPr>
                <w:rFonts w:ascii="方正书宋_GBK" w:eastAsia="方正书宋_GBK"/>
              </w:rPr>
              <w:t>18</w:t>
            </w:r>
            <w:r>
              <w:rPr>
                <w:rFonts w:hint="eastAsia" w:ascii="方正书宋_GBK" w:eastAsia="方正书宋_GBK"/>
              </w:rPr>
              <w:t>个协会，拥有协会会员</w:t>
            </w:r>
            <w:r>
              <w:rPr>
                <w:rFonts w:ascii="方正书宋_GBK" w:eastAsia="方正书宋_GBK"/>
              </w:rPr>
              <w:t>2000</w:t>
            </w:r>
            <w:r>
              <w:rPr>
                <w:rFonts w:hint="eastAsia" w:ascii="方正书宋_GBK" w:eastAsia="方正书宋_GBK"/>
              </w:rPr>
              <w:t>余人，为方便管理及开展活动，我单位需申请</w:t>
            </w:r>
            <w:r>
              <w:rPr>
                <w:rFonts w:ascii="方正书宋_GBK" w:eastAsia="方正书宋_GBK"/>
              </w:rPr>
              <w:t>2.4</w:t>
            </w:r>
            <w:r>
              <w:rPr>
                <w:rFonts w:hint="eastAsia" w:ascii="方正书宋_GBK" w:eastAsia="方正书宋_GBK"/>
              </w:rPr>
              <w:t>万元用于推进协会管理，保障文联工作正常有序进行，用于组织会员开展活动，支持重点文艺创作和活动，加大培训力度，为繁荣我区文艺事业提供保障。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、区文联将定期召开协会会议，组织协会会员围绕区委区政府的中心工作开展活动。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、区文联将定期进行文艺评选，完善精品扶持和奖励机制，落实责任制，论证确定一批具有本地特色并具备社会影响力的题材。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参与文艺研修及教育的人数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参与文艺研修及教育的人数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组织开展文化活动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举办各艺术门类活动场次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文联组织文化活动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文联举办各艺术门类活动场次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群众参加文艺活动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群众参加文艺研修及教育的人数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协会成员满意数量占总数的比例。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网络评估满意率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关注文联公众号群众数量占总数的比例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6"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hint="eastAsia" w:ascii="仿宋_GB2312" w:hAnsi="宋体" w:eastAsia="仿宋_GB2312"/>
          <w:sz w:val="28"/>
          <w:szCs w:val="28"/>
        </w:rPr>
        <w:t>无</w:t>
      </w:r>
      <w:r>
        <w:rPr>
          <w:rFonts w:ascii="Times New Roman" w:hAnsi="Times New Roman" w:eastAsia="仿宋" w:cs="Times New Roman"/>
          <w:sz w:val="32"/>
          <w:szCs w:val="24"/>
        </w:rPr>
        <w:t>政府采购预算</w:t>
      </w:r>
      <w:r>
        <w:rPr>
          <w:rFonts w:hint="eastAsia" w:ascii="Times New Roman" w:hAnsi="Times New Roman" w:eastAsia="仿宋" w:cs="Times New Roman"/>
          <w:sz w:val="32"/>
          <w:szCs w:val="24"/>
        </w:rPr>
        <w:t>，</w:t>
      </w:r>
      <w:r>
        <w:rPr>
          <w:rFonts w:ascii="Times New Roman" w:hAnsi="Times New Roman" w:eastAsia="仿宋" w:cs="Times New Roman"/>
          <w:sz w:val="32"/>
          <w:szCs w:val="24"/>
        </w:rPr>
        <w:t>具体内容见下表。</w:t>
      </w:r>
      <w:bookmarkEnd w:id="6"/>
      <w:r>
        <w:rPr>
          <w:rFonts w:hint="eastAsia" w:ascii="Times New Roman" w:hAnsi="Times New Roman" w:eastAsia="仿宋" w:cs="Times New Roman"/>
          <w:sz w:val="32"/>
          <w:szCs w:val="24"/>
        </w:rPr>
        <w:t>空表列示。</w:t>
      </w:r>
    </w:p>
    <w:p>
      <w:pPr>
        <w:ind w:firstLine="640" w:firstLineChars="200"/>
        <w:jc w:val="center"/>
        <w:outlineLvl w:val="0"/>
        <w:rPr>
          <w:rFonts w:ascii="方正小标宋_GBK" w:eastAsia="方正小标宋_GBK"/>
          <w:sz w:val="32"/>
        </w:rPr>
      </w:pP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7" w:name="_Toc28848395"/>
      <w:r>
        <w:rPr>
          <w:rFonts w:hint="eastAsia" w:ascii="方正小标宋_GBK" w:eastAsia="方正小标宋_GBK"/>
          <w:sz w:val="32"/>
        </w:rPr>
        <w:instrText xml:space="preserve">部门政府采购预算</w:instrText>
      </w:r>
      <w:bookmarkEnd w:id="7"/>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762石家庄市鹿泉区文学艺术界联合会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石家庄市鹿泉区文学艺术界联合会2019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29.46</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r>
        <w:rPr>
          <w:rFonts w:hint="eastAsia" w:ascii="仿宋" w:hAnsi="仿宋" w:eastAsia="仿宋" w:cs="仿宋"/>
          <w:sz w:val="32"/>
          <w:szCs w:val="32"/>
        </w:rPr>
        <w:t>本年度拟购置固定资产总额为0万元。（详见下表）</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石家庄市鹿泉区文学艺术界联合会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29.46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16.96</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spacing w:line="560" w:lineRule="exact"/>
        <w:ind w:firstLine="627" w:firstLineChars="196"/>
        <w:rPr>
          <w:rFonts w:ascii="仿宋_GB2312" w:hAnsi="宋体" w:eastAsia="仿宋_GB2312"/>
          <w:sz w:val="32"/>
          <w:szCs w:val="32"/>
        </w:rPr>
      </w:pPr>
      <w:r>
        <w:rPr>
          <w:rFonts w:hint="eastAsia" w:ascii="仿宋_GB2312" w:hAnsi="宋体" w:eastAsia="仿宋_GB2312"/>
          <w:sz w:val="32"/>
          <w:szCs w:val="32"/>
        </w:rPr>
        <w:t>1、我单位无国有资本经营预算财政拨款支出，所以部门预算国有资本经营预算财政拨款支出表为空表。</w:t>
      </w:r>
    </w:p>
    <w:p>
      <w:pPr>
        <w:ind w:firstLine="640" w:firstLineChars="200"/>
        <w:rPr>
          <w:rFonts w:ascii="Times New Roman" w:hAnsi="Times New Roman" w:eastAsia="仿宋" w:cs="Times New Roman"/>
          <w:sz w:val="32"/>
          <w:szCs w:val="32"/>
        </w:rPr>
      </w:pP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新宋体">
    <w:panose1 w:val="02010609030101010101"/>
    <w:charset w:val="86"/>
    <w:family w:val="modern"/>
    <w:pitch w:val="default"/>
    <w:sig w:usb0="0000028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宋体-方正超大字符集">
    <w:altName w:val="宋体"/>
    <w:panose1 w:val="00000000000000000000"/>
    <w:charset w:val="86"/>
    <w:family w:val="auto"/>
    <w:pitch w:val="default"/>
    <w:sig w:usb0="00000000" w:usb1="0000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8</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42949"/>
    <w:rsid w:val="000C7140"/>
    <w:rsid w:val="00172A27"/>
    <w:rsid w:val="003111C5"/>
    <w:rsid w:val="00323B29"/>
    <w:rsid w:val="0039059E"/>
    <w:rsid w:val="004C5550"/>
    <w:rsid w:val="004D0A01"/>
    <w:rsid w:val="004E7A26"/>
    <w:rsid w:val="005F71E6"/>
    <w:rsid w:val="00665A87"/>
    <w:rsid w:val="00680ECA"/>
    <w:rsid w:val="007F0341"/>
    <w:rsid w:val="008311FD"/>
    <w:rsid w:val="008601FC"/>
    <w:rsid w:val="00951620"/>
    <w:rsid w:val="009A521C"/>
    <w:rsid w:val="00C94662"/>
    <w:rsid w:val="00CE71A6"/>
    <w:rsid w:val="00D018C0"/>
    <w:rsid w:val="00D607DA"/>
    <w:rsid w:val="00DA791A"/>
    <w:rsid w:val="00DC6EE5"/>
    <w:rsid w:val="00DE564B"/>
    <w:rsid w:val="00E20332"/>
    <w:rsid w:val="00EE71BA"/>
    <w:rsid w:val="00F27073"/>
    <w:rsid w:val="00F867E4"/>
    <w:rsid w:val="00F91876"/>
    <w:rsid w:val="00FD1156"/>
    <w:rsid w:val="01DF2E54"/>
    <w:rsid w:val="056D17C0"/>
    <w:rsid w:val="56914573"/>
    <w:rsid w:val="669D3EFA"/>
    <w:rsid w:val="76AC54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unhideWhenUsed/>
    <w:uiPriority w:val="99"/>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 w:type="paragraph" w:customStyle="1" w:styleId="15">
    <w:name w:val="[Normal]"/>
    <w:unhideWhenUsed/>
    <w:uiPriority w:val="99"/>
    <w:pPr>
      <w:widowControl w:val="0"/>
      <w:autoSpaceDE w:val="0"/>
      <w:autoSpaceDN w:val="0"/>
      <w:adjustRightInd w:val="0"/>
    </w:pPr>
    <w:rPr>
      <w:rFonts w:hint="eastAsia" w:ascii="宋体" w:hAnsi="宋体" w:eastAsia="宋体" w:cs="Times New Roman"/>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827</Words>
  <Characters>4718</Characters>
  <Lines>39</Lines>
  <Paragraphs>11</Paragraphs>
  <TotalTime>0</TotalTime>
  <ScaleCrop>false</ScaleCrop>
  <LinksUpToDate>false</LinksUpToDate>
  <CharactersWithSpaces>5534</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2021-05-24T03:24:00Z</dcterms:created>
  <dc:creator>guest</dc:creator>
  <cp:lastModifiedBy>Administrator</cp:lastModifiedBy>
  <cp:lastPrinted>2020-01-10T15:53:00Z</cp:lastPrinted>
  <dcterms:modified xsi:type="dcterms:W3CDTF">2024-01-17T06:42:32Z</dcterms:modified>
  <dc:title>o</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