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b w:val="0"/>
          <w:bCs w:val="0"/>
          <w:sz w:val="44"/>
          <w:szCs w:val="44"/>
          <w:lang w:eastAsia="zh-CN"/>
        </w:rPr>
      </w:pPr>
      <w:bookmarkStart w:id="0" w:name="_GoBack"/>
      <w:bookmarkEnd w:id="0"/>
      <w:r>
        <w:rPr>
          <w:rFonts w:hint="eastAsia" w:ascii="方正小标宋简体" w:hAnsi="方正小标宋简体" w:eastAsia="方正小标宋简体" w:cs="方正小标宋简体"/>
          <w:b w:val="0"/>
          <w:bCs w:val="0"/>
          <w:sz w:val="44"/>
          <w:szCs w:val="44"/>
          <w:lang w:eastAsia="zh-CN"/>
        </w:rPr>
        <w:t>中国报纸副刊协会举办中国百名文化记者看鹿泉活动经费项目绩效评价报告</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b/>
          <w:bCs/>
          <w:sz w:val="44"/>
          <w:szCs w:val="44"/>
          <w:lang w:eastAsia="zh-CN"/>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根据《石家庄市鹿泉区区级部门预算绩效管理办法》（鹿财字</w:t>
      </w:r>
      <w:r>
        <w:rPr>
          <w:rFonts w:hint="eastAsia" w:ascii="仿宋_GB2312" w:hAnsi="仿宋_GB2312" w:eastAsia="仿宋_GB2312" w:cs="仿宋_GB2312"/>
          <w:b w:val="0"/>
          <w:bCs w:val="0"/>
          <w:sz w:val="32"/>
          <w:szCs w:val="32"/>
          <w:lang w:val="en-US" w:eastAsia="zh-CN"/>
        </w:rPr>
        <w:t>[2019]65号</w:t>
      </w:r>
      <w:r>
        <w:rPr>
          <w:rFonts w:hint="eastAsia" w:ascii="仿宋_GB2312" w:hAnsi="仿宋_GB2312" w:eastAsia="仿宋_GB2312" w:cs="仿宋_GB2312"/>
          <w:b w:val="0"/>
          <w:bCs w:val="0"/>
          <w:sz w:val="32"/>
          <w:szCs w:val="32"/>
          <w:lang w:eastAsia="zh-CN"/>
        </w:rPr>
        <w:t>），遵循“科学性、规范性、客观性和公正性”的原则，对</w:t>
      </w:r>
      <w:r>
        <w:rPr>
          <w:rFonts w:hint="eastAsia" w:ascii="仿宋_GB2312" w:hAnsi="仿宋_GB2312" w:eastAsia="仿宋_GB2312" w:cs="仿宋_GB2312"/>
          <w:b w:val="0"/>
          <w:bCs w:val="0"/>
          <w:sz w:val="32"/>
          <w:szCs w:val="32"/>
          <w:lang w:val="en-US" w:eastAsia="zh-CN"/>
        </w:rPr>
        <w:t>中国报纸副刊协会举办中国百名文化记者看鹿泉活动经费</w:t>
      </w:r>
      <w:r>
        <w:rPr>
          <w:rFonts w:hint="eastAsia" w:ascii="仿宋_GB2312" w:hAnsi="仿宋_GB2312" w:eastAsia="仿宋_GB2312" w:cs="仿宋_GB2312"/>
          <w:b w:val="0"/>
          <w:bCs w:val="0"/>
          <w:sz w:val="32"/>
          <w:szCs w:val="32"/>
          <w:lang w:eastAsia="zh-CN"/>
        </w:rPr>
        <w:t>项目实施了绩效评价，形成本评价报告。</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项目基本情况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200" w:right="0" w:rightChars="0"/>
        <w:jc w:val="left"/>
        <w:textAlignment w:val="auto"/>
        <w:outlineLvl w:val="9"/>
        <w:rPr>
          <w:rFonts w:hint="eastAsia" w:ascii="楷体_GB2312" w:hAnsi="楷体_GB2312" w:eastAsia="楷体_GB2312" w:cs="楷体_GB2312"/>
          <w:b/>
          <w:bCs/>
          <w:sz w:val="32"/>
          <w:szCs w:val="32"/>
          <w:lang w:val="en-US" w:eastAsia="zh-CN"/>
        </w:rPr>
      </w:pPr>
      <w:r>
        <w:rPr>
          <w:rFonts w:hint="eastAsia" w:ascii="黑体" w:hAnsi="黑体" w:eastAsia="黑体" w:cs="黑体"/>
          <w:b w:val="0"/>
          <w:bCs w:val="0"/>
          <w:sz w:val="32"/>
          <w:szCs w:val="32"/>
          <w:lang w:val="en-US" w:eastAsia="zh-CN"/>
        </w:rPr>
        <w:t xml:space="preserve"> </w:t>
      </w:r>
      <w:r>
        <w:rPr>
          <w:rFonts w:hint="eastAsia" w:ascii="楷体_GB2312" w:hAnsi="楷体_GB2312" w:eastAsia="楷体_GB2312" w:cs="楷体_GB2312"/>
          <w:b/>
          <w:bCs/>
          <w:sz w:val="32"/>
          <w:szCs w:val="32"/>
          <w:lang w:val="en-US" w:eastAsia="zh-CN"/>
        </w:rPr>
        <w:t>（一）项目概况</w:t>
      </w: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项目实施单位及项目立项情况：</w:t>
      </w:r>
    </w:p>
    <w:p>
      <w:pPr>
        <w:ind w:firstLine="640" w:firstLineChars="200"/>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实施单位：我单位中国报纸副刊协会举办中国百名文化记者看鹿泉活动经费项目由</w:t>
      </w:r>
      <w:r>
        <w:rPr>
          <w:rFonts w:hint="eastAsia" w:ascii="仿宋_GB2312" w:hAnsi="仿宋_GB2312" w:eastAsia="仿宋_GB2312" w:cs="仿宋_GB2312"/>
          <w:sz w:val="32"/>
          <w:szCs w:val="32"/>
          <w:lang w:val="zh-CN"/>
        </w:rPr>
        <w:t>河北日报社</w:t>
      </w:r>
      <w:r>
        <w:rPr>
          <w:rFonts w:hint="eastAsia" w:ascii="仿宋_GB2312" w:hAnsi="仿宋_GB2312" w:eastAsia="仿宋_GB2312" w:cs="仿宋_GB2312"/>
          <w:b w:val="0"/>
          <w:bCs w:val="0"/>
          <w:sz w:val="32"/>
          <w:szCs w:val="32"/>
          <w:lang w:eastAsia="zh-CN"/>
        </w:rPr>
        <w:t>负责实施。</w:t>
      </w:r>
    </w:p>
    <w:p>
      <w:pPr>
        <w:numPr>
          <w:ilvl w:val="0"/>
          <w:numId w:val="0"/>
        </w:numPr>
        <w:adjustRightInd w:val="0"/>
        <w:snapToGrid w:val="0"/>
        <w:spacing w:line="360" w:lineRule="auto"/>
        <w:ind w:leftChars="204" w:firstLine="320" w:firstLineChars="100"/>
        <w:rPr>
          <w:rFonts w:hint="eastAsia" w:ascii="仿宋_GB2312" w:eastAsia="仿宋_GB2312"/>
          <w:sz w:val="32"/>
          <w:szCs w:val="32"/>
          <w:lang w:val="en-US" w:eastAsia="zh-CN"/>
        </w:rPr>
      </w:pPr>
      <w:r>
        <w:rPr>
          <w:rFonts w:hint="eastAsia" w:ascii="仿宋_GB2312" w:eastAsia="仿宋_GB2312"/>
          <w:sz w:val="32"/>
          <w:szCs w:val="32"/>
          <w:lang w:val="en-US" w:eastAsia="zh-CN"/>
        </w:rPr>
        <w:t>2.项目主要实施内容和范围；</w:t>
      </w:r>
    </w:p>
    <w:p>
      <w:pPr>
        <w:numPr>
          <w:ilvl w:val="0"/>
          <w:numId w:val="0"/>
        </w:numPr>
        <w:adjustRightInd w:val="0"/>
        <w:snapToGrid w:val="0"/>
        <w:spacing w:line="360" w:lineRule="auto"/>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主要实施内容：通过全国参会各级媒体，对鹿泉进行全方位、立体化、多角度宣传，在全国范围内展示鹿泉新形象。</w:t>
      </w:r>
    </w:p>
    <w:p>
      <w:pPr>
        <w:numPr>
          <w:ilvl w:val="0"/>
          <w:numId w:val="3"/>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项目资金合计80万元，</w:t>
      </w:r>
      <w:r>
        <w:rPr>
          <w:rFonts w:hint="eastAsia" w:ascii="仿宋_GB2312" w:hAnsi="仿宋_GB2312" w:eastAsia="仿宋_GB2312" w:cs="仿宋_GB2312"/>
          <w:b w:val="0"/>
          <w:bCs w:val="0"/>
          <w:sz w:val="32"/>
          <w:szCs w:val="32"/>
          <w:lang w:val="zh-CN" w:eastAsia="zh-CN"/>
        </w:rPr>
        <w:t>资金来源全部为区财政拨款</w:t>
      </w:r>
      <w:r>
        <w:rPr>
          <w:rFonts w:hint="eastAsia" w:ascii="仿宋_GB2312" w:eastAsia="仿宋_GB2312"/>
          <w:sz w:val="32"/>
          <w:szCs w:val="32"/>
          <w:lang w:val="en-US" w:eastAsia="zh-CN"/>
        </w:rPr>
        <w:t>。</w:t>
      </w:r>
    </w:p>
    <w:p>
      <w:pPr>
        <w:numPr>
          <w:ilvl w:val="0"/>
          <w:numId w:val="4"/>
        </w:num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仿宋_GB2312" w:eastAsia="仿宋_GB2312"/>
          <w:sz w:val="32"/>
          <w:szCs w:val="32"/>
          <w:lang w:val="en-US" w:eastAsia="zh-CN"/>
        </w:rPr>
        <w:t>通过全国各级媒体从不同角度宣传鹿泉，提升鹿泉形象。各参会媒体发表至少1篇鹿泉相关稿件，原创率达到70%以上，提高鹿泉知名度、塑造鹿泉新形象。</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3" w:firstLineChars="200"/>
        <w:jc w:val="left"/>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bCs/>
          <w:sz w:val="32"/>
          <w:szCs w:val="32"/>
          <w:lang w:eastAsia="zh-CN"/>
        </w:rPr>
        <w:t>项目评价资料收集：</w:t>
      </w:r>
      <w:r>
        <w:rPr>
          <w:rFonts w:hint="eastAsia" w:ascii="仿宋_GB2312" w:hAnsi="仿宋_GB2312" w:eastAsia="仿宋_GB2312" w:cs="仿宋_GB2312"/>
          <w:b w:val="0"/>
          <w:bCs w:val="0"/>
          <w:sz w:val="32"/>
          <w:szCs w:val="32"/>
          <w:lang w:eastAsia="zh-CN"/>
        </w:rPr>
        <w:t>项目实施过程中，科室工作人员随时进行监督、评价、收集其资料。</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3" w:firstLineChars="200"/>
        <w:jc w:val="left"/>
        <w:textAlignment w:val="auto"/>
        <w:outlineLvl w:val="9"/>
        <w:rPr>
          <w:rFonts w:hint="eastAsia" w:ascii="楷体_GB2312" w:hAnsi="楷体_GB2312" w:eastAsia="楷体_GB2312" w:cs="楷体_GB2312"/>
          <w:b/>
          <w:bCs/>
          <w:sz w:val="32"/>
          <w:szCs w:val="32"/>
          <w:lang w:val="en-US" w:eastAsia="zh-CN"/>
        </w:rPr>
      </w:pPr>
      <w:r>
        <w:rPr>
          <w:rFonts w:hint="eastAsia" w:ascii="仿宋_GB2312" w:hAnsi="仿宋_GB2312" w:eastAsia="仿宋_GB2312" w:cs="仿宋_GB2312"/>
          <w:b/>
          <w:bCs/>
          <w:sz w:val="32"/>
          <w:szCs w:val="32"/>
          <w:lang w:eastAsia="zh-CN"/>
        </w:rPr>
        <w:t>评价工作管理组织及评价过程：</w:t>
      </w:r>
      <w:r>
        <w:rPr>
          <w:rFonts w:hint="eastAsia" w:ascii="仿宋_GB2312" w:hAnsi="仿宋_GB2312" w:eastAsia="仿宋_GB2312" w:cs="仿宋_GB2312"/>
          <w:b w:val="0"/>
          <w:bCs w:val="0"/>
          <w:sz w:val="32"/>
          <w:szCs w:val="32"/>
          <w:lang w:eastAsia="zh-CN"/>
        </w:rPr>
        <w:t>项目结束后，我单位专门成立了项目评估小组，</w:t>
      </w:r>
      <w:r>
        <w:rPr>
          <w:rFonts w:hint="eastAsia" w:ascii="仿宋_GB2312" w:hAnsi="仿宋_GB2312" w:eastAsia="仿宋_GB2312" w:cs="仿宋_GB2312"/>
          <w:b w:val="0"/>
          <w:bCs w:val="0"/>
          <w:sz w:val="32"/>
          <w:szCs w:val="32"/>
          <w:lang w:val="en-US" w:eastAsia="zh-CN"/>
        </w:rPr>
        <w:t>结合平时掌握的项目开展情况，对项目决策、项目管理、项目绩效进行了综合评价。</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tbl>
      <w:tblPr>
        <w:tblStyle w:val="3"/>
        <w:tblW w:w="81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7"/>
        <w:gridCol w:w="1515"/>
        <w:gridCol w:w="1575"/>
        <w:gridCol w:w="2970"/>
        <w:gridCol w:w="9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一级</w:t>
            </w:r>
          </w:p>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指标</w:t>
            </w:r>
          </w:p>
        </w:tc>
        <w:tc>
          <w:tcPr>
            <w:tcW w:w="1515"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二级指标</w:t>
            </w: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三级</w:t>
            </w:r>
          </w:p>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指标</w:t>
            </w:r>
          </w:p>
        </w:tc>
        <w:tc>
          <w:tcPr>
            <w:tcW w:w="2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指标解释</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eastAsia="zh-CN"/>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投入</w:t>
            </w:r>
          </w:p>
        </w:tc>
        <w:tc>
          <w:tcPr>
            <w:tcW w:w="1515"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项目立项</w:t>
            </w: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28"/>
                <w:szCs w:val="28"/>
                <w:vertAlign w:val="baseline"/>
                <w:lang w:eastAsia="zh-CN"/>
              </w:rPr>
              <w:t>项目立项规范性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24"/>
                <w:szCs w:val="24"/>
                <w:lang w:val="en-US" w:eastAsia="zh-CN"/>
              </w:rPr>
              <w:t>项目的申请设立过程是否符合相关的要求。</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绩效目标合理性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24"/>
                <w:szCs w:val="24"/>
                <w:lang w:val="en-US" w:eastAsia="zh-CN"/>
              </w:rPr>
              <w:t>项目设定的绩效目标是否依据充分、符合客观实际。</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绩效目标明确性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24"/>
                <w:szCs w:val="24"/>
                <w:lang w:val="en-US" w:eastAsia="zh-CN"/>
              </w:rPr>
              <w:t>依据绩效目标设定的绩效指标是否清晰、细化、可衡量。</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资金落实</w:t>
            </w: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资金到位率</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实际到位资金与计划投入资金比率。</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到位及时率</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及时到位资金与应到位资金比率。</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过程</w:t>
            </w:r>
          </w:p>
        </w:tc>
        <w:tc>
          <w:tcPr>
            <w:tcW w:w="1515"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业务管理</w:t>
            </w: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28"/>
                <w:szCs w:val="28"/>
                <w:vertAlign w:val="baseline"/>
                <w:lang w:eastAsia="zh-CN"/>
              </w:rPr>
              <w:t>管理制度健全性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项目实施单位的业务管理制度是否健全。</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28"/>
                <w:szCs w:val="28"/>
                <w:vertAlign w:val="baseline"/>
                <w:lang w:eastAsia="zh-CN"/>
              </w:rPr>
              <w:t>制定执行有效性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项目实施是否符合相关业务管理规定。</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项目质量可控性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项目实施单位是否为达到项目治疗要求采取了必要措施。</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财务管理</w:t>
            </w: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管理制度健全性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项目实施单位的财务管理制度是否健全。</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资金使用合规性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项目资金使用是否符合相关财务管理制度规定。</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财务监控有效性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项目实施单位是否为保障资金安全、规范运行而采取了必要监控措施。</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产出</w:t>
            </w:r>
          </w:p>
        </w:tc>
        <w:tc>
          <w:tcPr>
            <w:tcW w:w="1515"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项目产出</w:t>
            </w: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实际完成率</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项目实际产出数与计划产出数的比率。</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完成及时率</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项目按时完成时间与计划完成时间比率。</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质量达标率</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项目完成的质量达标产出数与实际产出数的比率。</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效果</w:t>
            </w:r>
          </w:p>
        </w:tc>
        <w:tc>
          <w:tcPr>
            <w:tcW w:w="1515"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项目效益</w:t>
            </w: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受益群众满意度</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受益对象对项目实施效果的满意程度。</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17</w:t>
            </w:r>
          </w:p>
        </w:tc>
      </w:tr>
    </w:tbl>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r>
        <w:rPr>
          <w:rFonts w:hint="eastAsia" w:ascii="仿宋_GB2312" w:hAnsi="仿宋_GB2312" w:eastAsia="仿宋_GB2312" w:cs="仿宋_GB2312"/>
          <w:b w:val="0"/>
          <w:bCs w:val="0"/>
          <w:sz w:val="32"/>
          <w:szCs w:val="32"/>
          <w:lang w:val="en-US" w:eastAsia="zh-CN"/>
        </w:rPr>
        <w:t>项目立项前，进行了项目可行性、必要性、有效性的论证，并通过部务会议研究确定。</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绩效目标合理、明确。项目有明确的绩效目标，绩效目标与部门职责目标、部门年度工作目标一致，绩效目标能体现项目的产出和效果。我部将绩效目标分解为两大类，四个具体的绩效指标，指标清晰、可衡量，与年度任务数相对应，与预算确定的项目投资额相匹配。</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根据上述情况，项目立项情况评分9分。</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r>
        <w:rPr>
          <w:rFonts w:hint="eastAsia" w:ascii="仿宋_GB2312" w:hAnsi="仿宋_GB2312" w:eastAsia="仿宋_GB2312" w:cs="仿宋_GB2312"/>
          <w:b w:val="0"/>
          <w:bCs w:val="0"/>
          <w:sz w:val="32"/>
          <w:szCs w:val="32"/>
          <w:lang w:val="en-US" w:eastAsia="zh-CN"/>
        </w:rPr>
        <w:t>项目计划投入资金80万元，实际到位资金80万元。支付进度达到要求，资金使用规范、支付手续完备、符合预算和国库有关规定，资金使用符合《中华人民共和国预算法》等相关法律法规及财务管理制度。</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根据上述情况，资金落实情况评分6分。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r>
        <w:rPr>
          <w:rFonts w:hint="eastAsia" w:ascii="仿宋_GB2312" w:hAnsi="仿宋_GB2312" w:eastAsia="仿宋_GB2312" w:cs="仿宋_GB2312"/>
          <w:b w:val="0"/>
          <w:bCs w:val="0"/>
          <w:sz w:val="32"/>
          <w:szCs w:val="32"/>
          <w:lang w:val="en-US" w:eastAsia="zh-CN"/>
        </w:rPr>
        <w:t>管理制度健全。我单位有完善的项目立项与前期审批、项目审查、招标与合同管理、竣工与保修管理、项目廉政建设管理等一系列内部控制度。这些制度根据相关法律法规制定，合法、合规、完整。</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制度执行有效。项目过程中，严格遵守相关法律法规和业务管理规定，各类手续完备，项目实施的人员条件、场地设备等落实到位。</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项目质量可控。已制定相应的项目质量要求；</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根据上述情况，业务管理评分9 分。</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eastAsia="仿宋_GB2312"/>
          <w:b w:val="0"/>
          <w:bCs w:val="0"/>
          <w:sz w:val="32"/>
          <w:szCs w:val="32"/>
          <w:lang w:val="en-US" w:eastAsia="zh-CN"/>
        </w:rPr>
        <w:t>2.财务管理。</w:t>
      </w:r>
      <w:r>
        <w:rPr>
          <w:rFonts w:hint="eastAsia" w:ascii="仿宋_GB2312" w:hAnsi="仿宋_GB2312" w:eastAsia="仿宋_GB2312" w:cs="仿宋_GB2312"/>
          <w:b w:val="0"/>
          <w:bCs w:val="0"/>
          <w:sz w:val="32"/>
          <w:szCs w:val="32"/>
          <w:lang w:val="en-US" w:eastAsia="zh-CN"/>
        </w:rPr>
        <w:t>管理制度健全。我单位有完善的项目资金与财务管理内控制度，该制度根据相关法律法规制定，合法、合规、完整。</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2"/>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资金使用合规。资金使用符合国家法律法规和财经纪律，资金的支出有完整的审批程序，符合项目预算的批复，不存在截留、挤占、挪用、虚列支出等情况。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2"/>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财务监控有效。根据我单位财务管理规定，每笔支出都经过主要领导审批。</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根据上述情况，财务管理评分9分。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实际完成率100%，完成及时率100%，质量达标率100%。</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根据上述情况，项目产出评分50分</w:t>
      </w:r>
      <w:r>
        <w:rPr>
          <w:rFonts w:hint="eastAsia" w:ascii="仿宋_GB2312" w:eastAsia="仿宋_GB2312"/>
          <w:b w:val="0"/>
          <w:bCs w:val="0"/>
          <w:sz w:val="32"/>
          <w:szCs w:val="32"/>
          <w:lang w:val="en-US" w:eastAsia="zh-CN"/>
        </w:rPr>
        <w:t>。</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zh-CN"/>
        </w:rPr>
        <w:t>该项目的实施对</w:t>
      </w:r>
      <w:r>
        <w:rPr>
          <w:rFonts w:hint="eastAsia" w:ascii="仿宋_GB2312" w:hAnsi="仿宋_GB2312" w:eastAsia="仿宋_GB2312" w:cs="仿宋_GB2312"/>
          <w:sz w:val="32"/>
          <w:szCs w:val="32"/>
          <w:lang w:val="en-US" w:eastAsia="zh-CN"/>
        </w:rPr>
        <w:t>展示鹿泉形象</w:t>
      </w:r>
      <w:r>
        <w:rPr>
          <w:rFonts w:hint="eastAsia" w:ascii="仿宋_GB2312" w:hAnsi="仿宋_GB2312" w:eastAsia="仿宋_GB2312" w:cs="仿宋_GB2312"/>
          <w:sz w:val="32"/>
          <w:szCs w:val="32"/>
          <w:lang w:val="zh-CN"/>
        </w:rPr>
        <w:t>起到良好的推广、推介作用。通过全国</w:t>
      </w:r>
      <w:r>
        <w:rPr>
          <w:rFonts w:hint="eastAsia" w:ascii="仿宋_GB2312" w:hAnsi="仿宋_GB2312" w:eastAsia="仿宋_GB2312" w:cs="仿宋_GB2312"/>
          <w:sz w:val="32"/>
          <w:szCs w:val="32"/>
          <w:lang w:val="en-US" w:eastAsia="zh-CN"/>
        </w:rPr>
        <w:t>100余家</w:t>
      </w:r>
      <w:r>
        <w:rPr>
          <w:rFonts w:hint="eastAsia" w:ascii="仿宋_GB2312" w:hAnsi="仿宋_GB2312" w:eastAsia="仿宋_GB2312" w:cs="仿宋_GB2312"/>
          <w:sz w:val="32"/>
          <w:szCs w:val="32"/>
          <w:lang w:val="zh-CN"/>
        </w:rPr>
        <w:t>媒体的宣传效应，全面展示了鹿泉经济社会发展、人文风貌、风土人情、优美环境的良好风貌，提高了鹿泉乃至石家庄在全国的知名度和美誉度。</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根据上述情况，项目效果评分15分。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根据项目执行情况和项目绩效情况，项目综合评价得分为90分，等级为优秀。</w:t>
      </w:r>
    </w:p>
    <w:p>
      <w:pPr>
        <w:numPr>
          <w:ilvl w:val="0"/>
          <w:numId w:val="5"/>
        </w:num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评价工作组人员名单及签字</w:t>
      </w:r>
    </w:p>
    <w:tbl>
      <w:tblPr>
        <w:tblStyle w:val="3"/>
        <w:tblW w:w="95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5"/>
        <w:gridCol w:w="1733"/>
        <w:gridCol w:w="1661"/>
        <w:gridCol w:w="2188"/>
        <w:gridCol w:w="27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1245"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姓名</w:t>
            </w:r>
          </w:p>
        </w:tc>
        <w:tc>
          <w:tcPr>
            <w:tcW w:w="173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工作单位</w:t>
            </w:r>
          </w:p>
        </w:tc>
        <w:tc>
          <w:tcPr>
            <w:tcW w:w="166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职务</w:t>
            </w:r>
          </w:p>
        </w:tc>
        <w:tc>
          <w:tcPr>
            <w:tcW w:w="218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职称</w:t>
            </w:r>
          </w:p>
        </w:tc>
        <w:tc>
          <w:tcPr>
            <w:tcW w:w="2707"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45" w:type="dxa"/>
            <w:vAlign w:val="center"/>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张洁</w:t>
            </w:r>
          </w:p>
        </w:tc>
        <w:tc>
          <w:tcPr>
            <w:tcW w:w="1733" w:type="dxa"/>
            <w:vAlign w:val="center"/>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宣传部</w:t>
            </w:r>
          </w:p>
        </w:tc>
        <w:tc>
          <w:tcPr>
            <w:tcW w:w="1661" w:type="dxa"/>
            <w:vAlign w:val="center"/>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科员</w:t>
            </w:r>
          </w:p>
        </w:tc>
        <w:tc>
          <w:tcPr>
            <w:tcW w:w="2188" w:type="dxa"/>
            <w:vAlign w:val="center"/>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无</w:t>
            </w:r>
          </w:p>
        </w:tc>
        <w:tc>
          <w:tcPr>
            <w:tcW w:w="2707" w:type="dxa"/>
            <w:vAlign w:val="center"/>
          </w:tcPr>
          <w:p>
            <w:pPr>
              <w:adjustRightInd w:val="0"/>
              <w:snapToGrid w:val="0"/>
              <w:spacing w:line="360" w:lineRule="auto"/>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1245" w:type="dxa"/>
            <w:vAlign w:val="center"/>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聂慧</w:t>
            </w:r>
          </w:p>
        </w:tc>
        <w:tc>
          <w:tcPr>
            <w:tcW w:w="173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lang w:val="en-US" w:eastAsia="zh-CN"/>
              </w:rPr>
              <w:t>宣传部</w:t>
            </w:r>
          </w:p>
        </w:tc>
        <w:tc>
          <w:tcPr>
            <w:tcW w:w="1661" w:type="dxa"/>
            <w:vAlign w:val="center"/>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科员</w:t>
            </w:r>
          </w:p>
        </w:tc>
        <w:tc>
          <w:tcPr>
            <w:tcW w:w="2188" w:type="dxa"/>
            <w:vAlign w:val="center"/>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无</w:t>
            </w:r>
          </w:p>
        </w:tc>
        <w:tc>
          <w:tcPr>
            <w:tcW w:w="2707" w:type="dxa"/>
            <w:vAlign w:val="center"/>
          </w:tcPr>
          <w:p>
            <w:pPr>
              <w:adjustRightInd w:val="0"/>
              <w:snapToGrid w:val="0"/>
              <w:spacing w:line="360" w:lineRule="auto"/>
              <w:jc w:val="center"/>
              <w:rPr>
                <w:rFonts w:hint="eastAsia" w:ascii="仿宋_GB2312" w:eastAsia="仿宋_GB2312"/>
                <w:sz w:val="32"/>
                <w:szCs w:val="32"/>
              </w:rPr>
            </w:pPr>
          </w:p>
        </w:tc>
      </w:tr>
    </w:tbl>
    <w:p>
      <w:pPr>
        <w:numPr>
          <w:ilvl w:val="0"/>
          <w:numId w:val="0"/>
        </w:numPr>
        <w:adjustRightInd w:val="0"/>
        <w:snapToGrid w:val="0"/>
        <w:spacing w:line="360" w:lineRule="auto"/>
        <w:rPr>
          <w:rFonts w:hint="eastAsia" w:ascii="黑体" w:eastAsia="黑体"/>
          <w:b w:val="0"/>
          <w:bCs w:val="0"/>
          <w:sz w:val="32"/>
          <w:szCs w:val="32"/>
        </w:rPr>
      </w:pPr>
    </w:p>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A2A301"/>
    <w:multiLevelType w:val="singleLevel"/>
    <w:tmpl w:val="0DA2A301"/>
    <w:lvl w:ilvl="0" w:tentative="0">
      <w:start w:val="3"/>
      <w:numFmt w:val="decimal"/>
      <w:lvlText w:val="%1."/>
      <w:lvlJc w:val="left"/>
      <w:pPr>
        <w:tabs>
          <w:tab w:val="left" w:pos="312"/>
        </w:tabs>
        <w:ind w:left="800" w:leftChars="0" w:firstLine="0" w:firstLineChars="0"/>
      </w:pPr>
    </w:lvl>
  </w:abstractNum>
  <w:abstractNum w:abstractNumId="1">
    <w:nsid w:val="421F6896"/>
    <w:multiLevelType w:val="singleLevel"/>
    <w:tmpl w:val="421F6896"/>
    <w:lvl w:ilvl="0" w:tentative="0">
      <w:start w:val="2"/>
      <w:numFmt w:val="chineseCounting"/>
      <w:suff w:val="nothing"/>
      <w:lvlText w:val="（%1）"/>
      <w:lvlJc w:val="left"/>
      <w:rPr>
        <w:rFonts w:hint="eastAsia"/>
      </w:rPr>
    </w:lvl>
  </w:abstractNum>
  <w:abstractNum w:abstractNumId="2">
    <w:nsid w:val="5E115CCB"/>
    <w:multiLevelType w:val="singleLevel"/>
    <w:tmpl w:val="5E115CCB"/>
    <w:lvl w:ilvl="0" w:tentative="0">
      <w:start w:val="1"/>
      <w:numFmt w:val="chineseCounting"/>
      <w:suff w:val="nothing"/>
      <w:lvlText w:val="%1、"/>
      <w:lvlJc w:val="left"/>
    </w:lvl>
  </w:abstractNum>
  <w:abstractNum w:abstractNumId="3">
    <w:nsid w:val="5E11602F"/>
    <w:multiLevelType w:val="singleLevel"/>
    <w:tmpl w:val="5E11602F"/>
    <w:lvl w:ilvl="0" w:tentative="0">
      <w:start w:val="1"/>
      <w:numFmt w:val="decimal"/>
      <w:suff w:val="nothing"/>
      <w:lvlText w:val="%1."/>
      <w:lvlJc w:val="left"/>
    </w:lvl>
  </w:abstractNum>
  <w:abstractNum w:abstractNumId="4">
    <w:nsid w:val="5E143C95"/>
    <w:multiLevelType w:val="singleLevel"/>
    <w:tmpl w:val="5E143C95"/>
    <w:lvl w:ilvl="0" w:tentative="0">
      <w:start w:val="5"/>
      <w:numFmt w:val="chineseCounting"/>
      <w:suff w:val="nothing"/>
      <w:lvlText w:val="%1、"/>
      <w:lvlJc w:val="left"/>
    </w:lvl>
  </w:abstractNum>
  <w:num w:numId="1">
    <w:abstractNumId w:val="2"/>
  </w:num>
  <w:num w:numId="2">
    <w:abstractNumId w:val="3"/>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8639CC"/>
    <w:rsid w:val="28056D07"/>
    <w:rsid w:val="69A51E09"/>
    <w:rsid w:val="6B8639CC"/>
    <w:rsid w:val="7FD247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2020-01-07T07:38:00Z</dcterms:created>
  <dc:creator>Administrator</dc:creator>
  <cp:lastModifiedBy>Administrator</cp:lastModifiedBy>
  <dcterms:modified xsi:type="dcterms:W3CDTF">2024-01-17T02:33:39Z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