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0" w:firstLineChars="0"/>
        <w:jc w:val="center"/>
        <w:textAlignment w:val="auto"/>
        <w:rPr>
          <w:rFonts w:hint="eastAsia" w:ascii="方正小标宋简体" w:hAnsi="方正小标宋简体" w:eastAsia="方正小标宋简体" w:cs="方正小标宋简体"/>
          <w:b/>
          <w:bCs/>
          <w:sz w:val="44"/>
          <w:szCs w:val="44"/>
          <w:lang w:val="en-US" w:eastAsia="zh-CN"/>
        </w:rPr>
      </w:pPr>
      <w:r>
        <w:rPr>
          <w:rFonts w:hint="eastAsia" w:ascii="方正小标宋简体" w:hAnsi="方正小标宋简体" w:eastAsia="方正小标宋简体" w:cs="方正小标宋简体"/>
          <w:b/>
          <w:bCs/>
          <w:sz w:val="44"/>
          <w:szCs w:val="44"/>
          <w:lang w:val="en-US" w:eastAsia="zh-CN"/>
        </w:rPr>
        <w:t>省旅发大会宣传氛围营造工作经费</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0" w:firstLineChars="0"/>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b/>
          <w:bCs/>
          <w:sz w:val="44"/>
          <w:szCs w:val="44"/>
          <w:lang w:eastAsia="zh-CN"/>
        </w:rPr>
        <w:t>项目</w:t>
      </w:r>
      <w:r>
        <w:rPr>
          <w:rFonts w:hint="eastAsia" w:ascii="方正小标宋简体" w:hAnsi="方正小标宋简体" w:eastAsia="方正小标宋简体" w:cs="方正小标宋简体"/>
          <w:b/>
          <w:bCs/>
          <w:sz w:val="44"/>
          <w:szCs w:val="44"/>
        </w:rPr>
        <w:t>绩效评价报告</w:t>
      </w:r>
    </w:p>
    <w:p>
      <w:pPr>
        <w:spacing w:line="360" w:lineRule="auto"/>
        <w:ind w:left="0" w:leftChars="0" w:right="0" w:rightChars="0" w:firstLine="0" w:firstLineChars="0"/>
        <w:jc w:val="both"/>
        <w:rPr>
          <w:rFonts w:hint="eastAsia" w:ascii="华文楷体" w:eastAsia="华文楷体"/>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en-US" w:eastAsia="zh-CN"/>
        </w:rPr>
        <w:t>省旅发大会宣传氛围营造工作经费</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autoSpaceDE/>
        <w:autoSpaceDN/>
        <w:bidi w:val="0"/>
        <w:adjustRightInd w:val="0"/>
        <w:snapToGrid w:val="0"/>
        <w:spacing w:line="578" w:lineRule="exact"/>
        <w:textAlignment w:val="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val="zh-CN" w:eastAsia="zh-CN"/>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1.项目主要实施内容和范围；</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第四届河北省旅游产业发展大会在石家庄举办鹿泉区承办，根据2018年第二届石家庄市旅游发展大会经验，我区计划在鹿泉区主城区所有的主次干道、与石家庄主要的连接线上、石家庄火车站周边、石家庄机场周边、鹿泉区大型的宾馆饭店、所有的景区景点周边等主要明显位置制作各种形式的旅发大会的口号、吉祥物。利用现有的宣传载体，现有灯杆6000余套、铁路桥高速桥的桥体30处左右、宣传栏100个左右、现有的围挡20000平方米左右、石家庄机场和火车站现有的宣传载体，现有的宣传载体全部换为旅发大会公益广告。</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3.项目资金投入情况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hAnsi="仿宋_GB2312" w:eastAsia="仿宋_GB2312" w:cs="仿宋_GB2312"/>
          <w:b w:val="0"/>
          <w:bCs w:val="0"/>
          <w:sz w:val="32"/>
          <w:szCs w:val="32"/>
          <w:lang w:val="zh-CN" w:eastAsia="zh-CN"/>
        </w:rPr>
        <w:t>项目费用计划为</w:t>
      </w:r>
      <w:r>
        <w:rPr>
          <w:rFonts w:hint="eastAsia" w:ascii="仿宋_GB2312" w:hAnsi="仿宋_GB2312" w:eastAsia="仿宋_GB2312" w:cs="仿宋_GB2312"/>
          <w:b w:val="0"/>
          <w:bCs w:val="0"/>
          <w:sz w:val="32"/>
          <w:szCs w:val="32"/>
          <w:lang w:val="en-US" w:eastAsia="zh-CN"/>
        </w:rPr>
        <w:t>97.0871</w:t>
      </w:r>
      <w:r>
        <w:rPr>
          <w:rFonts w:hint="eastAsia" w:ascii="仿宋_GB2312" w:hAnsi="仿宋_GB2312" w:eastAsia="仿宋_GB2312" w:cs="仿宋_GB2312"/>
          <w:b w:val="0"/>
          <w:bCs w:val="0"/>
          <w:sz w:val="32"/>
          <w:szCs w:val="32"/>
          <w:lang w:val="zh-CN" w:eastAsia="zh-CN"/>
        </w:rPr>
        <w:t>万元，全部用于</w:t>
      </w:r>
      <w:r>
        <w:rPr>
          <w:rFonts w:hint="eastAsia" w:ascii="仿宋_GB2312" w:eastAsia="仿宋_GB2312"/>
          <w:sz w:val="32"/>
          <w:szCs w:val="32"/>
          <w:lang w:val="en-US" w:eastAsia="zh-CN"/>
        </w:rPr>
        <w:t>省旅发大会宣传氛围营造工作经费</w:t>
      </w:r>
      <w:r>
        <w:rPr>
          <w:rFonts w:hint="eastAsia" w:ascii="仿宋_GB2312" w:eastAsia="仿宋_GB2312"/>
          <w:sz w:val="32"/>
          <w:szCs w:val="32"/>
          <w:lang w:eastAsia="zh-CN"/>
        </w:rPr>
        <w:t>项目</w:t>
      </w:r>
      <w:r>
        <w:rPr>
          <w:rFonts w:hint="eastAsia" w:ascii="仿宋_GB2312" w:hAnsi="仿宋_GB2312" w:eastAsia="仿宋_GB2312" w:cs="仿宋_GB2312"/>
          <w:b w:val="0"/>
          <w:bCs w:val="0"/>
          <w:sz w:val="32"/>
          <w:szCs w:val="32"/>
          <w:lang w:val="zh-CN" w:eastAsia="zh-CN"/>
        </w:rPr>
        <w:t>，资金来源全部为区财政拨款。</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用于省旅发大会宣传氛围营造工作，主要是在主城区、与石家庄连接线、火车站、机场等重要位置制作旅发广告的费用。</w:t>
      </w:r>
    </w:p>
    <w:p>
      <w:pPr>
        <w:keepNext w:val="0"/>
        <w:keepLines w:val="0"/>
        <w:pageBreakBefore w:val="0"/>
        <w:widowControl w:val="0"/>
        <w:kinsoku/>
        <w:wordWrap/>
        <w:overflowPunct/>
        <w:topLinePunct w:val="0"/>
        <w:autoSpaceDE/>
        <w:autoSpaceDN/>
        <w:bidi w:val="0"/>
        <w:adjustRightInd w:val="0"/>
        <w:snapToGrid w:val="0"/>
        <w:spacing w:line="578" w:lineRule="exact"/>
        <w:ind w:firstLine="643" w:firstLineChars="2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both"/>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kinsoku/>
        <w:wordWrap/>
        <w:overflowPunct/>
        <w:topLinePunct w:val="0"/>
        <w:autoSpaceDE/>
        <w:autoSpaceDN/>
        <w:bidi w:val="0"/>
        <w:spacing w:line="578" w:lineRule="exact"/>
        <w:ind w:right="0" w:righ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lang w:val="en-US" w:eastAsia="zh-CN"/>
        </w:rPr>
        <w:t>绩效评价小组组织会议，按照上级文件要求通过查看相关资料文件以及调查问卷等形式，组织绩效评价工作。</w:t>
      </w:r>
    </w:p>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both"/>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eastAsia" w:ascii="楷体_GB2312" w:hAnsi="楷体_GB2312" w:eastAsia="楷体_GB2312" w:cs="楷体_GB2312"/>
          <w:b w:val="0"/>
          <w:bCs w:val="0"/>
          <w:sz w:val="32"/>
          <w:szCs w:val="32"/>
          <w:lang w:val="en-US" w:eastAsia="zh-CN"/>
        </w:rPr>
      </w:pPr>
      <w:r>
        <w:rPr>
          <w:rFonts w:hint="eastAsia" w:ascii="仿宋_GB2312" w:hAnsi="仿宋_GB2312" w:eastAsia="仿宋_GB2312" w:cs="仿宋_GB2312"/>
          <w:b w:val="0"/>
          <w:bCs w:val="0"/>
          <w:sz w:val="32"/>
          <w:szCs w:val="32"/>
          <w:lang w:eastAsia="zh-CN"/>
        </w:rPr>
        <w:t>我部专门成立了项目评估小组，</w:t>
      </w:r>
      <w:r>
        <w:rPr>
          <w:rFonts w:hint="eastAsia" w:ascii="仿宋_GB2312" w:hAnsi="仿宋_GB2312" w:eastAsia="仿宋_GB2312" w:cs="仿宋_GB2312"/>
          <w:b w:val="0"/>
          <w:bCs w:val="0"/>
          <w:sz w:val="32"/>
          <w:szCs w:val="32"/>
          <w:lang w:val="en-US" w:eastAsia="zh-CN"/>
        </w:rPr>
        <w:t>结合平时掌握的项目开展情况，对项目决策、项目管理、项目绩效进行了综合评价。</w:t>
      </w:r>
    </w:p>
    <w:p>
      <w:pPr>
        <w:keepNext w:val="0"/>
        <w:keepLines w:val="0"/>
        <w:pageBreakBefore w:val="0"/>
        <w:widowControl w:val="0"/>
        <w:numPr>
          <w:ilvl w:val="0"/>
          <w:numId w:val="0"/>
        </w:numPr>
        <w:kinsoku/>
        <w:wordWrap/>
        <w:overflowPunct/>
        <w:topLinePunct w:val="0"/>
        <w:autoSpaceDE/>
        <w:autoSpaceDN/>
        <w:bidi w:val="0"/>
        <w:spacing w:line="578" w:lineRule="exact"/>
        <w:ind w:leftChars="0" w:right="0" w:rightChars="0"/>
        <w:jc w:val="both"/>
        <w:textAlignment w:val="auto"/>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tbl>
      <w:tblPr>
        <w:tblStyle w:val="5"/>
        <w:tblW w:w="81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7"/>
        <w:gridCol w:w="1515"/>
        <w:gridCol w:w="1575"/>
        <w:gridCol w:w="2970"/>
        <w:gridCol w:w="9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一级</w:t>
            </w:r>
          </w:p>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指标</w:t>
            </w:r>
          </w:p>
        </w:tc>
        <w:tc>
          <w:tcPr>
            <w:tcW w:w="1515"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二级指标</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三级</w:t>
            </w:r>
          </w:p>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指标</w:t>
            </w:r>
          </w:p>
        </w:tc>
        <w:tc>
          <w:tcPr>
            <w:tcW w:w="2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指标解释</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eastAsia="zh-CN"/>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投入</w:t>
            </w:r>
          </w:p>
        </w:tc>
        <w:tc>
          <w:tcPr>
            <w:tcW w:w="1515"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项目立项</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28"/>
                <w:szCs w:val="28"/>
                <w:vertAlign w:val="baseline"/>
                <w:lang w:eastAsia="zh-CN"/>
              </w:rPr>
              <w:t>项目立项规范性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24"/>
                <w:szCs w:val="24"/>
                <w:lang w:val="en-US" w:eastAsia="zh-CN"/>
              </w:rPr>
              <w:t>项目的申请设立过程是否符合相关的要求。</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绩效目标合理性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24"/>
                <w:szCs w:val="24"/>
                <w:lang w:val="en-US" w:eastAsia="zh-CN"/>
              </w:rPr>
              <w:t>项目设定的绩效目标是否依据充分、符合客观实际。</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绩效目标明确性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24"/>
                <w:szCs w:val="24"/>
                <w:lang w:val="en-US" w:eastAsia="zh-CN"/>
              </w:rPr>
              <w:t>依据绩效目标设定的绩效指标是否清晰、细化、可衡量。</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资金落实</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资金到位率</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实际到位资金与计划投入资金比率。</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到位及时率</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及时到位资金与应到位资金比率。</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过程</w:t>
            </w:r>
          </w:p>
        </w:tc>
        <w:tc>
          <w:tcPr>
            <w:tcW w:w="1515"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业务管理</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28"/>
                <w:szCs w:val="28"/>
                <w:vertAlign w:val="baseline"/>
                <w:lang w:eastAsia="zh-CN"/>
              </w:rPr>
              <w:t>管理制度健全性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项目实施单位的业务管理制度是否健全。</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28"/>
                <w:szCs w:val="28"/>
                <w:vertAlign w:val="baseline"/>
                <w:lang w:eastAsia="zh-CN"/>
              </w:rPr>
              <w:t>制定执行有效性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项目实施是否符合相关业务管理规定。</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项目质量可控性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项目实施单位是否为达到项目治疗要求采取了必要措施。</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财务管理</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管理制度健全性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项目实施单位的财务管理制度是否健全。</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资金使用合规性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项目资金使用是否符合相关财务管理制度规定。</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财务监控有效性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项目实施单位是否为保障资金安全、规范运行而采取了必要监控措施。</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产出</w:t>
            </w:r>
          </w:p>
        </w:tc>
        <w:tc>
          <w:tcPr>
            <w:tcW w:w="1515"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项目产出</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实际完成率</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项目实际产出数与计划产出数的比率。</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完成及时率</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项目按时完成时间与计划完成时间比率。</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质量达标率</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项目完成的质量达标产出数与实际产出数的比率。</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效果</w:t>
            </w:r>
          </w:p>
        </w:tc>
        <w:tc>
          <w:tcPr>
            <w:tcW w:w="1515"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项目效益</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受益群众满意度</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受益对象对项目实施效果的满意程度。</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17</w:t>
            </w:r>
          </w:p>
        </w:tc>
      </w:tr>
    </w:tbl>
    <w:p>
      <w:pPr>
        <w:keepNext w:val="0"/>
        <w:keepLines w:val="0"/>
        <w:pageBreakBefore w:val="0"/>
        <w:widowControl w:val="0"/>
        <w:kinsoku/>
        <w:wordWrap/>
        <w:overflowPunct/>
        <w:topLinePunct w:val="0"/>
        <w:autoSpaceDE/>
        <w:autoSpaceDN/>
        <w:bidi w:val="0"/>
        <w:snapToGrid/>
        <w:spacing w:line="578" w:lineRule="exact"/>
        <w:textAlignment w:val="auto"/>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autoSpaceDE/>
        <w:autoSpaceDN/>
        <w:bidi w:val="0"/>
        <w:snapToGrid/>
        <w:spacing w:line="578" w:lineRule="exact"/>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项目立项规范。项目立项前，进行了项目可行性、必要性、有效性的论证，并通过部务会议研究确定。</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绩效目标合理、明确。项目有明确的绩效目标，绩效目标与部门职责目标、部门年度工作目标一致，绩效目标能体现项目的产出和效果。我单位将绩效目标分解为两大类，四个具体的绩效指标，指标清晰、可衡量，与年度任务数相对应，与预算确定的项目投资额相匹配。</w:t>
      </w:r>
    </w:p>
    <w:p>
      <w:pPr>
        <w:keepNext w:val="0"/>
        <w:keepLines w:val="0"/>
        <w:pageBreakBefore w:val="0"/>
        <w:widowControl w:val="0"/>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根据上述情况，项目立项情况评分9分。</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计划投入资金10万元，实际到位资金10万元，到位及时率100%。支付进度达到要求，资金使用规范、支付手续完备、符合预算和国库有关规定，资金使用符合《中华人民共和国预算法》等相关法律法规及财务管理制度。</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根据上述情况，资金落实情况评分6分。</w:t>
      </w:r>
    </w:p>
    <w:p>
      <w:pPr>
        <w:keepNext w:val="0"/>
        <w:keepLines w:val="0"/>
        <w:pageBreakBefore w:val="0"/>
        <w:widowControl w:val="0"/>
        <w:kinsoku/>
        <w:wordWrap/>
        <w:overflowPunct/>
        <w:topLinePunct w:val="0"/>
        <w:autoSpaceDE/>
        <w:autoSpaceDN/>
        <w:bidi w:val="0"/>
        <w:snapToGrid/>
        <w:spacing w:line="578" w:lineRule="exact"/>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管理制度健全。我部有完善的项目立项与前期审批、项目审查、招标与合同管理、竣工与保修管理、项目廉政建设管理等一系列内部控制制度。这些制度根据相关法律法规制定，合法、合规、完整。</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制度执行有效。项目过程中，严格遵守相关法律法规和业务管理规定，各类手续完备，项目实施的人员条件、场地设备等落实到位。</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项目质量可控。已制定相应的项目质量要求，采取了相应的项目质量检查、验收等必需的控制措施。</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根据上述情况，业务管理评分9 分。</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管理制度健全。我部有完善的项目资金与财务管理内控制度，该制度根据相关法律法规制定，合法、合规、完整。</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2"/>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资金使用合规。资金使用符合国家法律法规和财经纪律，资金的支出有完整的审批程序，符合项目预算的批复，不存在截留、挤占、挪用、虚列支出等情况。</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2"/>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财务监控有效。根据我部财务管理规定，每笔支出都经过单位主要领导审批，部务会研究集体决定并进行评审工作。</w:t>
      </w:r>
    </w:p>
    <w:p>
      <w:pPr>
        <w:keepNext w:val="0"/>
        <w:keepLines w:val="0"/>
        <w:pageBreakBefore w:val="0"/>
        <w:widowControl w:val="0"/>
        <w:numPr>
          <w:ilvl w:val="0"/>
          <w:numId w:val="0"/>
        </w:numPr>
        <w:kinsoku/>
        <w:wordWrap/>
        <w:overflowPunct/>
        <w:topLinePunct w:val="0"/>
        <w:autoSpaceDE/>
        <w:autoSpaceDN/>
        <w:bidi w:val="0"/>
        <w:snapToGrid/>
        <w:spacing w:line="578" w:lineRule="exact"/>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实际完成率100%，完成及时率100%，质量达标率100%。</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根据上述情况，项目产出评分50分。</w:t>
      </w:r>
    </w:p>
    <w:p>
      <w:pPr>
        <w:keepNext w:val="0"/>
        <w:keepLines w:val="0"/>
        <w:pageBreakBefore w:val="0"/>
        <w:widowControl w:val="0"/>
        <w:numPr>
          <w:ilvl w:val="0"/>
          <w:numId w:val="0"/>
        </w:numPr>
        <w:kinsoku/>
        <w:wordWrap/>
        <w:overflowPunct/>
        <w:topLinePunct w:val="0"/>
        <w:autoSpaceDE/>
        <w:autoSpaceDN/>
        <w:bidi w:val="0"/>
        <w:snapToGrid/>
        <w:spacing w:line="578" w:lineRule="exact"/>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keepNext w:val="0"/>
        <w:keepLines w:val="0"/>
        <w:pageBreakBefore w:val="0"/>
        <w:widowControl w:val="0"/>
        <w:numPr>
          <w:ilvl w:val="0"/>
          <w:numId w:val="0"/>
        </w:numPr>
        <w:kinsoku/>
        <w:wordWrap/>
        <w:overflowPunct/>
        <w:topLinePunct w:val="0"/>
        <w:autoSpaceDE/>
        <w:autoSpaceDN/>
        <w:bidi w:val="0"/>
        <w:snapToGrid/>
        <w:spacing w:line="578"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受益对象满意度：通过调查，受益对象普遍对整体宣传鹿泉的满意程度。满意和比较满意数量达到了总受调查人数的90%。根据上述情况，项目效果评分15分。</w:t>
      </w:r>
    </w:p>
    <w:p>
      <w:pPr>
        <w:keepNext w:val="0"/>
        <w:keepLines w:val="0"/>
        <w:pageBreakBefore w:val="0"/>
        <w:widowControl w:val="0"/>
        <w:numPr>
          <w:ilvl w:val="0"/>
          <w:numId w:val="0"/>
        </w:numPr>
        <w:kinsoku/>
        <w:wordWrap/>
        <w:overflowPunct/>
        <w:topLinePunct w:val="0"/>
        <w:autoSpaceDE/>
        <w:autoSpaceDN/>
        <w:bidi w:val="0"/>
        <w:snapToGrid/>
        <w:spacing w:line="578" w:lineRule="exact"/>
        <w:ind w:firstLine="640" w:firstLineChars="200"/>
        <w:textAlignment w:val="auto"/>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根据项目执行情况和项目绩效情况，项目综合评价得分为85分，等级为优秀。</w:t>
      </w:r>
    </w:p>
    <w:p>
      <w:pPr>
        <w:keepNext w:val="0"/>
        <w:keepLines w:val="0"/>
        <w:pageBreakBefore w:val="0"/>
        <w:widowControl w:val="0"/>
        <w:numPr>
          <w:ilvl w:val="0"/>
          <w:numId w:val="0"/>
        </w:numPr>
        <w:kinsoku/>
        <w:wordWrap/>
        <w:overflowPunct/>
        <w:topLinePunct w:val="0"/>
        <w:autoSpaceDE/>
        <w:autoSpaceDN/>
        <w:bidi w:val="0"/>
        <w:snapToGrid/>
        <w:spacing w:line="578" w:lineRule="exact"/>
        <w:ind w:firstLine="640" w:firstLineChars="200"/>
        <w:textAlignment w:val="auto"/>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keepNext w:val="0"/>
        <w:keepLines w:val="0"/>
        <w:pageBreakBefore w:val="0"/>
        <w:widowControl w:val="0"/>
        <w:numPr>
          <w:ilvl w:val="0"/>
          <w:numId w:val="0"/>
        </w:numPr>
        <w:kinsoku/>
        <w:wordWrap/>
        <w:overflowPunct/>
        <w:topLinePunct w:val="0"/>
        <w:autoSpaceDE/>
        <w:autoSpaceDN/>
        <w:bidi w:val="0"/>
        <w:snapToGrid/>
        <w:spacing w:line="578" w:lineRule="exact"/>
        <w:textAlignment w:val="auto"/>
        <w:rPr>
          <w:rFonts w:hint="eastAsia" w:ascii="楷体_GB2312" w:hAnsi="楷体_GB2312" w:eastAsia="仿宋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 xml:space="preserve">  无问题。</w:t>
      </w:r>
    </w:p>
    <w:p>
      <w:pPr>
        <w:keepNext w:val="0"/>
        <w:keepLines w:val="0"/>
        <w:pageBreakBefore w:val="0"/>
        <w:widowControl w:val="0"/>
        <w:numPr>
          <w:ilvl w:val="0"/>
          <w:numId w:val="1"/>
        </w:numPr>
        <w:kinsoku/>
        <w:wordWrap/>
        <w:overflowPunct/>
        <w:topLinePunct w:val="0"/>
        <w:autoSpaceDE/>
        <w:autoSpaceDN/>
        <w:bidi w:val="0"/>
        <w:adjustRightInd w:val="0"/>
        <w:snapToGrid/>
        <w:spacing w:before="0" w:beforeLines="0" w:after="0" w:afterLines="0" w:line="578" w:lineRule="exact"/>
        <w:ind w:left="0" w:leftChars="0" w:right="0" w:rightChars="0" w:firstLine="640" w:firstLineChars="200"/>
        <w:jc w:val="both"/>
        <w:textAlignment w:val="auto"/>
        <w:outlineLvl w:val="9"/>
        <w:rPr>
          <w:rFonts w:hint="eastAsia" w:ascii="黑体" w:eastAsia="黑体"/>
          <w:b w:val="0"/>
          <w:bCs w:val="0"/>
          <w:sz w:val="32"/>
          <w:szCs w:val="32"/>
        </w:rPr>
      </w:pPr>
      <w:r>
        <w:rPr>
          <w:rFonts w:hint="eastAsia" w:ascii="黑体" w:eastAsia="黑体"/>
          <w:b w:val="0"/>
          <w:bCs w:val="0"/>
          <w:sz w:val="32"/>
          <w:szCs w:val="32"/>
        </w:rPr>
        <w:t>评价工作组人员名单及签字</w:t>
      </w:r>
    </w:p>
    <w:tbl>
      <w:tblPr>
        <w:tblStyle w:val="5"/>
        <w:tblW w:w="88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66"/>
        <w:gridCol w:w="1767"/>
        <w:gridCol w:w="1767"/>
        <w:gridCol w:w="1767"/>
        <w:gridCol w:w="17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6" w:type="dxa"/>
          </w:tcPr>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黑体" w:eastAsia="黑体"/>
                <w:b w:val="0"/>
                <w:bCs w:val="0"/>
                <w:sz w:val="32"/>
                <w:szCs w:val="32"/>
                <w:vertAlign w:val="baseline"/>
                <w:lang w:val="en-US" w:eastAsia="zh-CN"/>
              </w:rPr>
            </w:pPr>
            <w:r>
              <w:rPr>
                <w:rFonts w:hint="eastAsia" w:ascii="黑体" w:eastAsia="黑体"/>
                <w:b w:val="0"/>
                <w:bCs w:val="0"/>
                <w:sz w:val="32"/>
                <w:szCs w:val="32"/>
                <w:vertAlign w:val="baseline"/>
                <w:lang w:val="en-US" w:eastAsia="zh-CN"/>
              </w:rPr>
              <w:t>姓名</w:t>
            </w:r>
          </w:p>
        </w:tc>
        <w:tc>
          <w:tcPr>
            <w:tcW w:w="1767" w:type="dxa"/>
          </w:tcPr>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黑体" w:eastAsia="黑体"/>
                <w:b w:val="0"/>
                <w:bCs w:val="0"/>
                <w:sz w:val="32"/>
                <w:szCs w:val="32"/>
                <w:vertAlign w:val="baseline"/>
                <w:lang w:val="en-US" w:eastAsia="zh-CN"/>
              </w:rPr>
            </w:pPr>
            <w:r>
              <w:rPr>
                <w:rFonts w:hint="eastAsia" w:ascii="黑体" w:eastAsia="黑体"/>
                <w:b w:val="0"/>
                <w:bCs w:val="0"/>
                <w:sz w:val="32"/>
                <w:szCs w:val="32"/>
                <w:vertAlign w:val="baseline"/>
                <w:lang w:val="en-US" w:eastAsia="zh-CN"/>
              </w:rPr>
              <w:t>工作单位</w:t>
            </w:r>
          </w:p>
        </w:tc>
        <w:tc>
          <w:tcPr>
            <w:tcW w:w="1767" w:type="dxa"/>
          </w:tcPr>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黑体" w:eastAsia="黑体"/>
                <w:b w:val="0"/>
                <w:bCs w:val="0"/>
                <w:sz w:val="32"/>
                <w:szCs w:val="32"/>
                <w:vertAlign w:val="baseline"/>
                <w:lang w:val="en-US" w:eastAsia="zh-CN"/>
              </w:rPr>
            </w:pPr>
            <w:r>
              <w:rPr>
                <w:rFonts w:hint="eastAsia" w:ascii="黑体" w:eastAsia="黑体"/>
                <w:b w:val="0"/>
                <w:bCs w:val="0"/>
                <w:sz w:val="32"/>
                <w:szCs w:val="32"/>
                <w:vertAlign w:val="baseline"/>
                <w:lang w:val="en-US" w:eastAsia="zh-CN"/>
              </w:rPr>
              <w:t>职务</w:t>
            </w:r>
          </w:p>
        </w:tc>
        <w:tc>
          <w:tcPr>
            <w:tcW w:w="1767" w:type="dxa"/>
          </w:tcPr>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黑体" w:eastAsia="黑体"/>
                <w:b w:val="0"/>
                <w:bCs w:val="0"/>
                <w:sz w:val="32"/>
                <w:szCs w:val="32"/>
                <w:vertAlign w:val="baseline"/>
                <w:lang w:val="en-US" w:eastAsia="zh-CN"/>
              </w:rPr>
            </w:pPr>
            <w:r>
              <w:rPr>
                <w:rFonts w:hint="eastAsia" w:ascii="黑体" w:eastAsia="黑体"/>
                <w:b w:val="0"/>
                <w:bCs w:val="0"/>
                <w:sz w:val="32"/>
                <w:szCs w:val="32"/>
                <w:vertAlign w:val="baseline"/>
                <w:lang w:val="en-US" w:eastAsia="zh-CN"/>
              </w:rPr>
              <w:t>职称</w:t>
            </w:r>
          </w:p>
        </w:tc>
        <w:tc>
          <w:tcPr>
            <w:tcW w:w="1767" w:type="dxa"/>
          </w:tcPr>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黑体" w:eastAsia="黑体"/>
                <w:b w:val="0"/>
                <w:bCs w:val="0"/>
                <w:sz w:val="32"/>
                <w:szCs w:val="32"/>
                <w:vertAlign w:val="baseline"/>
                <w:lang w:val="en-US" w:eastAsia="zh-CN"/>
              </w:rPr>
            </w:pPr>
            <w:r>
              <w:rPr>
                <w:rFonts w:hint="eastAsia" w:ascii="黑体" w:eastAsia="黑体"/>
                <w:b w:val="0"/>
                <w:bCs w:val="0"/>
                <w:sz w:val="32"/>
                <w:szCs w:val="32"/>
                <w:vertAlign w:val="baseline"/>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6" w:type="dxa"/>
          </w:tcPr>
          <w:p>
            <w:pPr>
              <w:ind w:right="0" w:right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聂慧</w:t>
            </w:r>
          </w:p>
        </w:tc>
        <w:tc>
          <w:tcPr>
            <w:tcW w:w="1767" w:type="dxa"/>
          </w:tcPr>
          <w:p>
            <w:pPr>
              <w:ind w:right="0" w:rightChars="0"/>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宣传部</w:t>
            </w:r>
          </w:p>
        </w:tc>
        <w:tc>
          <w:tcPr>
            <w:tcW w:w="1767" w:type="dxa"/>
          </w:tcPr>
          <w:p>
            <w:pPr>
              <w:ind w:right="0" w:right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科员</w:t>
            </w:r>
          </w:p>
        </w:tc>
        <w:tc>
          <w:tcPr>
            <w:tcW w:w="1767" w:type="dxa"/>
          </w:tcPr>
          <w:p>
            <w:pPr>
              <w:ind w:right="0" w:right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无</w:t>
            </w:r>
          </w:p>
        </w:tc>
        <w:tc>
          <w:tcPr>
            <w:tcW w:w="1767" w:type="dxa"/>
          </w:tcPr>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eastAsia="黑体"/>
                <w:b w:val="0"/>
                <w:bCs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6" w:type="dxa"/>
          </w:tcPr>
          <w:p>
            <w:pPr>
              <w:ind w:right="0" w:right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付月月</w:t>
            </w:r>
          </w:p>
        </w:tc>
        <w:tc>
          <w:tcPr>
            <w:tcW w:w="1767" w:type="dxa"/>
          </w:tcPr>
          <w:p>
            <w:pPr>
              <w:ind w:right="0" w:right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宣传部</w:t>
            </w:r>
          </w:p>
        </w:tc>
        <w:tc>
          <w:tcPr>
            <w:tcW w:w="1767" w:type="dxa"/>
          </w:tcPr>
          <w:p>
            <w:pPr>
              <w:ind w:right="0" w:right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科员</w:t>
            </w:r>
          </w:p>
        </w:tc>
        <w:tc>
          <w:tcPr>
            <w:tcW w:w="1767" w:type="dxa"/>
          </w:tcPr>
          <w:p>
            <w:pPr>
              <w:ind w:left="0" w:leftChars="0" w:right="0" w:righ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无</w:t>
            </w:r>
          </w:p>
        </w:tc>
        <w:tc>
          <w:tcPr>
            <w:tcW w:w="1767" w:type="dxa"/>
          </w:tcPr>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eastAsia="黑体"/>
                <w:b w:val="0"/>
                <w:bCs w:val="0"/>
                <w:sz w:val="32"/>
                <w:szCs w:val="32"/>
                <w:vertAlign w:val="baseline"/>
                <w:lang w:val="en-US" w:eastAsia="zh-CN"/>
              </w:rPr>
            </w:pPr>
          </w:p>
        </w:tc>
      </w:tr>
    </w:tbl>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leftChars="200" w:right="0" w:rightChars="0"/>
        <w:jc w:val="both"/>
        <w:textAlignment w:val="auto"/>
        <w:outlineLvl w:val="9"/>
        <w:rPr>
          <w:rFonts w:hint="eastAsia" w:ascii="黑体" w:eastAsia="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footerReference r:id="rId5" w:type="first"/>
      <w:footerReference r:id="rId3" w:type="default"/>
      <w:footerReference r:id="rId4" w:type="even"/>
      <w:pgSz w:w="11906" w:h="16838"/>
      <w:pgMar w:top="1361" w:right="1644" w:bottom="1361" w:left="1644" w:header="851" w:footer="992"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41155"/>
    <w:multiLevelType w:val="singleLevel"/>
    <w:tmpl w:val="5E141155"/>
    <w:lvl w:ilvl="0" w:tentative="0">
      <w:start w:val="6"/>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13C77AD1"/>
    <w:rsid w:val="20A54B6C"/>
    <w:rsid w:val="2A2941B7"/>
    <w:rsid w:val="31937A4F"/>
    <w:rsid w:val="50C16B3E"/>
    <w:rsid w:val="604A59C5"/>
    <w:rsid w:val="62862C24"/>
    <w:rsid w:val="77A0066E"/>
    <w:rsid w:val="7B7361E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2024-01-17T02:27:46Z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