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省旅发大会及国际啤酒节等大型活动媒体宣传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both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省旅发大会及国际啤酒节等大型活动媒体宣传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1.项目主要实施内容和范围：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zh-CN"/>
        </w:rPr>
        <w:t>为实现省旅发大会</w:t>
      </w:r>
      <w:r>
        <w:rPr>
          <w:rFonts w:hint="default" w:ascii="仿宋_GB2312" w:eastAsia="仿宋_GB2312"/>
          <w:sz w:val="32"/>
          <w:szCs w:val="32"/>
          <w:lang w:val="zh-CN"/>
        </w:rPr>
        <w:t>“</w:t>
      </w:r>
      <w:r>
        <w:rPr>
          <w:rFonts w:hint="eastAsia" w:ascii="仿宋_GB2312" w:eastAsia="仿宋_GB2312"/>
          <w:sz w:val="32"/>
          <w:szCs w:val="32"/>
          <w:lang w:val="zh-CN"/>
        </w:rPr>
        <w:t>全方位、立体式、多元化、网状态</w:t>
      </w:r>
      <w:r>
        <w:rPr>
          <w:rFonts w:hint="default" w:ascii="仿宋_GB2312" w:eastAsia="仿宋_GB2312"/>
          <w:sz w:val="32"/>
          <w:szCs w:val="32"/>
          <w:lang w:val="zh-CN"/>
        </w:rPr>
        <w:t>”</w:t>
      </w:r>
      <w:r>
        <w:rPr>
          <w:rFonts w:hint="eastAsia" w:ascii="仿宋_GB2312" w:eastAsia="仿宋_GB2312"/>
          <w:sz w:val="32"/>
          <w:szCs w:val="32"/>
          <w:lang w:val="zh-CN"/>
        </w:rPr>
        <w:t>的整体宣传效果，需要通过中央、省、市级媒体，不同地段、不同载体的宣传媒介，经区委、区政府研究决定，拟2019年6月至12月将在中央电视台、中央人民广播电视台、人民网、河北广播电视台、河北日报、石家庄电视台、石家庄电台、石家庄日报、石家庄地铁广告等单位开展旅发大会宣传活动，掀起宣传第二届旅发大会的热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3.项目资金投入情况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费用计划为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500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万元，全部用于支付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省旅发大会及国际啤酒节等大型活动媒体宣传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费用，资金来源全部为区财政拨款。财政实际拨款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437.2954万元，实际支出381.5084万元，收回55.7870万元。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石家庄电视媒体报道率达到80%以上，其中包括人民网、中新社、海外网、今日头条、河北广播电视台992频道、河北燕赵晚报与长城网，石家庄日报发行量超1万份。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我单位项目评估小组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结合平时掌握的项目开展情况，对项目决策、项目管理、项目绩效进行了综合评价。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通过查看各媒体的验看资料、审核报道数量以及发行量等进行绩效评价。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Chars="0" w:right="0" w:rightChars="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320" w:firstLineChars="100"/>
        <w:jc w:val="both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项目立项规范性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绩效目标合理性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320" w:firstLineChars="100"/>
        <w:jc w:val="both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到位及时率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资金使用合规性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320" w:firstLineChars="100"/>
        <w:jc w:val="both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成本节约率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质量达标率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320" w:firstLineChars="1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4、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服务对象满意度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社会效益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资金用于石家庄国际啤酒节、美食节、马拉松、自行车赛等大型活动的宣传推广、协调媒体采访等费用，参照以往宣传工作经验，在各重大活动期间借助各级媒体平台开展矩阵式宣传。多渠道宣传推广鹿泉，合作单位15家以上，纸媒、音视频等全年刊播公益广告2000条以上，宣传推广大型活动6个以上，全年在主流媒体组织各系列专版宣传稿件原创率达到70%以上，通过多渠道宣传推广鹿泉大型活动等提升鹿泉形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2.资金落实情况分析。为更好的利用媒体宣传鹿泉，2019年按照单一来源、集中议价和招投标等方式共与16家单位签署战略合作单位，按照合同支付进度进行支付。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项目计划投入资金500万元，实际到位资金437.2954万元，到位及时率87.46%。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管理制度健全。我单位有完善的项目立项与前期审批、项目审查、招标与合同管理、竣工与保修管理、项目廉政建设管理等一系列内部控制制度。这些制度根据相关法律法规制定，合法、合规、完整。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制度执行有效。项目过程中，严格遵守相关法律法规和业务管理规定，各类手续完备，项目实施的人员条件、场地设备等落实到位。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管理制度健全。我单位有完善的项目资金与财务管理内控制度，该制度根据相关法律法规制定，合法、合规、完整。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开展宣传推广大型活动6个，多渠道宣传鹿泉公益广告2000余条，主流媒体宣传专版15个，宣传稿件原创率70%以上。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实现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“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全方位、立体式、多元化、网状态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”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的整体宣传效果，通过电视、网络、报刊、大屏、公交语音渠道，通过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与主流媒体和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单位开展重大活动宣传活动，掀起宣传重大活动的热潮。对鹿泉乃至石家庄全域旅游产业、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展示鹿泉形象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起到良好的推广、推介作用。通过上述媒体的宣传效应将全面展示鹿泉经济社会发展、人文风貌、风土人情、优美环境的良好风貌，将提高鹿泉乃至石家庄在全国的知名度和美誉度。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根据项目执行情况和项目绩效情况，该项目综合评价得分85分，项目综合绩效评价等级为优秀。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该项目在实施过程中没有存在问题。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</w:p>
    <w:tbl>
      <w:tblPr>
        <w:tblStyle w:val="5"/>
        <w:tblW w:w="95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5"/>
        <w:gridCol w:w="1733"/>
        <w:gridCol w:w="1661"/>
        <w:gridCol w:w="2188"/>
        <w:gridCol w:w="27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姓名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工作单位</w:t>
            </w:r>
          </w:p>
        </w:tc>
        <w:tc>
          <w:tcPr>
            <w:tcW w:w="166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职务</w:t>
            </w:r>
          </w:p>
        </w:tc>
        <w:tc>
          <w:tcPr>
            <w:tcW w:w="218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职称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张洁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66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218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聂慧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66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218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sectPr>
      <w:footerReference r:id="rId5" w:type="first"/>
      <w:footerReference r:id="rId3" w:type="default"/>
      <w:footerReference r:id="rId4" w:type="even"/>
      <w:pgSz w:w="11906" w:h="16838"/>
      <w:pgMar w:top="1361" w:right="1644" w:bottom="1361" w:left="1644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PN9jnBAgAA1gUAAA4AAABkcnMvZTJvRG9jLnhtbK1UzW7UMBC+I/EO&#10;lu9pfppus6tmq+2mQUgVrVQQZ6/jbCIc27K9PwVxhTfgxIU7z9XnYOxsdtuCEAJycMae8fx8M/7O&#10;zrcdR2umTStFjuOjCCMmqKxasczxm9dlkGFkLBEV4VKwHN8xg8+nz5+dbdSEJbKRvGIagRNhJhuV&#10;48ZaNQlDQxvWEXMkFROgrKXuiIWtXoaVJhvw3vEwiaJRuJG6UlpSZgycFr0ST73/umbUXte1YRbx&#10;HENu1q/arwu3htMzMllqopqW7tIgf5FFR1oBQfeuCmIJWun2J1ddS7U0srZHVHahrOuWMl8DVBNH&#10;T6q5bYhivhYAx6g9TOb/uaWv1jcatVWOE4wE6aBF918+33/9fv/tE0ocPBtlJmB1q8DObi/kFto8&#10;nBs4dFVva925P9SDQA9A3+3BZVuLqLuUJVkWgYqCbtiA//BwXWljXzDZISfkWEP3PKhkfWVsbzqY&#10;uGhCli3nvoNcoE2OR8cnkb+w14BzLpwtZAE+dlLfmQ/jaHyZXWZpkCajyyCNiiKYlfM0GJXx6Ulx&#10;XMznRfzR+YvTSdNWFRMu3jAlcfpnXdjNa9/f/ZwYydvKuXMpGb1czLlGawJTWvrPIQzJPzALH6fh&#10;1VDVk5LiJI0uknFQjrLTIC3Tk2B8GmVBFI8vxqMoHadF+bikq1awfy/pEfoPkiYT17B9bQtO6Lvf&#10;lubSOZQGCAyNC90c9vPmJLtdbAEiJy5kdQezqWX/uI2iZQtBr4ixN0TDa4aZA4ay17DUXMKcyJ2E&#10;USP1+1+dO3toL2gx2gA75FgAfWHEXwp4fI5IBkEPwmIQxKqbS2hkDMynqBfhgrZ8EGstu7dAWzMX&#10;A1REUIiUYzuIc9szFNAeZbOZN1op3S6b/gJQhyL2Stwq6sL4EVKzlYX34J/JARWA0m2APDyoO6Jz&#10;7PRw760OdDz9A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CoFAABbQ29udGVudF9UeXBlc10ueG1sUEsBAhQACgAAAAAAh07iQAAAAAAAAAAAAAAA&#10;AAYAAAAAAAAAAAAQAAAADAQAAF9yZWxzL1BLAQIUABQAAAAIAIdO4kCKFGY80QAAAJQBAAALAAAA&#10;AAAAAAEAIAAAADAEAABfcmVscy8ucmVsc1BLAQIUAAoAAAAAAIdO4kAAAAAAAAAAAAAAAAAEAAAA&#10;AAAAAAAAEAAAAAAAAABkcnMvUEsBAhQAFAAAAAgAh07iQLNJWO7QAAAABQEAAA8AAAAAAAAAAQAg&#10;AAAAIgAAAGRycy9kb3ducmV2LnhtbFBLAQIUABQAAAAIAIdO4kDzzfY5wQIAANYFAAAOAAAAAAAA&#10;AAEAIAAAAB8BAABkcnMvZTJvRG9jLnhtbFBLBQYAAAAABgAGAFkBAABS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131260"/>
    <w:multiLevelType w:val="singleLevel"/>
    <w:tmpl w:val="5E131260"/>
    <w:lvl w:ilvl="0" w:tentative="0">
      <w:start w:val="2"/>
      <w:numFmt w:val="chineseCounting"/>
      <w:suff w:val="nothing"/>
      <w:lvlText w:val="（%1）"/>
      <w:lvlJc w:val="left"/>
    </w:lvl>
  </w:abstractNum>
  <w:abstractNum w:abstractNumId="1">
    <w:nsid w:val="5E13179B"/>
    <w:multiLevelType w:val="singleLevel"/>
    <w:tmpl w:val="5E13179B"/>
    <w:lvl w:ilvl="0" w:tentative="0">
      <w:start w:val="5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2A2941B7"/>
    <w:rsid w:val="36401C2E"/>
    <w:rsid w:val="453D45F7"/>
    <w:rsid w:val="604A59C5"/>
    <w:rsid w:val="7C5A004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2020-01-07T07:13:24Z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