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区委中心组理论学习经费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区委中心组理论学习经费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为区委中心组购买学习用书、印制学习资料及邀请省市专家教授讲课等费用，</w:t>
      </w:r>
      <w:r>
        <w:rPr>
          <w:rFonts w:hint="eastAsia" w:ascii="仿宋_GB2312" w:hAnsi="宋体" w:eastAsia="仿宋_GB2312"/>
          <w:sz w:val="32"/>
          <w:szCs w:val="32"/>
          <w:lang w:val="zh-CN"/>
        </w:rPr>
        <w:t>指导、督导全区县级党委（党组）理论学习中心组工作；加强理论宣传，运用各个传媒，搭建平台，深入宣传中央、省、市及我区方针政策；深入开展理论研究，为区委区政府决策提供咨询。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举办高端讲坛，邀请省市专家教授讲课，并购买学习书籍、学习资料打印若干。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rightChars="0"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我单位结合平时掌握的项目开展情况，对项目决策、项目管理、项目绩效进行了综合评价。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通过评估组评估，对各项绩效评价内容完成情况进行打分，并根据分值评价绩效目标完成情况。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项目立项规范，项目立项前，进行了项目可行性、必要性、有效性的论证，并通过班子会议研究确定。指标清晰、可衡量，与年度任务数相对应，与预算确定的项目投资额相匹配。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根据上述情况，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10万元，实际到位资金10万元，到位及时率100%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根据上述情况，资金落实情况评分8分。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严格遵守相关法律法规和业务管理规定。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我单位有完善的项目资金与财务管理内控制度，该制度根据相关法律法规制定，合法、合规、完整。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根据上述情况，财务管理评分9分。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 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1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受益对象满意度：通过调查，区委中心组成员对学习服务满意度95%。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根据上述情况，项目效果评分15分。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right="0" w:rightChars="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根据项目执行情况和项目绩效情况，项目综合评价得分为91分，等级为优秀。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W w:w="95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733"/>
        <w:gridCol w:w="1661"/>
        <w:gridCol w:w="2188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李素娥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副主任科员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/>
      </w:pPr>
    </w:p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3E31C"/>
    <w:multiLevelType w:val="singleLevel"/>
    <w:tmpl w:val="5E13E31C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E1415AD"/>
    <w:multiLevelType w:val="singleLevel"/>
    <w:tmpl w:val="5E1415AD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1A1459F1"/>
    <w:rsid w:val="2A2941B7"/>
    <w:rsid w:val="52306B87"/>
    <w:rsid w:val="673F78C1"/>
    <w:rsid w:val="6C276FD2"/>
    <w:rsid w:val="757E6B21"/>
    <w:rsid w:val="79311D84"/>
    <w:rsid w:val="7B305E3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2024-01-17T02:17:47Z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