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0" w:firstLineChars="0"/>
        <w:jc w:val="center"/>
        <w:textAlignment w:val="auto"/>
        <w:rPr>
          <w:rFonts w:hint="eastAsia" w:ascii="方正小标宋简体" w:hAnsi="方正小标宋简体" w:eastAsia="方正小标宋简体" w:cs="方正小标宋简体"/>
          <w:b/>
          <w:bCs/>
          <w:sz w:val="44"/>
          <w:szCs w:val="44"/>
          <w:lang w:val="en-US" w:eastAsia="zh-CN"/>
        </w:rPr>
      </w:pPr>
      <w:r>
        <w:rPr>
          <w:rFonts w:hint="eastAsia" w:ascii="方正小标宋简体" w:hAnsi="方正小标宋简体" w:eastAsia="方正小标宋简体" w:cs="方正小标宋简体"/>
          <w:b/>
          <w:bCs/>
          <w:sz w:val="44"/>
          <w:szCs w:val="44"/>
          <w:lang w:val="en-US" w:eastAsia="zh-CN"/>
        </w:rPr>
        <w:t>旅发大会实景剧演出及场地建设费用</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0" w:firstLine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b/>
          <w:bCs/>
          <w:sz w:val="44"/>
          <w:szCs w:val="44"/>
          <w:lang w:eastAsia="zh-CN"/>
        </w:rPr>
        <w:t>项目</w:t>
      </w:r>
      <w:r>
        <w:rPr>
          <w:rFonts w:hint="eastAsia" w:ascii="方正小标宋简体" w:hAnsi="方正小标宋简体" w:eastAsia="方正小标宋简体" w:cs="方正小标宋简体"/>
          <w:b/>
          <w:bCs/>
          <w:sz w:val="44"/>
          <w:szCs w:val="44"/>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旅发大会实景剧演出及场地建设费用</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为实现实景演出效果，特申请2000万元用于开幕式舞台搭建、山体改造、亮化美化、电力工程等建设工作。另外，石家庄电视媒体报道率达到80%以上，其中包括人民网、中新社、海外网、今日头条、河北广播电视台</w:t>
      </w:r>
      <w:r>
        <w:rPr>
          <w:rFonts w:hint="eastAsia" w:ascii="仿宋_GB2312" w:eastAsia="仿宋_GB2312"/>
          <w:sz w:val="32"/>
          <w:szCs w:val="32"/>
          <w:lang w:eastAsia="zh-CN"/>
        </w:rPr>
        <w:t>等多家媒体。</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资金用于大型山水实景演出《遇见鹿泉》18场，同时河北电视台，石家庄电视台对演出进</w:t>
      </w:r>
      <w:bookmarkStart w:id="0" w:name="_GoBack"/>
      <w:bookmarkEnd w:id="0"/>
      <w:r>
        <w:rPr>
          <w:rFonts w:hint="eastAsia" w:ascii="仿宋_GB2312" w:eastAsia="仿宋_GB2312"/>
          <w:sz w:val="32"/>
          <w:szCs w:val="32"/>
          <w:lang w:eastAsia="zh-CN"/>
        </w:rPr>
        <w:t>行现场直播，河北日报，燕赵晚报，燕赵都市报，石家庄日报，长城网，腾讯视频，新华网，等多家媒体进行报道，为广大游客带来视觉盛宴。</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2.项目资金投入情况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hAnsi="仿宋_GB2312" w:eastAsia="仿宋_GB2312" w:cs="仿宋_GB2312"/>
          <w:b w:val="0"/>
          <w:bCs w:val="0"/>
          <w:sz w:val="32"/>
          <w:szCs w:val="32"/>
          <w:lang w:val="zh-CN" w:eastAsia="zh-CN"/>
        </w:rPr>
        <w:t>项目费用计划为</w:t>
      </w:r>
      <w:r>
        <w:rPr>
          <w:rFonts w:hint="eastAsia" w:ascii="仿宋_GB2312" w:hAnsi="仿宋_GB2312" w:eastAsia="仿宋_GB2312" w:cs="仿宋_GB2312"/>
          <w:b w:val="0"/>
          <w:bCs w:val="0"/>
          <w:sz w:val="32"/>
          <w:szCs w:val="32"/>
          <w:lang w:val="en-US" w:eastAsia="zh-CN"/>
        </w:rPr>
        <w:t>2000</w:t>
      </w:r>
      <w:r>
        <w:rPr>
          <w:rFonts w:hint="eastAsia" w:ascii="仿宋_GB2312" w:hAnsi="仿宋_GB2312" w:eastAsia="仿宋_GB2312" w:cs="仿宋_GB2312"/>
          <w:b w:val="0"/>
          <w:bCs w:val="0"/>
          <w:sz w:val="32"/>
          <w:szCs w:val="32"/>
          <w:lang w:val="zh-CN" w:eastAsia="zh-CN"/>
        </w:rPr>
        <w:t>万元，全部用于</w:t>
      </w:r>
      <w:r>
        <w:rPr>
          <w:rFonts w:hint="eastAsia" w:ascii="仿宋_GB2312" w:eastAsia="仿宋_GB2312"/>
          <w:sz w:val="32"/>
          <w:szCs w:val="32"/>
          <w:lang w:val="en-US" w:eastAsia="zh-CN"/>
        </w:rPr>
        <w:t>旅发大会实景剧演出及场地建设费用</w:t>
      </w:r>
      <w:r>
        <w:rPr>
          <w:rFonts w:hint="eastAsia" w:ascii="仿宋_GB2312" w:hAnsi="仿宋_GB2312" w:eastAsia="仿宋_GB2312" w:cs="仿宋_GB2312"/>
          <w:b w:val="0"/>
          <w:bCs w:val="0"/>
          <w:sz w:val="32"/>
          <w:szCs w:val="32"/>
          <w:lang w:val="zh-CN" w:eastAsia="zh-CN"/>
        </w:rPr>
        <w:t>，资金来源全部为区财政拨款。</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资金用于大型山水实景演出《遇见鹿泉》18场，同时河北电视台，石家庄电视台对演出进行现场直播，河北日报，燕赵晚报，燕赵都市报，石家庄日报，长城网，腾讯视频，新华网，等多家媒体进行报道，为广大游客带来视觉盛宴。</w:t>
      </w:r>
    </w:p>
    <w:p>
      <w:pPr>
        <w:keepNext w:val="0"/>
        <w:keepLines w:val="0"/>
        <w:pageBreakBefore w:val="0"/>
        <w:widowControl w:val="0"/>
        <w:kinsoku/>
        <w:wordWrap/>
        <w:overflowPunct/>
        <w:topLinePunct w:val="0"/>
        <w:autoSpaceDE/>
        <w:autoSpaceDN/>
        <w:bidi w:val="0"/>
        <w:adjustRightInd w:val="0"/>
        <w:snapToGrid w:val="0"/>
        <w:spacing w:line="578"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kinsoku/>
        <w:wordWrap/>
        <w:overflowPunct/>
        <w:topLinePunct w:val="0"/>
        <w:autoSpaceDE/>
        <w:autoSpaceDN/>
        <w:bidi w:val="0"/>
        <w:spacing w:line="578" w:lineRule="exact"/>
        <w:ind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绩效评价小组组织会议，根据上级文件确定采用调查问卷的形式，实地走访调查。</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实地采用调查问卷的方式进行</w:t>
      </w:r>
    </w:p>
    <w:p>
      <w:pPr>
        <w:keepNext w:val="0"/>
        <w:keepLines w:val="0"/>
        <w:pageBreakBefore w:val="0"/>
        <w:widowControl w:val="0"/>
        <w:numPr>
          <w:ilvl w:val="0"/>
          <w:numId w:val="0"/>
        </w:numPr>
        <w:kinsoku/>
        <w:wordWrap/>
        <w:overflowPunct/>
        <w:topLinePunct w:val="0"/>
        <w:autoSpaceDE/>
        <w:autoSpaceDN/>
        <w:bidi w:val="0"/>
        <w:spacing w:line="578" w:lineRule="exact"/>
        <w:ind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w:t>
      </w:r>
      <w:r>
        <w:rPr>
          <w:rFonts w:hint="default" w:ascii="仿宋_GB2312" w:eastAsia="仿宋_GB2312"/>
          <w:sz w:val="32"/>
          <w:szCs w:val="32"/>
          <w:lang w:val="en-US" w:eastAsia="zh-CN"/>
        </w:rPr>
        <w:t>项目立项规范性</w:t>
      </w:r>
      <w:r>
        <w:rPr>
          <w:rFonts w:hint="eastAsia" w:ascii="仿宋_GB2312" w:eastAsia="仿宋_GB2312"/>
          <w:sz w:val="32"/>
          <w:szCs w:val="32"/>
          <w:lang w:val="en-US" w:eastAsia="zh-CN"/>
        </w:rPr>
        <w:t>、</w:t>
      </w:r>
      <w:r>
        <w:rPr>
          <w:rFonts w:hint="default" w:ascii="仿宋_GB2312" w:eastAsia="仿宋_GB2312"/>
          <w:sz w:val="32"/>
          <w:szCs w:val="32"/>
          <w:lang w:val="en-US" w:eastAsia="zh-CN"/>
        </w:rPr>
        <w:t>绩效目标合理性</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到位及时率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资金使用合规性</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3、</w:t>
      </w:r>
      <w:r>
        <w:rPr>
          <w:rFonts w:hint="default" w:ascii="仿宋_GB2312" w:eastAsia="仿宋_GB2312"/>
          <w:sz w:val="32"/>
          <w:szCs w:val="32"/>
          <w:lang w:val="en-US" w:eastAsia="zh-CN"/>
        </w:rPr>
        <w:t>成本节约率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质量达标率</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4、</w:t>
      </w:r>
      <w:r>
        <w:rPr>
          <w:rFonts w:hint="default" w:ascii="仿宋_GB2312" w:eastAsia="仿宋_GB2312"/>
          <w:sz w:val="32"/>
          <w:szCs w:val="32"/>
          <w:lang w:val="en-US" w:eastAsia="zh-CN"/>
        </w:rPr>
        <w:t>服务对象满意度</w:t>
      </w:r>
      <w:r>
        <w:rPr>
          <w:rFonts w:hint="eastAsia" w:ascii="仿宋_GB2312" w:eastAsia="仿宋_GB2312"/>
          <w:sz w:val="32"/>
          <w:szCs w:val="32"/>
          <w:lang w:val="en-US" w:eastAsia="zh-CN"/>
        </w:rPr>
        <w:t>、</w:t>
      </w:r>
      <w:r>
        <w:rPr>
          <w:rFonts w:hint="default" w:ascii="仿宋_GB2312" w:eastAsia="仿宋_GB2312"/>
          <w:sz w:val="32"/>
          <w:szCs w:val="32"/>
          <w:lang w:val="en-US" w:eastAsia="zh-CN"/>
        </w:rPr>
        <w:t>社会效益</w:t>
      </w:r>
    </w:p>
    <w:p>
      <w:pPr>
        <w:keepNext w:val="0"/>
        <w:keepLines w:val="0"/>
        <w:pageBreakBefore w:val="0"/>
        <w:widowControl w:val="0"/>
        <w:kinsoku/>
        <w:wordWrap/>
        <w:overflowPunct/>
        <w:topLinePunct w:val="0"/>
        <w:autoSpaceDE/>
        <w:autoSpaceDN/>
        <w:bidi w:val="0"/>
        <w:spacing w:line="578" w:lineRule="exact"/>
        <w:textAlignment w:val="auto"/>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default" w:ascii="仿宋_GB2312" w:eastAsia="仿宋_GB2312"/>
          <w:sz w:val="32"/>
          <w:szCs w:val="32"/>
          <w:lang w:val="en-US" w:eastAsia="zh-CN"/>
        </w:rPr>
        <w:t>项目立项规范性</w:t>
      </w:r>
      <w:r>
        <w:rPr>
          <w:rFonts w:hint="eastAsia" w:ascii="仿宋_GB2312" w:eastAsia="仿宋_GB2312"/>
          <w:sz w:val="32"/>
          <w:szCs w:val="32"/>
          <w:lang w:val="en-US" w:eastAsia="zh-CN"/>
        </w:rPr>
        <w:t>。</w:t>
      </w:r>
      <w:r>
        <w:rPr>
          <w:rFonts w:hint="default" w:ascii="仿宋_GB2312" w:eastAsia="仿宋_GB2312"/>
          <w:sz w:val="32"/>
          <w:szCs w:val="32"/>
          <w:lang w:val="en-US" w:eastAsia="zh-CN"/>
        </w:rPr>
        <w:t>项目按照规定的程序申请设立</w:t>
      </w:r>
      <w:r>
        <w:rPr>
          <w:rFonts w:hint="eastAsia" w:ascii="仿宋_GB2312" w:eastAsia="仿宋_GB2312"/>
          <w:sz w:val="32"/>
          <w:szCs w:val="32"/>
          <w:lang w:val="en-US" w:eastAsia="zh-CN"/>
        </w:rPr>
        <w:t>，</w:t>
      </w:r>
      <w:r>
        <w:rPr>
          <w:rFonts w:hint="default" w:ascii="仿宋_GB2312" w:eastAsia="仿宋_GB2312"/>
          <w:sz w:val="32"/>
          <w:szCs w:val="32"/>
          <w:lang w:val="en-US" w:eastAsia="zh-CN"/>
        </w:rPr>
        <w:t>事前已经过必要的可行性研究</w:t>
      </w:r>
      <w:r>
        <w:rPr>
          <w:rFonts w:hint="eastAsia" w:ascii="仿宋_GB2312" w:eastAsia="仿宋_GB2312"/>
          <w:sz w:val="32"/>
          <w:szCs w:val="32"/>
          <w:lang w:val="en-US" w:eastAsia="zh-CN"/>
        </w:rPr>
        <w:t>。</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default" w:ascii="仿宋_GB2312" w:eastAsia="仿宋_GB2312"/>
          <w:sz w:val="32"/>
          <w:szCs w:val="32"/>
          <w:lang w:val="en-US" w:eastAsia="zh-CN"/>
        </w:rPr>
        <w:t>绩效目标合理性</w:t>
      </w:r>
      <w:r>
        <w:rPr>
          <w:rFonts w:hint="eastAsia" w:ascii="仿宋_GB2312" w:eastAsia="仿宋_GB2312"/>
          <w:sz w:val="32"/>
          <w:szCs w:val="32"/>
          <w:lang w:val="en-US" w:eastAsia="zh-CN"/>
        </w:rPr>
        <w:t>。该项目</w:t>
      </w:r>
      <w:r>
        <w:rPr>
          <w:rFonts w:hint="default" w:ascii="仿宋_GB2312" w:eastAsia="仿宋_GB2312"/>
          <w:sz w:val="32"/>
          <w:szCs w:val="32"/>
          <w:lang w:val="en-US" w:eastAsia="zh-CN"/>
        </w:rPr>
        <w:t>符合国家相关法律法规</w:t>
      </w:r>
      <w:r>
        <w:rPr>
          <w:rFonts w:hint="eastAsia" w:ascii="仿宋_GB2312" w:eastAsia="仿宋_GB2312"/>
          <w:sz w:val="32"/>
          <w:szCs w:val="32"/>
          <w:lang w:val="en-US" w:eastAsia="zh-CN"/>
        </w:rPr>
        <w:t>，是</w:t>
      </w:r>
      <w:r>
        <w:rPr>
          <w:rFonts w:hint="default" w:ascii="仿宋_GB2312" w:eastAsia="仿宋_GB2312"/>
          <w:sz w:val="32"/>
          <w:szCs w:val="32"/>
          <w:lang w:val="en-US" w:eastAsia="zh-CN"/>
        </w:rPr>
        <w:t>事业</w:t>
      </w:r>
      <w:r>
        <w:rPr>
          <w:rFonts w:hint="eastAsia" w:ascii="仿宋_GB2312" w:eastAsia="仿宋_GB2312"/>
          <w:sz w:val="32"/>
          <w:szCs w:val="32"/>
          <w:lang w:val="en-US" w:eastAsia="zh-CN"/>
        </w:rPr>
        <w:t>单位</w:t>
      </w:r>
      <w:r>
        <w:rPr>
          <w:rFonts w:hint="default" w:ascii="仿宋_GB2312" w:eastAsia="仿宋_GB2312"/>
          <w:sz w:val="32"/>
          <w:szCs w:val="32"/>
          <w:lang w:val="en-US" w:eastAsia="zh-CN"/>
        </w:rPr>
        <w:t>发展所必需</w:t>
      </w:r>
      <w:r>
        <w:rPr>
          <w:rFonts w:hint="eastAsia" w:ascii="仿宋_GB2312" w:eastAsia="仿宋_GB2312"/>
          <w:sz w:val="32"/>
          <w:szCs w:val="32"/>
          <w:lang w:val="en-US" w:eastAsia="zh-CN"/>
        </w:rPr>
        <w:t>，项</w:t>
      </w:r>
      <w:r>
        <w:rPr>
          <w:rFonts w:hint="default" w:ascii="仿宋_GB2312" w:eastAsia="仿宋_GB2312"/>
          <w:sz w:val="32"/>
          <w:szCs w:val="32"/>
          <w:lang w:val="en-US" w:eastAsia="zh-CN"/>
        </w:rPr>
        <w:t>目预期产出效益和效果符合正常的业绩水平</w:t>
      </w:r>
      <w:r>
        <w:rPr>
          <w:rFonts w:hint="eastAsia" w:ascii="仿宋_GB2312" w:eastAsia="仿宋_GB2312"/>
          <w:sz w:val="32"/>
          <w:szCs w:val="32"/>
          <w:lang w:val="en-US" w:eastAsia="zh-CN"/>
        </w:rPr>
        <w:t>。</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default" w:ascii="仿宋_GB2312" w:eastAsia="仿宋_GB2312"/>
          <w:sz w:val="32"/>
          <w:szCs w:val="32"/>
          <w:lang w:val="en-US" w:eastAsia="zh-CN"/>
        </w:rPr>
        <w:t>到位及时率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到位及时率</w:t>
      </w:r>
      <w:r>
        <w:rPr>
          <w:rFonts w:hint="eastAsia" w:ascii="仿宋_GB2312" w:eastAsia="仿宋_GB2312"/>
          <w:sz w:val="32"/>
          <w:szCs w:val="32"/>
          <w:lang w:val="en-US" w:eastAsia="zh-CN"/>
        </w:rPr>
        <w:t>=100%</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default" w:ascii="仿宋_GB2312" w:eastAsia="仿宋_GB2312"/>
          <w:sz w:val="32"/>
          <w:szCs w:val="32"/>
          <w:lang w:val="en-US" w:eastAsia="zh-CN"/>
        </w:rPr>
        <w:t>资金使用合规性</w:t>
      </w:r>
      <w:r>
        <w:rPr>
          <w:rFonts w:hint="eastAsia" w:ascii="仿宋_GB2312" w:eastAsia="仿宋_GB2312"/>
          <w:sz w:val="32"/>
          <w:szCs w:val="32"/>
          <w:lang w:val="en-US" w:eastAsia="zh-CN"/>
        </w:rPr>
        <w:t>。</w:t>
      </w:r>
      <w:r>
        <w:rPr>
          <w:rFonts w:hint="default" w:ascii="仿宋_GB2312" w:eastAsia="仿宋_GB2312"/>
          <w:sz w:val="32"/>
          <w:szCs w:val="32"/>
          <w:lang w:val="en-US" w:eastAsia="zh-CN"/>
        </w:rPr>
        <w:t>符合国家财经法规和财务管理制度以及有关专项资金管理办法的规定</w:t>
      </w:r>
      <w:r>
        <w:rPr>
          <w:rFonts w:hint="eastAsia" w:ascii="仿宋_GB2312" w:eastAsia="仿宋_GB2312"/>
          <w:sz w:val="32"/>
          <w:szCs w:val="32"/>
          <w:lang w:val="en-US" w:eastAsia="zh-CN"/>
        </w:rPr>
        <w:t>，</w:t>
      </w:r>
      <w:r>
        <w:rPr>
          <w:rFonts w:hint="default" w:ascii="仿宋_GB2312" w:eastAsia="仿宋_GB2312"/>
          <w:sz w:val="32"/>
          <w:szCs w:val="32"/>
          <w:lang w:val="en-US" w:eastAsia="zh-CN"/>
        </w:rPr>
        <w:t>资金的拨付有完整的审批程序和手续</w:t>
      </w:r>
      <w:r>
        <w:rPr>
          <w:rFonts w:hint="eastAsia" w:ascii="仿宋_GB2312" w:eastAsia="仿宋_GB2312"/>
          <w:sz w:val="32"/>
          <w:szCs w:val="32"/>
          <w:lang w:val="en-US" w:eastAsia="zh-CN"/>
        </w:rPr>
        <w:t>，</w:t>
      </w:r>
      <w:r>
        <w:rPr>
          <w:rFonts w:hint="default" w:ascii="仿宋_GB2312" w:eastAsia="仿宋_GB2312"/>
          <w:sz w:val="32"/>
          <w:szCs w:val="32"/>
          <w:lang w:val="en-US" w:eastAsia="zh-CN"/>
        </w:rPr>
        <w:t>符合项目预算批复或合同规定的用途</w:t>
      </w:r>
      <w:r>
        <w:rPr>
          <w:rFonts w:hint="eastAsia" w:ascii="仿宋_GB2312" w:eastAsia="仿宋_GB2312"/>
          <w:sz w:val="32"/>
          <w:szCs w:val="32"/>
          <w:lang w:val="en-US" w:eastAsia="zh-CN"/>
        </w:rPr>
        <w:t>。</w:t>
      </w:r>
    </w:p>
    <w:p>
      <w:pPr>
        <w:keepNext w:val="0"/>
        <w:keepLines w:val="0"/>
        <w:pageBreakBefore w:val="0"/>
        <w:widowControl w:val="0"/>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管理制度健全。我单位有完善的项目立项与前期审批、项目审查、招标与合同管理、竣工与保修管理、项目廉政建设管理等一系列内部控制制度。这些制度根据相关法律法规制定，合法、合规、完整。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制度执行有效。项目过程中，严格遵守相关法律法规和业务管理规定，各类手续完备，项目实施的人员条件、场地设备等落实到位。</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2.财务管理。</w:t>
      </w:r>
      <w:r>
        <w:rPr>
          <w:rFonts w:hint="default" w:ascii="仿宋_GB2312" w:eastAsia="仿宋_GB2312"/>
          <w:sz w:val="32"/>
          <w:szCs w:val="32"/>
          <w:lang w:val="en-US" w:eastAsia="zh-CN"/>
        </w:rPr>
        <w:t>符合国家财经法规和财务管理制度以及有关专项资金管理办法的规定</w:t>
      </w:r>
      <w:r>
        <w:rPr>
          <w:rFonts w:hint="eastAsia" w:ascii="仿宋_GB2312" w:eastAsia="仿宋_GB2312"/>
          <w:sz w:val="32"/>
          <w:szCs w:val="32"/>
          <w:lang w:val="en-US" w:eastAsia="zh-CN"/>
        </w:rPr>
        <w:t>，</w:t>
      </w:r>
      <w:r>
        <w:rPr>
          <w:rFonts w:hint="default" w:ascii="仿宋_GB2312" w:eastAsia="仿宋_GB2312"/>
          <w:sz w:val="32"/>
          <w:szCs w:val="32"/>
          <w:lang w:val="en-US" w:eastAsia="zh-CN"/>
        </w:rPr>
        <w:t>资金的拨付有完整的审批程序和手续</w:t>
      </w:r>
      <w:r>
        <w:rPr>
          <w:rFonts w:hint="eastAsia" w:ascii="仿宋_GB2312" w:eastAsia="仿宋_GB2312"/>
          <w:sz w:val="32"/>
          <w:szCs w:val="32"/>
          <w:lang w:val="en-US" w:eastAsia="zh-CN"/>
        </w:rPr>
        <w:t>，</w:t>
      </w:r>
      <w:r>
        <w:rPr>
          <w:rFonts w:hint="default" w:ascii="仿宋_GB2312" w:eastAsia="仿宋_GB2312"/>
          <w:sz w:val="32"/>
          <w:szCs w:val="32"/>
          <w:lang w:val="en-US" w:eastAsia="zh-CN"/>
        </w:rPr>
        <w:t>符合项目预算批复或合同规定的用途</w:t>
      </w:r>
      <w:r>
        <w:rPr>
          <w:rFonts w:hint="eastAsia" w:ascii="仿宋_GB2312" w:eastAsia="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w:t>
      </w:r>
      <w:r>
        <w:rPr>
          <w:rFonts w:hint="default" w:ascii="仿宋_GB2312" w:eastAsia="仿宋_GB2312"/>
          <w:sz w:val="32"/>
          <w:szCs w:val="32"/>
          <w:lang w:val="en-US" w:eastAsia="zh-CN"/>
        </w:rPr>
        <w:t>成本节约率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成本节约率=[（计划成本-实际成本）/计划成本]×100%。</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质量达标率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质量达标率=（质量达标产出数/实际产出数）×100%。</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1"/>
        </w:numPr>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社会效益。通过旅发大会实景演出，更好的宣传鹿泉、推介鹿泉</w:t>
      </w:r>
    </w:p>
    <w:p>
      <w:pPr>
        <w:keepNext w:val="0"/>
        <w:keepLines w:val="0"/>
        <w:pageBreakBefore w:val="0"/>
        <w:widowControl w:val="0"/>
        <w:numPr>
          <w:ilvl w:val="0"/>
          <w:numId w:val="1"/>
        </w:numPr>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default" w:ascii="仿宋_GB2312" w:eastAsia="仿宋_GB2312"/>
          <w:sz w:val="32"/>
          <w:szCs w:val="32"/>
          <w:lang w:val="en-US" w:eastAsia="zh-CN"/>
        </w:rPr>
        <w:t>服务对象满意度</w:t>
      </w:r>
      <w:r>
        <w:rPr>
          <w:rFonts w:hint="eastAsia" w:ascii="仿宋_GB2312" w:eastAsia="仿宋_GB2312"/>
          <w:sz w:val="32"/>
          <w:szCs w:val="32"/>
          <w:lang w:val="en-US" w:eastAsia="zh-CN"/>
        </w:rPr>
        <w:t>。通过调查问卷的形式，调查所涉及人员对该项目整体满意。</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根据项目执行情况和项目绩效情况，该项目综合评价得分90分，项目综合绩效评价等级为优秀。</w:t>
      </w:r>
    </w:p>
    <w:p>
      <w:pPr>
        <w:keepNext w:val="0"/>
        <w:keepLines w:val="0"/>
        <w:pageBreakBefore w:val="0"/>
        <w:widowControl w:val="0"/>
        <w:numPr>
          <w:ilvl w:val="0"/>
          <w:numId w:val="2"/>
        </w:numPr>
        <w:kinsoku/>
        <w:wordWrap/>
        <w:overflowPunct/>
        <w:topLinePunct w:val="0"/>
        <w:autoSpaceDE/>
        <w:autoSpaceDN/>
        <w:bidi w:val="0"/>
        <w:spacing w:line="578" w:lineRule="exact"/>
        <w:ind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楷体_GB2312" w:hAnsi="楷体_GB2312" w:eastAsia="仿宋_GB2312"/>
          <w:b w:val="0"/>
          <w:bCs w:val="0"/>
          <w:sz w:val="32"/>
          <w:szCs w:val="32"/>
          <w:lang w:val="en-US" w:eastAsia="zh-CN"/>
        </w:rPr>
      </w:pPr>
      <w:r>
        <w:rPr>
          <w:rFonts w:hint="eastAsia" w:ascii="仿宋_GB2312" w:eastAsia="仿宋_GB2312"/>
          <w:sz w:val="32"/>
          <w:szCs w:val="32"/>
          <w:lang w:val="en-US" w:eastAsia="zh-CN"/>
        </w:rPr>
        <w:t>无问题。</w:t>
      </w:r>
    </w:p>
    <w:p>
      <w:pPr>
        <w:keepNext w:val="0"/>
        <w:keepLines w:val="0"/>
        <w:pageBreakBefore w:val="0"/>
        <w:widowControl w:val="0"/>
        <w:kinsoku/>
        <w:wordWrap/>
        <w:overflowPunct/>
        <w:topLinePunct w:val="0"/>
        <w:autoSpaceDE/>
        <w:autoSpaceDN/>
        <w:bidi w:val="0"/>
        <w:adjustRightInd w:val="0"/>
        <w:snapToGrid/>
        <w:spacing w:before="0" w:beforeLines="0" w:after="0" w:afterLines="0"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tbl>
      <w:tblPr>
        <w:tblStyle w:val="5"/>
        <w:tblW w:w="95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733"/>
        <w:gridCol w:w="1661"/>
        <w:gridCol w:w="2188"/>
        <w:gridCol w:w="2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66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218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2707"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张洁</w:t>
            </w:r>
          </w:p>
        </w:tc>
        <w:tc>
          <w:tcPr>
            <w:tcW w:w="1733"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宣传部</w:t>
            </w:r>
          </w:p>
        </w:tc>
        <w:tc>
          <w:tcPr>
            <w:tcW w:w="1661"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科员</w:t>
            </w:r>
          </w:p>
        </w:tc>
        <w:tc>
          <w:tcPr>
            <w:tcW w:w="2188"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无</w:t>
            </w:r>
          </w:p>
        </w:tc>
        <w:tc>
          <w:tcPr>
            <w:tcW w:w="2707"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聂慧</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lang w:val="en-US" w:eastAsia="zh-CN"/>
              </w:rPr>
              <w:t>宣传部</w:t>
            </w:r>
          </w:p>
        </w:tc>
        <w:tc>
          <w:tcPr>
            <w:tcW w:w="1661"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2188"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无</w:t>
            </w:r>
          </w:p>
        </w:tc>
        <w:tc>
          <w:tcPr>
            <w:tcW w:w="2707" w:type="dxa"/>
            <w:vAlign w:val="center"/>
          </w:tcPr>
          <w:p>
            <w:pPr>
              <w:adjustRightInd w:val="0"/>
              <w:snapToGrid w:val="0"/>
              <w:spacing w:line="360" w:lineRule="auto"/>
              <w:jc w:val="center"/>
              <w:rPr>
                <w:rFonts w:hint="eastAsia" w:ascii="仿宋_GB2312" w:eastAsia="仿宋_GB2312"/>
                <w:sz w:val="32"/>
                <w:szCs w:val="32"/>
              </w:rPr>
            </w:pP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footerReference r:id="rId5" w:type="first"/>
      <w:footerReference r:id="rId3" w:type="default"/>
      <w:footerReference r:id="rId4" w:type="even"/>
      <w:pgSz w:w="11906" w:h="16838"/>
      <w:pgMar w:top="1361" w:right="1644" w:bottom="1361" w:left="1644"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LNJWO7QAAAABQEAAA8AAAAAAAAAAQAg&#10;AAAAIgAAAGRycy9kb3ducmV2LnhtbFBLAQIUABQAAAAIAIdO4kDzzfY5wQIAANYFAAAOAAAAAAAA&#10;AAEAIAAAAB8BAABkcnMvZTJvRG9jLnhtbFBLBQYAAAAABgAGAFkBAABSBg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31CCC"/>
    <w:multiLevelType w:val="singleLevel"/>
    <w:tmpl w:val="5E131CCC"/>
    <w:lvl w:ilvl="0" w:tentative="0">
      <w:start w:val="1"/>
      <w:numFmt w:val="decimal"/>
      <w:suff w:val="nothing"/>
      <w:lvlText w:val="%1、"/>
      <w:lvlJc w:val="left"/>
    </w:lvl>
  </w:abstractNum>
  <w:abstractNum w:abstractNumId="1">
    <w:nsid w:val="5E131D1D"/>
    <w:multiLevelType w:val="singleLevel"/>
    <w:tmpl w:val="5E131D1D"/>
    <w:lvl w:ilvl="0" w:tentative="0">
      <w:start w:val="5"/>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1F021AF"/>
    <w:rsid w:val="2A2941B7"/>
    <w:rsid w:val="3AF7049A"/>
    <w:rsid w:val="4DF41D68"/>
    <w:rsid w:val="5F294CFD"/>
    <w:rsid w:val="604A59C5"/>
    <w:rsid w:val="6A457ACB"/>
    <w:rsid w:val="79F2737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2020-01-07T07:05:06Z</cp:lastPrinted>
  <dcterms:modified xsi:type="dcterms:W3CDTF">2020-01-07T07:05:59Z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