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爱国主义教育基地管护费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爱国主义教育基地管护费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zh-CN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项目施工单位是我区各爱国主义教育基地，用于爱国主义教育基地的管理维护提升。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充分利用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和保护</w:t>
      </w:r>
      <w:r>
        <w:rPr>
          <w:rFonts w:hint="eastAsia" w:ascii="仿宋_GB2312" w:hAnsi="仿宋_GB2312" w:eastAsia="仿宋_GB2312" w:cs="仿宋_GB2312"/>
          <w:sz w:val="32"/>
          <w:szCs w:val="32"/>
        </w:rPr>
        <w:t>我区红色教育资源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，使</w:t>
      </w:r>
      <w:r>
        <w:rPr>
          <w:rFonts w:hint="eastAsia" w:ascii="仿宋_GB2312" w:hAnsi="仿宋_GB2312" w:eastAsia="仿宋_GB2312" w:cs="仿宋_GB2312"/>
          <w:sz w:val="32"/>
          <w:szCs w:val="32"/>
        </w:rPr>
        <w:t>红色文化资源得以保护和利用</w:t>
      </w:r>
      <w:r>
        <w:rPr>
          <w:rFonts w:hint="eastAsia" w:ascii="宋体" w:hAnsi="宋体" w:eastAsia="仿宋_GB2312" w:cs="仿宋_GB2312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项目费用计划为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万元，实际花费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40元，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全部用于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爱国主义教育教育基地管理和维护经费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，资金来源全部为区财政拨款。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用于</w:t>
      </w:r>
      <w:r>
        <w:rPr>
          <w:rFonts w:hint="eastAsia" w:ascii="仿宋_GB2312" w:hAnsi="仿宋_GB2312" w:eastAsia="仿宋_GB2312" w:cs="仿宋_GB2312"/>
          <w:sz w:val="32"/>
          <w:szCs w:val="32"/>
        </w:rPr>
        <w:t>挖掘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我区</w:t>
      </w:r>
      <w:r>
        <w:rPr>
          <w:rFonts w:hint="eastAsia" w:ascii="仿宋_GB2312" w:hAnsi="仿宋_GB2312" w:eastAsia="仿宋_GB2312" w:cs="仿宋_GB2312"/>
          <w:sz w:val="32"/>
          <w:szCs w:val="32"/>
        </w:rPr>
        <w:t>红色文化资源，使中央外事学校、军政大学旧址、荣臻子弟小学陈列馆等一批红色文化资源得以保护和利用，使引岗精神进一步传承发扬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牢记革命历史，传承红色基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绩效评价小组组织会议，按照上级文件要求通过活动相关文件以及调查问卷等形式，组织绩效评价工作。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我部专门成立了项目评估小组，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结合平时掌握的项目开展情况，对项目决策、项目管理、项目绩效进行了综合评价。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三级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项目立项规范。项目立项前，进行了项目可行性、必要性、有效性的论证，并通过部务会议研究确定。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绩效目标合理、明确。项目有明确的绩效目标，绩效目标与部门职责目标、部门年度工作目标一致，绩效目标能体现项目的产出和效果。我单位将绩效目标分解为两大类，四个具体的绩效指标，指标清晰、可衡量，与年度任务数相对应，与预算确定的项目投资额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根据上述情况，项目立项情况评分9分。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计划投入资金40万元，实际到位资金40万元，到位及时率100%。支付进度达到要求，资金使用规范、支付手续完备、符合预算和国库有关规定，资金使用符合《中华人民共和国预算法》等相关法律法规及财务管理制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根据上述情况，资金落实情况评分6分。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管理制度健全。我部有完善的项目立项与前期审批、项目审查、招标与合同管理、竣工与保修管理、项目廉政建设管理等一系列内部控制制度。这些制度根据相关法律法规制定，合法、合规、完整。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制度执行有效。项目过程中，严格遵守相关法律法规和业务管理规定，各类手续完备，项目实施的人员条件、场地设备等落实到位。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项目质量可控。已制定相应的项目质量要求，采取了相应的项目质量检查、验收等必需的控制措施。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根据上述情况，业务管理评分9 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管理制度健全。我部有完善的项目资金与财务管理内控制度，该制度根据相关法律法规制定，合法、合规、完整。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财务监控有效。根据我部财务管理规定，每笔支出都经过单位主要领导审批，部务会研究集体决定并进行评审工作。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实际完成率100%，完成及时率100%，质量达标率100%。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根据上述情况，项目产出评分50分。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受益对象满意度：通过调查，受益对象普遍对整体宣传鹿泉的满意程度。满意和比较满意数量达到了总受调查人数的90%。根据上述情况，项目效果评分15分。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根据项目执行情况和项目绩效情况，项目综合评价得分为85分，等级为优秀。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无问题。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1767"/>
        <w:gridCol w:w="1767"/>
        <w:gridCol w:w="1767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职称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both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张萌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ind w:left="0" w:leftChars="0" w:right="0" w:rightChars="0" w:firstLine="640" w:firstLineChars="200"/>
              <w:jc w:val="both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both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Chars="200" w:right="0" w:rightChars="0"/>
        <w:jc w:val="both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41155"/>
    <w:multiLevelType w:val="singleLevel"/>
    <w:tmpl w:val="5E141155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474404"/>
    <w:rsid w:val="06147230"/>
    <w:rsid w:val="0CEC689E"/>
    <w:rsid w:val="20A54B6C"/>
    <w:rsid w:val="2A2941B7"/>
    <w:rsid w:val="33491AE1"/>
    <w:rsid w:val="37F144D6"/>
    <w:rsid w:val="3AA300CF"/>
    <w:rsid w:val="4C342E97"/>
    <w:rsid w:val="50C16B3E"/>
    <w:rsid w:val="547A5E28"/>
    <w:rsid w:val="604A59C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2024-01-17T02:10:42Z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