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Lines="100"/>
        <w:ind w:firstLine="883" w:firstLineChars="200"/>
        <w:jc w:val="center"/>
        <w:rPr>
          <w:rFonts w:cs="Times New Roman" w:asciiTheme="majorEastAsia" w:hAnsiTheme="majorEastAsia" w:eastAsiaTheme="majorEastAsia"/>
          <w:b/>
          <w:sz w:val="44"/>
          <w:szCs w:val="44"/>
        </w:rPr>
      </w:pPr>
      <w:r>
        <w:rPr>
          <w:rFonts w:hint="eastAsia" w:cs="Times New Roman" w:asciiTheme="majorEastAsia" w:hAnsiTheme="majorEastAsia" w:eastAsiaTheme="majorEastAsia"/>
          <w:b/>
          <w:sz w:val="44"/>
          <w:szCs w:val="44"/>
        </w:rPr>
        <w:t>石家庄市鹿泉区档案馆</w:t>
      </w:r>
      <w:r>
        <w:rPr>
          <w:rFonts w:cs="Times New Roman" w:asciiTheme="majorEastAsia" w:hAnsiTheme="majorEastAsia" w:eastAsiaTheme="majorEastAsia"/>
          <w:b/>
          <w:sz w:val="44"/>
          <w:szCs w:val="44"/>
        </w:rPr>
        <w:t>201</w:t>
      </w:r>
      <w:r>
        <w:rPr>
          <w:rFonts w:hint="eastAsia" w:cs="Times New Roman" w:asciiTheme="majorEastAsia" w:hAnsiTheme="majorEastAsia" w:eastAsiaTheme="majorEastAsia"/>
          <w:b/>
          <w:sz w:val="44"/>
          <w:szCs w:val="44"/>
        </w:rPr>
        <w:t>9</w:t>
      </w:r>
      <w:r>
        <w:rPr>
          <w:rFonts w:cs="Times New Roman" w:asciiTheme="majorEastAsia" w:hAnsiTheme="majorEastAsia" w:eastAsiaTheme="majorEastAsia"/>
          <w:b/>
          <w:sz w:val="44"/>
          <w:szCs w:val="44"/>
        </w:rPr>
        <w:t>年部门预算信息公开</w:t>
      </w:r>
      <w:r>
        <w:rPr>
          <w:rFonts w:hint="eastAsia" w:cs="Times New Roman" w:asciiTheme="majorEastAsia" w:hAnsiTheme="majorEastAsia" w:eastAsiaTheme="majorEastAsia"/>
          <w:b/>
          <w:sz w:val="44"/>
          <w:szCs w:val="44"/>
        </w:rPr>
        <w:t>情况说明</w:t>
      </w:r>
    </w:p>
    <w:p>
      <w:pPr>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w:t>
      </w:r>
      <w:r>
        <w:rPr>
          <w:rFonts w:hint="eastAsia" w:ascii="仿宋" w:hAnsi="仿宋" w:eastAsia="仿宋" w:cs="仿宋"/>
          <w:sz w:val="32"/>
          <w:szCs w:val="32"/>
        </w:rPr>
        <w:t>预算法》和《地方预决算公开操作规程》</w:t>
      </w:r>
      <w:r>
        <w:rPr>
          <w:rFonts w:hint="eastAsia" w:ascii="仿宋" w:hAnsi="仿宋" w:eastAsia="仿宋" w:cs="仿宋"/>
          <w:sz w:val="32"/>
          <w:szCs w:val="32"/>
          <w:lang w:eastAsia="zh-CN"/>
        </w:rPr>
        <w:t>和《河北省省级预算公开办法》</w:t>
      </w:r>
      <w:r>
        <w:rPr>
          <w:rFonts w:hint="eastAsia" w:ascii="仿宋" w:hAnsi="仿宋" w:eastAsia="仿宋" w:cs="仿宋"/>
          <w:sz w:val="32"/>
          <w:szCs w:val="32"/>
        </w:rPr>
        <w:t>规定，现将石家庄市鹿泉区档案馆2019年部门预算公开如下：</w:t>
      </w:r>
    </w:p>
    <w:p>
      <w:pPr>
        <w:ind w:firstLine="640"/>
        <w:rPr>
          <w:rFonts w:ascii="仿宋" w:hAnsi="仿宋" w:eastAsia="仿宋" w:cs="Times New Roman"/>
          <w:sz w:val="32"/>
          <w:szCs w:val="32"/>
        </w:rPr>
      </w:pPr>
      <w:r>
        <w:rPr>
          <w:rFonts w:hint="eastAsia" w:ascii="仿宋" w:hAnsi="仿宋" w:eastAsia="仿宋" w:cs="Times New Roman"/>
          <w:sz w:val="32"/>
          <w:szCs w:val="32"/>
        </w:rPr>
        <w:t>一、部门职责及机构设置情况</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spacing w:line="600" w:lineRule="exact"/>
        <w:ind w:firstLine="640" w:firstLineChars="200"/>
        <w:rPr>
          <w:rFonts w:ascii="仿宋" w:hAnsi="仿宋" w:eastAsia="仿宋" w:cs="宋体"/>
          <w:kern w:val="0"/>
          <w:sz w:val="32"/>
          <w:szCs w:val="32"/>
        </w:rPr>
      </w:pPr>
      <w:r>
        <w:rPr>
          <w:rFonts w:hint="eastAsia" w:ascii="仿宋" w:hAnsi="仿宋" w:eastAsia="仿宋"/>
          <w:sz w:val="32"/>
          <w:szCs w:val="32"/>
        </w:rPr>
        <w:t>（1）贯彻落实有关法律、法规和国家有关方针政策，组织、指导、协调市直部门及下属单位、乡镇及农村、重点项目、重点企业的档案业务工作。</w:t>
      </w:r>
    </w:p>
    <w:p>
      <w:pPr>
        <w:spacing w:line="600" w:lineRule="exact"/>
        <w:ind w:firstLine="640" w:firstLineChars="200"/>
        <w:rPr>
          <w:rFonts w:ascii="仿宋" w:hAnsi="仿宋" w:eastAsia="仿宋"/>
          <w:sz w:val="32"/>
          <w:szCs w:val="32"/>
        </w:rPr>
      </w:pPr>
      <w:r>
        <w:rPr>
          <w:rFonts w:hint="eastAsia" w:ascii="仿宋" w:hAnsi="仿宋" w:eastAsia="仿宋"/>
          <w:sz w:val="32"/>
          <w:szCs w:val="32"/>
        </w:rPr>
        <w:t>（2）集中统一管理市直机关、乡镇的重要档案资料；保管具有地方特色的各种档案资料；开展档案接收、征集、整理、保管、鉴定等各项工作，维护档案完整，确保档案安全；做好档案的开发利用工作，为社会需要提供服务。</w:t>
      </w:r>
      <w:bookmarkStart w:id="1" w:name="_GoBack"/>
      <w:bookmarkEnd w:id="1"/>
    </w:p>
    <w:p>
      <w:pPr>
        <w:spacing w:line="600" w:lineRule="exact"/>
        <w:ind w:firstLine="640" w:firstLineChars="200"/>
        <w:rPr>
          <w:rFonts w:ascii="仿宋" w:hAnsi="仿宋" w:eastAsia="仿宋"/>
          <w:sz w:val="32"/>
          <w:szCs w:val="32"/>
        </w:rPr>
      </w:pPr>
      <w:r>
        <w:rPr>
          <w:rFonts w:hint="eastAsia" w:ascii="仿宋" w:hAnsi="仿宋" w:eastAsia="仿宋"/>
          <w:sz w:val="32"/>
          <w:szCs w:val="32"/>
        </w:rPr>
        <w:t>（3）制</w:t>
      </w:r>
      <w:r>
        <w:rPr>
          <w:rFonts w:hint="eastAsia" w:ascii="仿宋" w:hAnsi="仿宋" w:eastAsia="仿宋"/>
          <w:sz w:val="32"/>
          <w:szCs w:val="32"/>
          <w:lang w:eastAsia="zh-CN"/>
        </w:rPr>
        <w:t>订</w:t>
      </w:r>
      <w:r>
        <w:rPr>
          <w:rFonts w:hint="eastAsia" w:ascii="仿宋" w:hAnsi="仿宋" w:eastAsia="仿宋"/>
          <w:sz w:val="32"/>
          <w:szCs w:val="32"/>
        </w:rPr>
        <w:t>全区档案事业发展的年度计划和长远规划，并负责组织实施。</w:t>
      </w:r>
    </w:p>
    <w:p>
      <w:pPr>
        <w:spacing w:line="600" w:lineRule="exact"/>
        <w:ind w:firstLine="640" w:firstLineChars="200"/>
        <w:rPr>
          <w:rFonts w:ascii="仿宋" w:hAnsi="仿宋" w:eastAsia="仿宋"/>
          <w:sz w:val="32"/>
          <w:szCs w:val="32"/>
        </w:rPr>
      </w:pPr>
      <w:r>
        <w:rPr>
          <w:rFonts w:hint="eastAsia" w:ascii="仿宋" w:hAnsi="仿宋" w:eastAsia="仿宋"/>
          <w:sz w:val="32"/>
          <w:szCs w:val="32"/>
        </w:rPr>
        <w:t>（4）负责全区档案馆干部队伍建设。</w:t>
      </w:r>
    </w:p>
    <w:p>
      <w:pPr>
        <w:spacing w:line="600" w:lineRule="exact"/>
        <w:ind w:firstLine="640" w:firstLineChars="200"/>
        <w:rPr>
          <w:rFonts w:ascii="仿宋" w:hAnsi="仿宋" w:eastAsia="仿宋"/>
          <w:sz w:val="32"/>
          <w:szCs w:val="32"/>
        </w:rPr>
      </w:pPr>
      <w:r>
        <w:rPr>
          <w:rFonts w:hint="eastAsia" w:ascii="仿宋" w:hAnsi="仿宋" w:eastAsia="仿宋"/>
          <w:sz w:val="32"/>
          <w:szCs w:val="32"/>
        </w:rPr>
        <w:t>（5）负责全区档案法制建设和宣传工作。</w:t>
      </w:r>
    </w:p>
    <w:p>
      <w:pPr>
        <w:ind w:firstLine="640" w:firstLineChars="200"/>
        <w:rPr>
          <w:rFonts w:ascii="仿宋" w:hAnsi="仿宋" w:eastAsia="仿宋" w:cs="Times New Roman"/>
          <w:sz w:val="32"/>
          <w:szCs w:val="32"/>
        </w:rPr>
      </w:pPr>
      <w:r>
        <w:rPr>
          <w:rFonts w:hint="eastAsia" w:ascii="仿宋" w:hAnsi="仿宋" w:eastAsia="仿宋"/>
          <w:sz w:val="32"/>
          <w:szCs w:val="32"/>
        </w:rPr>
        <w:t>（6）承办区委、区政府交办的其它事项。</w:t>
      </w:r>
    </w:p>
    <w:p>
      <w:pPr>
        <w:autoSpaceDE w:val="0"/>
        <w:autoSpaceDN w:val="0"/>
        <w:adjustRightInd w:val="0"/>
        <w:ind w:left="198" w:firstLine="643" w:firstLineChars="200"/>
        <w:jc w:val="left"/>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仿宋" w:hAnsi="仿宋" w:eastAsia="仿宋" w:cs="Times New Roman"/>
          <w:sz w:val="32"/>
          <w:szCs w:val="24"/>
        </w:rPr>
      </w:pPr>
      <w:r>
        <w:rPr>
          <w:rFonts w:ascii="仿宋" w:hAnsi="仿宋" w:eastAsia="仿宋" w:cs="Times New Roman"/>
          <w:sz w:val="32"/>
          <w:szCs w:val="24"/>
        </w:rPr>
        <w:t>部门</w:t>
      </w:r>
      <w:r>
        <w:rPr>
          <w:rFonts w:hint="eastAsia" w:ascii="仿宋" w:hAnsi="仿宋" w:eastAsia="仿宋" w:cs="Times New Roman"/>
          <w:sz w:val="32"/>
          <w:szCs w:val="24"/>
        </w:rPr>
        <w:t>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68"/>
        <w:gridCol w:w="1418"/>
        <w:gridCol w:w="1417"/>
        <w:gridCol w:w="28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3" w:hRule="atLeast"/>
          <w:tblHeader/>
          <w:jc w:val="center"/>
        </w:trPr>
        <w:tc>
          <w:tcPr>
            <w:tcW w:w="4568" w:type="dxa"/>
            <w:vAlign w:val="center"/>
          </w:tcPr>
          <w:p>
            <w:pPr>
              <w:jc w:val="center"/>
              <w:rPr>
                <w:rFonts w:ascii="仿宋" w:hAnsi="仿宋" w:eastAsia="仿宋"/>
                <w:b/>
                <w:sz w:val="28"/>
                <w:szCs w:val="28"/>
              </w:rPr>
            </w:pPr>
            <w:r>
              <w:rPr>
                <w:rFonts w:hint="eastAsia" w:ascii="仿宋" w:hAnsi="仿宋" w:eastAsia="仿宋"/>
                <w:b/>
                <w:sz w:val="28"/>
                <w:szCs w:val="28"/>
              </w:rPr>
              <w:t>单位名称</w:t>
            </w:r>
          </w:p>
        </w:tc>
        <w:tc>
          <w:tcPr>
            <w:tcW w:w="1418" w:type="dxa"/>
            <w:vAlign w:val="center"/>
          </w:tcPr>
          <w:p>
            <w:pPr>
              <w:jc w:val="center"/>
              <w:rPr>
                <w:rFonts w:ascii="仿宋" w:hAnsi="仿宋" w:eastAsia="仿宋"/>
                <w:b/>
                <w:sz w:val="28"/>
                <w:szCs w:val="28"/>
              </w:rPr>
            </w:pPr>
            <w:r>
              <w:rPr>
                <w:rFonts w:hint="eastAsia" w:ascii="仿宋" w:hAnsi="仿宋" w:eastAsia="仿宋"/>
                <w:b/>
                <w:sz w:val="28"/>
                <w:szCs w:val="28"/>
              </w:rPr>
              <w:t>单位性质</w:t>
            </w:r>
          </w:p>
        </w:tc>
        <w:tc>
          <w:tcPr>
            <w:tcW w:w="1417" w:type="dxa"/>
            <w:vAlign w:val="center"/>
          </w:tcPr>
          <w:p>
            <w:pPr>
              <w:jc w:val="center"/>
              <w:rPr>
                <w:rFonts w:ascii="仿宋" w:hAnsi="仿宋" w:eastAsia="仿宋"/>
                <w:b/>
                <w:sz w:val="28"/>
                <w:szCs w:val="28"/>
              </w:rPr>
            </w:pPr>
            <w:r>
              <w:rPr>
                <w:rFonts w:hint="eastAsia" w:ascii="仿宋" w:hAnsi="仿宋" w:eastAsia="仿宋"/>
                <w:b/>
                <w:sz w:val="28"/>
                <w:szCs w:val="28"/>
              </w:rPr>
              <w:t>单位规格</w:t>
            </w:r>
          </w:p>
        </w:tc>
        <w:tc>
          <w:tcPr>
            <w:tcW w:w="2840" w:type="dxa"/>
            <w:vAlign w:val="center"/>
          </w:tcPr>
          <w:p>
            <w:pPr>
              <w:jc w:val="center"/>
              <w:rPr>
                <w:rFonts w:ascii="仿宋" w:hAnsi="仿宋" w:eastAsia="仿宋"/>
                <w:b/>
                <w:sz w:val="28"/>
                <w:szCs w:val="28"/>
              </w:rPr>
            </w:pPr>
            <w:r>
              <w:rPr>
                <w:rFonts w:hint="eastAsia" w:ascii="仿宋" w:hAnsi="仿宋" w:eastAsia="仿宋"/>
                <w:b/>
                <w:sz w:val="28"/>
                <w:szCs w:val="28"/>
              </w:rPr>
              <w:t>财政供给政策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1" w:hRule="atLeast"/>
          <w:jc w:val="center"/>
        </w:trPr>
        <w:tc>
          <w:tcPr>
            <w:tcW w:w="4568" w:type="dxa"/>
            <w:vAlign w:val="center"/>
          </w:tcPr>
          <w:p>
            <w:pPr>
              <w:rPr>
                <w:rFonts w:ascii="仿宋" w:hAnsi="仿宋" w:eastAsia="仿宋"/>
                <w:sz w:val="28"/>
                <w:szCs w:val="28"/>
              </w:rPr>
            </w:pPr>
            <w:r>
              <w:rPr>
                <w:rFonts w:hint="eastAsia" w:ascii="仿宋" w:hAnsi="仿宋" w:eastAsia="仿宋"/>
                <w:sz w:val="28"/>
                <w:szCs w:val="28"/>
              </w:rPr>
              <w:t>石家庄市鹿泉区档案馆</w:t>
            </w:r>
          </w:p>
        </w:tc>
        <w:tc>
          <w:tcPr>
            <w:tcW w:w="1418" w:type="dxa"/>
            <w:vAlign w:val="center"/>
          </w:tcPr>
          <w:p>
            <w:pPr>
              <w:jc w:val="center"/>
              <w:rPr>
                <w:rFonts w:ascii="仿宋" w:hAnsi="仿宋" w:eastAsia="仿宋"/>
                <w:sz w:val="28"/>
                <w:szCs w:val="28"/>
              </w:rPr>
            </w:pPr>
            <w:r>
              <w:rPr>
                <w:rFonts w:hint="eastAsia" w:ascii="仿宋" w:hAnsi="仿宋" w:eastAsia="仿宋"/>
                <w:sz w:val="28"/>
                <w:szCs w:val="28"/>
              </w:rPr>
              <w:t>全额事业</w:t>
            </w:r>
          </w:p>
        </w:tc>
        <w:tc>
          <w:tcPr>
            <w:tcW w:w="1417" w:type="dxa"/>
            <w:vAlign w:val="center"/>
          </w:tcPr>
          <w:p>
            <w:pPr>
              <w:jc w:val="center"/>
              <w:rPr>
                <w:rFonts w:ascii="仿宋" w:hAnsi="仿宋" w:eastAsia="仿宋"/>
                <w:sz w:val="28"/>
                <w:szCs w:val="28"/>
              </w:rPr>
            </w:pPr>
            <w:r>
              <w:rPr>
                <w:rFonts w:hint="eastAsia" w:ascii="仿宋" w:hAnsi="仿宋" w:eastAsia="仿宋"/>
                <w:sz w:val="28"/>
                <w:szCs w:val="28"/>
              </w:rPr>
              <w:t>正科级</w:t>
            </w:r>
          </w:p>
        </w:tc>
        <w:tc>
          <w:tcPr>
            <w:tcW w:w="2840" w:type="dxa"/>
            <w:vAlign w:val="center"/>
          </w:tcPr>
          <w:p>
            <w:pPr>
              <w:jc w:val="center"/>
              <w:rPr>
                <w:rFonts w:ascii="仿宋" w:hAnsi="仿宋" w:eastAsia="仿宋"/>
                <w:sz w:val="28"/>
                <w:szCs w:val="28"/>
              </w:rPr>
            </w:pPr>
            <w:r>
              <w:rPr>
                <w:rFonts w:hint="eastAsia" w:ascii="仿宋" w:hAnsi="仿宋" w:eastAsia="仿宋"/>
                <w:sz w:val="28"/>
                <w:szCs w:val="28"/>
              </w:rPr>
              <w:t>财政性资金基本保障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9" w:hRule="atLeast"/>
          <w:jc w:val="center"/>
        </w:trPr>
        <w:tc>
          <w:tcPr>
            <w:tcW w:w="4568" w:type="dxa"/>
            <w:vAlign w:val="center"/>
          </w:tcPr>
          <w:p>
            <w:pPr>
              <w:rPr>
                <w:rFonts w:ascii="仿宋" w:hAnsi="仿宋" w:eastAsia="仿宋"/>
                <w:sz w:val="28"/>
                <w:szCs w:val="28"/>
              </w:rPr>
            </w:pPr>
            <w:r>
              <w:rPr>
                <w:rFonts w:hint="eastAsia" w:ascii="仿宋" w:hAnsi="仿宋" w:eastAsia="仿宋"/>
                <w:sz w:val="28"/>
                <w:szCs w:val="28"/>
              </w:rPr>
              <w:t>石家庄市鹿泉区档案管理服务中心</w:t>
            </w:r>
          </w:p>
        </w:tc>
        <w:tc>
          <w:tcPr>
            <w:tcW w:w="1418" w:type="dxa"/>
            <w:vAlign w:val="center"/>
          </w:tcPr>
          <w:p>
            <w:pPr>
              <w:jc w:val="center"/>
              <w:rPr>
                <w:rFonts w:ascii="仿宋" w:hAnsi="仿宋" w:eastAsia="仿宋"/>
                <w:sz w:val="28"/>
                <w:szCs w:val="28"/>
              </w:rPr>
            </w:pPr>
            <w:r>
              <w:rPr>
                <w:rFonts w:hint="eastAsia" w:ascii="仿宋" w:hAnsi="仿宋" w:eastAsia="仿宋"/>
                <w:sz w:val="28"/>
                <w:szCs w:val="28"/>
              </w:rPr>
              <w:t>全额事业</w:t>
            </w:r>
          </w:p>
        </w:tc>
        <w:tc>
          <w:tcPr>
            <w:tcW w:w="1417" w:type="dxa"/>
            <w:vAlign w:val="center"/>
          </w:tcPr>
          <w:p>
            <w:pPr>
              <w:jc w:val="center"/>
              <w:rPr>
                <w:rFonts w:ascii="仿宋" w:hAnsi="仿宋" w:eastAsia="仿宋"/>
                <w:sz w:val="28"/>
                <w:szCs w:val="28"/>
              </w:rPr>
            </w:pPr>
            <w:r>
              <w:rPr>
                <w:rFonts w:hint="eastAsia" w:ascii="仿宋" w:hAnsi="仿宋" w:eastAsia="仿宋"/>
                <w:sz w:val="28"/>
                <w:szCs w:val="28"/>
              </w:rPr>
              <w:t>正股级</w:t>
            </w:r>
          </w:p>
        </w:tc>
        <w:tc>
          <w:tcPr>
            <w:tcW w:w="2840" w:type="dxa"/>
            <w:vAlign w:val="center"/>
          </w:tcPr>
          <w:p>
            <w:pPr>
              <w:jc w:val="center"/>
              <w:rPr>
                <w:rFonts w:ascii="仿宋" w:hAnsi="仿宋" w:eastAsia="仿宋"/>
                <w:sz w:val="28"/>
                <w:szCs w:val="28"/>
              </w:rPr>
            </w:pPr>
            <w:r>
              <w:rPr>
                <w:rFonts w:hint="eastAsia" w:ascii="仿宋" w:hAnsi="仿宋" w:eastAsia="仿宋"/>
                <w:sz w:val="28"/>
                <w:szCs w:val="28"/>
              </w:rPr>
              <w:t>财政性资金基本保障</w:t>
            </w:r>
          </w:p>
        </w:tc>
      </w:tr>
    </w:tbl>
    <w:p>
      <w:pPr>
        <w:jc w:val="center"/>
        <w:outlineLvl w:val="0"/>
        <w:rPr>
          <w:rFonts w:ascii="Times New Roman" w:hAnsi="Times New Roman" w:eastAsia="方正小标宋_GBK" w:cs="Times New Roman"/>
          <w:sz w:val="32"/>
          <w:szCs w:val="24"/>
        </w:rPr>
      </w:pPr>
    </w:p>
    <w:p>
      <w:pPr>
        <w:ind w:firstLine="640"/>
        <w:rPr>
          <w:rFonts w:ascii="仿宋" w:hAnsi="仿宋" w:eastAsia="仿宋" w:cs="Times New Roman"/>
          <w:sz w:val="32"/>
          <w:szCs w:val="32"/>
        </w:rPr>
      </w:pPr>
      <w:r>
        <w:rPr>
          <w:rFonts w:hint="eastAsia" w:ascii="仿宋" w:hAnsi="仿宋" w:eastAsia="仿宋" w:cs="Times New Roman"/>
          <w:sz w:val="32"/>
          <w:szCs w:val="32"/>
        </w:rPr>
        <w:t>二、部门预算安排的总体情况</w:t>
      </w:r>
    </w:p>
    <w:p>
      <w:pPr>
        <w:ind w:firstLine="640" w:firstLineChars="200"/>
        <w:rPr>
          <w:rFonts w:ascii="仿宋" w:hAnsi="仿宋" w:eastAsia="仿宋" w:cs="仿宋"/>
          <w:sz w:val="32"/>
          <w:szCs w:val="32"/>
        </w:rPr>
      </w:pPr>
      <w:r>
        <w:rPr>
          <w:rFonts w:hint="eastAsia" w:ascii="仿宋" w:hAnsi="仿宋" w:eastAsia="仿宋" w:cs="仿宋"/>
          <w:sz w:val="32"/>
          <w:szCs w:val="32"/>
        </w:rPr>
        <w:t>按照预算管理有关规定，目前我馆部门预算的编制实行综合预算管理，即全部收入和支出都反映在预算中。石家庄市鹿泉区档案馆及所属事业单位的收支包含在部门预算中。</w:t>
      </w:r>
    </w:p>
    <w:p>
      <w:pPr>
        <w:ind w:firstLine="640" w:firstLineChars="200"/>
        <w:rPr>
          <w:rFonts w:ascii="仿宋" w:hAnsi="仿宋" w:eastAsia="仿宋" w:cs="仿宋"/>
          <w:sz w:val="32"/>
          <w:szCs w:val="32"/>
        </w:rPr>
      </w:pPr>
      <w:r>
        <w:rPr>
          <w:rFonts w:hint="eastAsia" w:ascii="仿宋" w:hAnsi="仿宋" w:eastAsia="仿宋" w:cs="仿宋"/>
          <w:sz w:val="32"/>
          <w:szCs w:val="32"/>
        </w:rPr>
        <w:t>1、收入说明</w:t>
      </w:r>
    </w:p>
    <w:p>
      <w:pPr>
        <w:ind w:firstLine="640" w:firstLineChars="200"/>
        <w:rPr>
          <w:rFonts w:ascii="仿宋" w:hAnsi="仿宋" w:eastAsia="仿宋" w:cs="仿宋"/>
          <w:sz w:val="32"/>
          <w:szCs w:val="32"/>
        </w:rPr>
      </w:pPr>
      <w:r>
        <w:rPr>
          <w:rFonts w:hint="eastAsia" w:ascii="仿宋" w:hAnsi="仿宋" w:eastAsia="仿宋" w:cs="仿宋"/>
          <w:sz w:val="32"/>
          <w:szCs w:val="32"/>
        </w:rPr>
        <w:t>反映本部门当年全部收入。2019年预算收入368.92万元，其中：一般公共预算收入368.92万元，基金预算收入0万元，财政专户核拨收入0万元，其他来源收入0万元。</w:t>
      </w:r>
    </w:p>
    <w:p>
      <w:pPr>
        <w:ind w:firstLine="640" w:firstLineChars="200"/>
        <w:rPr>
          <w:rFonts w:ascii="仿宋" w:hAnsi="仿宋" w:eastAsia="仿宋" w:cs="仿宋"/>
          <w:sz w:val="32"/>
          <w:szCs w:val="32"/>
        </w:rPr>
      </w:pPr>
      <w:r>
        <w:rPr>
          <w:rFonts w:hint="eastAsia" w:ascii="仿宋" w:hAnsi="仿宋" w:eastAsia="仿宋" w:cs="仿宋"/>
          <w:sz w:val="32"/>
          <w:szCs w:val="32"/>
        </w:rPr>
        <w:t>2、支出说明</w:t>
      </w:r>
    </w:p>
    <w:p>
      <w:pPr>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石家庄市鹿泉区档案馆年度部门预算中支出预算的总体情况。2019年支出预算368.92万元，其中基本支出322.92万元，包括人员经费276.68万元和日常公用经费46.24万元；项目支出46万元，全部为本级支出，主要为档案馆日常维护费用、档案馆升级改造和农村土地确权档案的接收。</w:t>
      </w:r>
    </w:p>
    <w:p>
      <w:pPr>
        <w:ind w:firstLine="640" w:firstLineChars="200"/>
        <w:rPr>
          <w:rFonts w:ascii="仿宋" w:hAnsi="仿宋" w:eastAsia="仿宋" w:cs="仿宋"/>
          <w:sz w:val="32"/>
          <w:szCs w:val="32"/>
        </w:rPr>
      </w:pPr>
      <w:r>
        <w:rPr>
          <w:rFonts w:hint="eastAsia" w:ascii="仿宋" w:hAnsi="仿宋" w:eastAsia="仿宋" w:cs="仿宋"/>
          <w:sz w:val="32"/>
          <w:szCs w:val="32"/>
        </w:rPr>
        <w:t>3、比上年增减情况</w:t>
      </w:r>
    </w:p>
    <w:p>
      <w:pPr>
        <w:ind w:firstLine="640" w:firstLineChars="200"/>
        <w:rPr>
          <w:rFonts w:ascii="仿宋" w:hAnsi="仿宋" w:eastAsia="仿宋" w:cs="仿宋"/>
          <w:sz w:val="32"/>
          <w:szCs w:val="32"/>
        </w:rPr>
      </w:pPr>
      <w:r>
        <w:rPr>
          <w:rFonts w:hint="eastAsia" w:ascii="仿宋" w:hAnsi="仿宋" w:eastAsia="仿宋" w:cs="仿宋"/>
          <w:sz w:val="32"/>
          <w:szCs w:val="32"/>
        </w:rPr>
        <w:t>2019年预算收支安排368.92万元，较2018年预算增加67.04万元，其中：基本支出增加40.04万元，主要为增加人员经费支出和劳务派遣费用支出；项目支出增加27万元，主要为增加档案馆升级改造资金和农村土地确权档案接收资金支出。</w:t>
      </w:r>
    </w:p>
    <w:p>
      <w:pPr>
        <w:autoSpaceDE w:val="0"/>
        <w:autoSpaceDN w:val="0"/>
        <w:adjustRightInd w:val="0"/>
        <w:ind w:left="198" w:firstLine="640" w:firstLineChars="200"/>
        <w:jc w:val="left"/>
        <w:rPr>
          <w:rFonts w:ascii="仿宋" w:hAnsi="仿宋" w:eastAsia="仿宋" w:cs="Times New Roman"/>
          <w:sz w:val="32"/>
          <w:szCs w:val="32"/>
        </w:rPr>
      </w:pPr>
      <w:r>
        <w:rPr>
          <w:rFonts w:hint="eastAsia" w:ascii="仿宋" w:hAnsi="仿宋" w:eastAsia="仿宋" w:cs="Times New Roman"/>
          <w:sz w:val="32"/>
          <w:szCs w:val="32"/>
        </w:rPr>
        <w:t>三、机关运行经费安排情况</w:t>
      </w:r>
    </w:p>
    <w:p>
      <w:pPr>
        <w:ind w:firstLine="640" w:firstLineChars="200"/>
        <w:rPr>
          <w:rFonts w:ascii="仿宋" w:hAnsi="仿宋" w:eastAsia="仿宋" w:cs="仿宋"/>
          <w:sz w:val="32"/>
          <w:szCs w:val="32"/>
        </w:rPr>
      </w:pPr>
      <w:r>
        <w:rPr>
          <w:rFonts w:hint="eastAsia" w:ascii="仿宋" w:hAnsi="仿宋" w:eastAsia="仿宋" w:cs="仿宋"/>
          <w:sz w:val="32"/>
          <w:szCs w:val="32"/>
        </w:rPr>
        <w:t>2019年，我馆机关运行经费共计安排46.24万元，主要用于我单位的日常维修、办公用品及耗材、劳务派遣人员工资等日常运行支出。</w:t>
      </w:r>
    </w:p>
    <w:p>
      <w:pPr>
        <w:autoSpaceDE w:val="0"/>
        <w:autoSpaceDN w:val="0"/>
        <w:adjustRightInd w:val="0"/>
        <w:ind w:left="198" w:firstLine="640" w:firstLineChars="200"/>
        <w:jc w:val="left"/>
        <w:rPr>
          <w:rFonts w:ascii="仿宋" w:hAnsi="仿宋" w:eastAsia="仿宋" w:cs="Times New Roman"/>
          <w:sz w:val="32"/>
          <w:szCs w:val="32"/>
        </w:rPr>
      </w:pPr>
      <w:r>
        <w:rPr>
          <w:rFonts w:hint="eastAsia" w:ascii="仿宋" w:hAnsi="仿宋" w:eastAsia="仿宋" w:cs="Times New Roman"/>
          <w:sz w:val="32"/>
          <w:szCs w:val="32"/>
        </w:rPr>
        <w:t>四、财政拨款</w:t>
      </w:r>
      <w:r>
        <w:rPr>
          <w:rFonts w:ascii="仿宋" w:hAnsi="仿宋" w:eastAsia="仿宋" w:cs="Times New Roman"/>
          <w:sz w:val="32"/>
          <w:szCs w:val="32"/>
        </w:rPr>
        <w:t>“</w:t>
      </w:r>
      <w:r>
        <w:rPr>
          <w:rFonts w:hint="eastAsia" w:ascii="仿宋" w:hAnsi="仿宋" w:eastAsia="仿宋" w:cs="Times New Roman"/>
          <w:sz w:val="32"/>
          <w:szCs w:val="32"/>
        </w:rPr>
        <w:t>三公</w:t>
      </w:r>
      <w:r>
        <w:rPr>
          <w:rFonts w:ascii="仿宋" w:hAnsi="仿宋" w:eastAsia="仿宋" w:cs="Times New Roman"/>
          <w:sz w:val="32"/>
          <w:szCs w:val="32"/>
        </w:rPr>
        <w:t>”</w:t>
      </w:r>
      <w:r>
        <w:rPr>
          <w:rFonts w:hint="eastAsia" w:ascii="仿宋" w:hAnsi="仿宋" w:eastAsia="仿宋" w:cs="Times New Roman"/>
          <w:sz w:val="32"/>
          <w:szCs w:val="32"/>
        </w:rPr>
        <w:t>经费预算情况及增减变化原因</w:t>
      </w:r>
    </w:p>
    <w:p>
      <w:pPr>
        <w:ind w:firstLine="640" w:firstLineChars="200"/>
        <w:rPr>
          <w:rFonts w:ascii="仿宋" w:hAnsi="仿宋" w:eastAsia="仿宋" w:cs="仿宋"/>
          <w:sz w:val="32"/>
          <w:szCs w:val="32"/>
        </w:rPr>
      </w:pPr>
      <w:r>
        <w:rPr>
          <w:rFonts w:hint="eastAsia" w:ascii="仿宋" w:hAnsi="仿宋" w:eastAsia="仿宋" w:cs="仿宋"/>
          <w:sz w:val="32"/>
          <w:szCs w:val="32"/>
        </w:rPr>
        <w:t>2019年，我馆财政拨款“三公”经费预算安排0.25万元，其中因公出国（境）费0万元；公务用车购置及运维费0万元（其中：公务用车购置费为0万元，公务用车运维费0万元)；公务接待费0.25万元。与2018年相比持平</w:t>
      </w:r>
      <w:r>
        <w:rPr>
          <w:rFonts w:hint="eastAsia" w:ascii="仿宋" w:hAnsi="仿宋" w:eastAsia="仿宋" w:cs="仿宋"/>
          <w:sz w:val="32"/>
          <w:szCs w:val="32"/>
          <w:lang w:eastAsia="zh-CN"/>
        </w:rPr>
        <w:t>，无增减变化</w:t>
      </w:r>
      <w:r>
        <w:rPr>
          <w:rFonts w:hint="eastAsia" w:ascii="仿宋" w:hAnsi="仿宋" w:eastAsia="仿宋" w:cs="仿宋"/>
          <w:sz w:val="32"/>
          <w:szCs w:val="32"/>
        </w:rPr>
        <w:t>。</w:t>
      </w:r>
    </w:p>
    <w:p>
      <w:pPr>
        <w:ind w:firstLine="640"/>
        <w:rPr>
          <w:rFonts w:ascii="仿宋" w:hAnsi="仿宋" w:eastAsia="仿宋" w:cs="Times New Roman"/>
          <w:sz w:val="32"/>
          <w:szCs w:val="32"/>
        </w:rPr>
      </w:pPr>
      <w:r>
        <w:rPr>
          <w:rFonts w:hint="eastAsia" w:ascii="仿宋" w:hAnsi="仿宋" w:eastAsia="仿宋" w:cs="Times New Roman"/>
          <w:sz w:val="32"/>
          <w:szCs w:val="32"/>
        </w:rPr>
        <w:t>五、绩效预算信息</w:t>
      </w:r>
    </w:p>
    <w:p>
      <w:pPr>
        <w:ind w:firstLine="643" w:firstLineChars="200"/>
        <w:jc w:val="left"/>
        <w:rPr>
          <w:rFonts w:ascii="仿宋" w:hAnsi="仿宋" w:eastAsia="仿宋" w:cs="Times New Roman"/>
          <w:b/>
          <w:sz w:val="32"/>
          <w:szCs w:val="32"/>
        </w:rPr>
      </w:pPr>
      <w:bookmarkStart w:id="0" w:name="_Toc471398463"/>
      <w:r>
        <w:rPr>
          <w:rFonts w:ascii="仿宋" w:hAnsi="仿宋" w:eastAsia="仿宋" w:cs="Times New Roman"/>
          <w:b/>
          <w:sz w:val="32"/>
          <w:szCs w:val="32"/>
        </w:rPr>
        <w:t>总体绩效目标：</w:t>
      </w:r>
    </w:p>
    <w:p>
      <w:pPr>
        <w:ind w:firstLine="640" w:firstLineChars="200"/>
        <w:rPr>
          <w:rFonts w:ascii="仿宋" w:hAnsi="仿宋" w:eastAsia="仿宋" w:cs="仿宋"/>
          <w:sz w:val="32"/>
          <w:szCs w:val="32"/>
        </w:rPr>
      </w:pPr>
      <w:r>
        <w:rPr>
          <w:rFonts w:hint="eastAsia" w:ascii="仿宋" w:hAnsi="仿宋" w:eastAsia="仿宋" w:cs="仿宋"/>
          <w:sz w:val="32"/>
          <w:szCs w:val="32"/>
        </w:rPr>
        <w:t>2019年在日常工作中更好的维护档案库房，进一步改造提升档案库房基础设施建设，确保档案不发生虫蛀鼠咬现象，及时修复破损档案，定期清理灰尘，保证档案的安全，顺利通过国家二级馆复查验收。根据上级文件有关规定，我单位今年继续对利用率较高的民生档案进行数字化加工，进一步加快我区存量档案和增量档案数字化步伐，逐步建成档案目录数据库、原文数据库，更好地在保护档案原件的基础上有效提升档案的查阅利用率。并计划接收全区</w:t>
      </w:r>
      <w:r>
        <w:rPr>
          <w:rFonts w:ascii="仿宋" w:hAnsi="仿宋" w:eastAsia="仿宋" w:cs="仿宋"/>
          <w:sz w:val="32"/>
          <w:szCs w:val="32"/>
        </w:rPr>
        <w:t>13</w:t>
      </w:r>
      <w:r>
        <w:rPr>
          <w:rFonts w:hint="eastAsia" w:ascii="仿宋" w:hAnsi="仿宋" w:eastAsia="仿宋" w:cs="仿宋"/>
          <w:sz w:val="32"/>
          <w:szCs w:val="32"/>
        </w:rPr>
        <w:t>个乡镇</w:t>
      </w:r>
      <w:r>
        <w:rPr>
          <w:rFonts w:ascii="仿宋" w:hAnsi="仿宋" w:eastAsia="仿宋" w:cs="仿宋"/>
          <w:sz w:val="32"/>
          <w:szCs w:val="32"/>
        </w:rPr>
        <w:t>208</w:t>
      </w:r>
      <w:r>
        <w:rPr>
          <w:rFonts w:hint="eastAsia" w:ascii="仿宋" w:hAnsi="仿宋" w:eastAsia="仿宋" w:cs="仿宋"/>
          <w:sz w:val="32"/>
          <w:szCs w:val="32"/>
        </w:rPr>
        <w:t>个村约</w:t>
      </w:r>
      <w:r>
        <w:rPr>
          <w:rFonts w:ascii="仿宋" w:hAnsi="仿宋" w:eastAsia="仿宋" w:cs="仿宋"/>
          <w:sz w:val="32"/>
          <w:szCs w:val="32"/>
        </w:rPr>
        <w:t>4.5</w:t>
      </w:r>
      <w:r>
        <w:rPr>
          <w:rFonts w:hint="eastAsia" w:ascii="仿宋" w:hAnsi="仿宋" w:eastAsia="仿宋" w:cs="仿宋"/>
          <w:sz w:val="32"/>
          <w:szCs w:val="32"/>
        </w:rPr>
        <w:t>万卷土地确权纸质档案及电子数据。</w:t>
      </w:r>
    </w:p>
    <w:p>
      <w:pPr>
        <w:ind w:firstLine="643" w:firstLineChars="200"/>
        <w:jc w:val="left"/>
        <w:rPr>
          <w:rFonts w:ascii="仿宋" w:hAnsi="仿宋" w:eastAsia="仿宋" w:cs="Times New Roman"/>
          <w:b/>
          <w:sz w:val="32"/>
          <w:szCs w:val="32"/>
        </w:rPr>
      </w:pPr>
      <w:r>
        <w:rPr>
          <w:rFonts w:hint="eastAsia" w:ascii="仿宋" w:hAnsi="仿宋" w:eastAsia="仿宋" w:cs="Times New Roman"/>
          <w:b/>
          <w:sz w:val="32"/>
          <w:szCs w:val="32"/>
        </w:rPr>
        <w:t>职责分类绩效目标：</w:t>
      </w:r>
    </w:p>
    <w:p>
      <w:pPr>
        <w:ind w:firstLine="561"/>
        <w:rPr>
          <w:rFonts w:ascii="仿宋" w:hAnsi="仿宋" w:eastAsia="仿宋" w:cs="仿宋"/>
          <w:sz w:val="32"/>
          <w:szCs w:val="32"/>
        </w:rPr>
      </w:pPr>
      <w:r>
        <w:rPr>
          <w:rFonts w:ascii="仿宋" w:hAnsi="仿宋" w:eastAsia="仿宋" w:cs="仿宋"/>
          <w:sz w:val="32"/>
          <w:szCs w:val="32"/>
        </w:rPr>
        <w:t>加强前馆和后库档案库房管理，进一步改造提升档案保管环境和保障条件，维护档案状况，确保机关和档案绝对安全。提高全区档案馆室建设水平，做好重点档案抢救和保护，加强全区档案信息化，各类数据库建设，数字化加工、转换、备份，信息安全等级保护工作及特殊载体保管。认真细致审档，确保移交档案全部符合入馆要求。</w:t>
      </w:r>
    </w:p>
    <w:p>
      <w:pPr>
        <w:ind w:firstLine="561"/>
        <w:rPr>
          <w:rFonts w:ascii="仿宋" w:hAnsi="仿宋" w:eastAsia="仿宋" w:cs="仿宋"/>
          <w:sz w:val="32"/>
          <w:szCs w:val="32"/>
        </w:rPr>
      </w:pPr>
      <w:r>
        <w:rPr>
          <w:rFonts w:ascii="仿宋" w:hAnsi="仿宋" w:eastAsia="仿宋" w:cs="仿宋"/>
          <w:sz w:val="32"/>
          <w:szCs w:val="32"/>
        </w:rPr>
        <w:t>定期调控和记录库房温湿度，定时清理灰尘，确保档案不发生虫蛀鼠咬现象，保证设备正常运转，改造提升现有档案馆基础设施建设，使库房建设符合国家标准，通过国家二级馆复查验收。安装安防设施，确保机关和档案绝对安全。应用各种技术手段，对档案资料进行管护和数字化转换，重现档案原貌，最大限度的延长档案寿命。对大批量需要接收入馆的档案，请专业人员进行搬运，确保纸质档案完整性。</w:t>
      </w:r>
    </w:p>
    <w:p>
      <w:pPr>
        <w:ind w:firstLine="640" w:firstLineChars="200"/>
        <w:rPr>
          <w:rFonts w:ascii="仿宋" w:hAnsi="仿宋" w:eastAsia="仿宋" w:cs="仿宋"/>
          <w:sz w:val="32"/>
          <w:szCs w:val="32"/>
        </w:rPr>
      </w:pPr>
    </w:p>
    <w:p>
      <w:pPr>
        <w:ind w:firstLine="640" w:firstLineChars="200"/>
        <w:rPr>
          <w:rFonts w:ascii="仿宋" w:hAnsi="仿宋" w:eastAsia="仿宋" w:cs="仿宋"/>
          <w:sz w:val="32"/>
          <w:szCs w:val="32"/>
        </w:rPr>
      </w:pPr>
    </w:p>
    <w:p>
      <w:pPr>
        <w:ind w:firstLine="640" w:firstLineChars="200"/>
        <w:rPr>
          <w:rFonts w:ascii="仿宋" w:hAnsi="仿宋" w:eastAsia="仿宋" w:cs="仿宋"/>
          <w:sz w:val="32"/>
          <w:szCs w:val="32"/>
        </w:rPr>
      </w:pPr>
    </w:p>
    <w:p>
      <w:pPr>
        <w:ind w:firstLine="640" w:firstLineChars="200"/>
        <w:rPr>
          <w:rFonts w:ascii="仿宋" w:hAnsi="仿宋" w:eastAsia="仿宋" w:cs="仿宋"/>
          <w:sz w:val="32"/>
          <w:szCs w:val="32"/>
        </w:rPr>
      </w:pPr>
    </w:p>
    <w:p>
      <w:pPr>
        <w:ind w:firstLine="640" w:firstLineChars="200"/>
        <w:rPr>
          <w:rFonts w:ascii="仿宋" w:hAnsi="仿宋" w:eastAsia="仿宋" w:cs="仿宋"/>
          <w:sz w:val="32"/>
          <w:szCs w:val="32"/>
        </w:rPr>
      </w:pPr>
    </w:p>
    <w:p>
      <w:pPr>
        <w:ind w:firstLine="640" w:firstLineChars="200"/>
        <w:rPr>
          <w:rFonts w:ascii="仿宋" w:hAnsi="仿宋" w:eastAsia="仿宋" w:cs="仿宋"/>
          <w:sz w:val="32"/>
          <w:szCs w:val="32"/>
        </w:rPr>
      </w:pPr>
    </w:p>
    <w:p>
      <w:pPr>
        <w:ind w:firstLine="640" w:firstLineChars="200"/>
        <w:rPr>
          <w:rFonts w:ascii="仿宋" w:hAnsi="仿宋" w:eastAsia="仿宋" w:cs="仿宋"/>
          <w:sz w:val="32"/>
          <w:szCs w:val="32"/>
        </w:rPr>
      </w:pPr>
    </w:p>
    <w:p>
      <w:pPr>
        <w:ind w:firstLine="640" w:firstLineChars="200"/>
        <w:rPr>
          <w:rFonts w:ascii="仿宋" w:hAnsi="仿宋" w:eastAsia="仿宋" w:cs="仿宋"/>
          <w:sz w:val="32"/>
          <w:szCs w:val="32"/>
        </w:rPr>
      </w:pPr>
    </w:p>
    <w:p>
      <w:pPr>
        <w:ind w:firstLine="640" w:firstLineChars="200"/>
        <w:rPr>
          <w:rFonts w:ascii="仿宋" w:hAnsi="仿宋" w:eastAsia="仿宋" w:cs="仿宋"/>
          <w:sz w:val="32"/>
          <w:szCs w:val="32"/>
        </w:rPr>
      </w:pPr>
    </w:p>
    <w:p>
      <w:pPr>
        <w:ind w:firstLine="640" w:firstLineChars="200"/>
        <w:rPr>
          <w:rFonts w:ascii="仿宋" w:hAnsi="仿宋" w:eastAsia="仿宋" w:cs="仿宋"/>
          <w:sz w:val="32"/>
          <w:szCs w:val="32"/>
        </w:rPr>
      </w:pPr>
    </w:p>
    <w:p>
      <w:pPr>
        <w:ind w:firstLine="640" w:firstLineChars="200"/>
        <w:rPr>
          <w:rFonts w:ascii="仿宋" w:hAnsi="仿宋" w:eastAsia="仿宋" w:cs="仿宋"/>
          <w:sz w:val="32"/>
          <w:szCs w:val="32"/>
        </w:rPr>
      </w:pPr>
    </w:p>
    <w:p>
      <w:pPr>
        <w:ind w:firstLine="640" w:firstLineChars="200"/>
        <w:rPr>
          <w:rFonts w:ascii="仿宋" w:hAnsi="仿宋" w:eastAsia="仿宋" w:cs="仿宋"/>
          <w:sz w:val="32"/>
          <w:szCs w:val="32"/>
        </w:rPr>
      </w:pPr>
    </w:p>
    <w:p>
      <w:pPr>
        <w:ind w:firstLine="560"/>
        <w:rPr>
          <w:rFonts w:ascii="仿宋" w:hAnsi="仿宋" w:eastAsia="仿宋" w:cs="Times New Roman"/>
          <w:b/>
          <w:sz w:val="32"/>
          <w:szCs w:val="24"/>
        </w:rPr>
      </w:pPr>
      <w:r>
        <w:rPr>
          <w:rFonts w:hint="eastAsia" w:ascii="仿宋" w:hAnsi="仿宋" w:eastAsia="仿宋" w:cs="Times New Roman"/>
          <w:b/>
          <w:sz w:val="32"/>
          <w:szCs w:val="32"/>
        </w:rPr>
        <w:t>部门职责及工作活动绩效目标指标：</w:t>
      </w:r>
    </w:p>
    <w:p>
      <w:pPr>
        <w:jc w:val="center"/>
        <w:outlineLvl w:val="0"/>
        <w:rPr>
          <w:rFonts w:ascii="仿宋" w:hAnsi="仿宋" w:eastAsia="仿宋" w:cs="Times New Roman"/>
          <w:b/>
          <w:sz w:val="32"/>
          <w:szCs w:val="24"/>
        </w:rPr>
      </w:pPr>
      <w:r>
        <w:rPr>
          <w:rFonts w:hint="eastAsia" w:ascii="仿宋" w:hAnsi="仿宋" w:eastAsia="仿宋" w:cs="Times New Roman"/>
          <w:b/>
          <w:sz w:val="32"/>
          <w:szCs w:val="24"/>
        </w:rPr>
        <w:t>部门职责-工作活动绩效目标</w:t>
      </w:r>
      <w:bookmarkEnd w:id="0"/>
    </w:p>
    <w:tbl>
      <w:tblPr>
        <w:tblStyle w:val="8"/>
        <w:tblW w:w="1487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80"/>
        <w:gridCol w:w="853"/>
        <w:gridCol w:w="3897"/>
        <w:gridCol w:w="2985"/>
        <w:gridCol w:w="1365"/>
        <w:gridCol w:w="795"/>
        <w:gridCol w:w="911"/>
        <w:gridCol w:w="853"/>
        <w:gridCol w:w="8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1480"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仿宋" w:hAnsi="仿宋" w:eastAsia="仿宋"/>
                <w:sz w:val="24"/>
              </w:rPr>
            </w:pPr>
            <w:r>
              <w:rPr>
                <w:rFonts w:ascii="仿宋" w:hAnsi="仿宋" w:eastAsia="仿宋"/>
                <w:sz w:val="24"/>
              </w:rPr>
              <w:t>241</w:t>
            </w:r>
            <w:r>
              <w:rPr>
                <w:rFonts w:hint="eastAsia" w:ascii="仿宋" w:hAnsi="仿宋" w:eastAsia="仿宋"/>
                <w:sz w:val="24"/>
              </w:rPr>
              <w:t>石家庄市鹿泉区档案馆</w:t>
            </w:r>
          </w:p>
        </w:tc>
        <w:tc>
          <w:tcPr>
            <w:tcW w:w="339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仿宋" w:hAnsi="仿宋" w:eastAsia="仿宋"/>
                <w:sz w:val="24"/>
              </w:rPr>
            </w:pPr>
            <w:r>
              <w:rPr>
                <w:rFonts w:hint="eastAsia" w:ascii="仿宋" w:hAnsi="仿宋" w:eastAsia="仿宋"/>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80" w:type="dxa"/>
            <w:vMerge w:val="restart"/>
            <w:shd w:val="clear" w:color="auto" w:fill="auto"/>
            <w:vAlign w:val="center"/>
          </w:tcPr>
          <w:p>
            <w:pPr>
              <w:spacing w:line="300" w:lineRule="exact"/>
              <w:jc w:val="center"/>
              <w:rPr>
                <w:rFonts w:ascii="仿宋" w:hAnsi="仿宋" w:eastAsia="仿宋"/>
                <w:b/>
              </w:rPr>
            </w:pPr>
            <w:r>
              <w:rPr>
                <w:rFonts w:hint="eastAsia" w:ascii="仿宋" w:hAnsi="仿宋" w:eastAsia="仿宋"/>
                <w:b/>
              </w:rPr>
              <w:t>职责活动</w:t>
            </w:r>
          </w:p>
        </w:tc>
        <w:tc>
          <w:tcPr>
            <w:tcW w:w="853" w:type="dxa"/>
            <w:vMerge w:val="restart"/>
            <w:shd w:val="clear" w:color="auto" w:fill="auto"/>
            <w:vAlign w:val="center"/>
          </w:tcPr>
          <w:p>
            <w:pPr>
              <w:spacing w:line="300" w:lineRule="exact"/>
              <w:jc w:val="center"/>
              <w:rPr>
                <w:rFonts w:ascii="仿宋" w:hAnsi="仿宋" w:eastAsia="仿宋"/>
                <w:b/>
              </w:rPr>
            </w:pPr>
            <w:r>
              <w:rPr>
                <w:rFonts w:hint="eastAsia" w:ascii="仿宋" w:hAnsi="仿宋" w:eastAsia="仿宋"/>
                <w:b/>
              </w:rPr>
              <w:t>年度预算数</w:t>
            </w:r>
          </w:p>
        </w:tc>
        <w:tc>
          <w:tcPr>
            <w:tcW w:w="3897" w:type="dxa"/>
            <w:vMerge w:val="restart"/>
            <w:shd w:val="clear" w:color="auto" w:fill="auto"/>
            <w:vAlign w:val="center"/>
          </w:tcPr>
          <w:p>
            <w:pPr>
              <w:spacing w:line="300" w:lineRule="exact"/>
              <w:jc w:val="center"/>
              <w:rPr>
                <w:rFonts w:ascii="仿宋" w:hAnsi="仿宋" w:eastAsia="仿宋"/>
                <w:b/>
              </w:rPr>
            </w:pPr>
            <w:r>
              <w:rPr>
                <w:rFonts w:hint="eastAsia" w:ascii="仿宋" w:hAnsi="仿宋" w:eastAsia="仿宋"/>
                <w:b/>
              </w:rPr>
              <w:t>内容描述</w:t>
            </w:r>
          </w:p>
        </w:tc>
        <w:tc>
          <w:tcPr>
            <w:tcW w:w="2985" w:type="dxa"/>
            <w:vMerge w:val="restart"/>
            <w:shd w:val="clear" w:color="auto" w:fill="auto"/>
            <w:vAlign w:val="center"/>
          </w:tcPr>
          <w:p>
            <w:pPr>
              <w:spacing w:line="300" w:lineRule="exact"/>
              <w:jc w:val="center"/>
              <w:rPr>
                <w:rFonts w:ascii="仿宋" w:hAnsi="仿宋" w:eastAsia="仿宋"/>
                <w:b/>
              </w:rPr>
            </w:pPr>
            <w:r>
              <w:rPr>
                <w:rFonts w:hint="eastAsia" w:ascii="仿宋" w:hAnsi="仿宋" w:eastAsia="仿宋"/>
                <w:b/>
              </w:rPr>
              <w:t>绩效目标</w:t>
            </w:r>
          </w:p>
        </w:tc>
        <w:tc>
          <w:tcPr>
            <w:tcW w:w="1365" w:type="dxa"/>
            <w:vMerge w:val="restart"/>
            <w:shd w:val="clear" w:color="auto" w:fill="auto"/>
            <w:vAlign w:val="center"/>
          </w:tcPr>
          <w:p>
            <w:pPr>
              <w:spacing w:line="300" w:lineRule="exact"/>
              <w:jc w:val="center"/>
              <w:rPr>
                <w:rFonts w:ascii="仿宋" w:hAnsi="仿宋" w:eastAsia="仿宋"/>
                <w:b/>
              </w:rPr>
            </w:pPr>
            <w:r>
              <w:rPr>
                <w:rFonts w:hint="eastAsia" w:ascii="仿宋" w:hAnsi="仿宋" w:eastAsia="仿宋"/>
                <w:b/>
              </w:rPr>
              <w:t>绩效指标</w:t>
            </w:r>
          </w:p>
        </w:tc>
        <w:tc>
          <w:tcPr>
            <w:tcW w:w="3398" w:type="dxa"/>
            <w:gridSpan w:val="4"/>
            <w:shd w:val="clear" w:color="auto" w:fill="auto"/>
            <w:vAlign w:val="center"/>
          </w:tcPr>
          <w:p>
            <w:pPr>
              <w:spacing w:line="300" w:lineRule="exact"/>
              <w:jc w:val="center"/>
              <w:rPr>
                <w:rFonts w:ascii="仿宋" w:hAnsi="仿宋" w:eastAsia="仿宋"/>
                <w:b/>
              </w:rPr>
            </w:pPr>
            <w:r>
              <w:rPr>
                <w:rFonts w:hint="eastAsia" w:ascii="仿宋" w:hAnsi="仿宋" w:eastAsia="仿宋"/>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80" w:type="dxa"/>
            <w:vMerge w:val="continue"/>
            <w:shd w:val="clear" w:color="auto" w:fill="auto"/>
            <w:vAlign w:val="center"/>
          </w:tcPr>
          <w:p>
            <w:pPr>
              <w:spacing w:line="300" w:lineRule="exact"/>
              <w:jc w:val="left"/>
              <w:outlineLvl w:val="0"/>
              <w:rPr>
                <w:rFonts w:ascii="仿宋" w:hAnsi="仿宋" w:eastAsia="仿宋"/>
              </w:rPr>
            </w:pPr>
          </w:p>
        </w:tc>
        <w:tc>
          <w:tcPr>
            <w:tcW w:w="853" w:type="dxa"/>
            <w:vMerge w:val="continue"/>
            <w:shd w:val="clear" w:color="auto" w:fill="auto"/>
            <w:vAlign w:val="center"/>
          </w:tcPr>
          <w:p>
            <w:pPr>
              <w:spacing w:line="300" w:lineRule="exact"/>
              <w:jc w:val="left"/>
              <w:outlineLvl w:val="0"/>
              <w:rPr>
                <w:rFonts w:ascii="仿宋" w:hAnsi="仿宋" w:eastAsia="仿宋"/>
              </w:rPr>
            </w:pPr>
          </w:p>
        </w:tc>
        <w:tc>
          <w:tcPr>
            <w:tcW w:w="3897" w:type="dxa"/>
            <w:vMerge w:val="continue"/>
            <w:shd w:val="clear" w:color="auto" w:fill="auto"/>
            <w:vAlign w:val="center"/>
          </w:tcPr>
          <w:p>
            <w:pPr>
              <w:spacing w:line="300" w:lineRule="exact"/>
              <w:jc w:val="left"/>
              <w:outlineLvl w:val="0"/>
              <w:rPr>
                <w:rFonts w:ascii="仿宋" w:hAnsi="仿宋" w:eastAsia="仿宋"/>
              </w:rPr>
            </w:pPr>
          </w:p>
        </w:tc>
        <w:tc>
          <w:tcPr>
            <w:tcW w:w="2985" w:type="dxa"/>
            <w:vMerge w:val="continue"/>
            <w:shd w:val="clear" w:color="auto" w:fill="auto"/>
            <w:vAlign w:val="center"/>
          </w:tcPr>
          <w:p>
            <w:pPr>
              <w:spacing w:line="300" w:lineRule="exact"/>
              <w:jc w:val="left"/>
              <w:outlineLvl w:val="0"/>
              <w:rPr>
                <w:rFonts w:ascii="仿宋" w:hAnsi="仿宋" w:eastAsia="仿宋"/>
              </w:rPr>
            </w:pPr>
          </w:p>
        </w:tc>
        <w:tc>
          <w:tcPr>
            <w:tcW w:w="1365" w:type="dxa"/>
            <w:vMerge w:val="continue"/>
            <w:shd w:val="clear" w:color="auto" w:fill="auto"/>
            <w:vAlign w:val="center"/>
          </w:tcPr>
          <w:p>
            <w:pPr>
              <w:spacing w:line="300" w:lineRule="exact"/>
              <w:jc w:val="left"/>
              <w:outlineLvl w:val="0"/>
              <w:rPr>
                <w:rFonts w:ascii="仿宋" w:hAnsi="仿宋" w:eastAsia="仿宋"/>
              </w:rPr>
            </w:pPr>
          </w:p>
        </w:tc>
        <w:tc>
          <w:tcPr>
            <w:tcW w:w="795" w:type="dxa"/>
            <w:shd w:val="clear" w:color="auto" w:fill="auto"/>
            <w:vAlign w:val="center"/>
          </w:tcPr>
          <w:p>
            <w:pPr>
              <w:spacing w:line="300" w:lineRule="exact"/>
              <w:jc w:val="center"/>
              <w:rPr>
                <w:rFonts w:ascii="仿宋" w:hAnsi="仿宋" w:eastAsia="仿宋"/>
                <w:b/>
              </w:rPr>
            </w:pPr>
            <w:r>
              <w:rPr>
                <w:rFonts w:hint="eastAsia" w:ascii="仿宋" w:hAnsi="仿宋" w:eastAsia="仿宋"/>
                <w:b/>
              </w:rPr>
              <w:t>优</w:t>
            </w:r>
          </w:p>
        </w:tc>
        <w:tc>
          <w:tcPr>
            <w:tcW w:w="911" w:type="dxa"/>
            <w:shd w:val="clear" w:color="auto" w:fill="auto"/>
            <w:vAlign w:val="center"/>
          </w:tcPr>
          <w:p>
            <w:pPr>
              <w:spacing w:line="300" w:lineRule="exact"/>
              <w:jc w:val="center"/>
              <w:rPr>
                <w:rFonts w:ascii="仿宋" w:hAnsi="仿宋" w:eastAsia="仿宋"/>
                <w:b/>
              </w:rPr>
            </w:pPr>
            <w:r>
              <w:rPr>
                <w:rFonts w:hint="eastAsia" w:ascii="仿宋" w:hAnsi="仿宋" w:eastAsia="仿宋"/>
                <w:b/>
              </w:rPr>
              <w:t>良</w:t>
            </w:r>
          </w:p>
        </w:tc>
        <w:tc>
          <w:tcPr>
            <w:tcW w:w="853" w:type="dxa"/>
            <w:shd w:val="clear" w:color="auto" w:fill="auto"/>
            <w:vAlign w:val="center"/>
          </w:tcPr>
          <w:p>
            <w:pPr>
              <w:spacing w:line="300" w:lineRule="exact"/>
              <w:jc w:val="center"/>
              <w:rPr>
                <w:rFonts w:ascii="仿宋" w:hAnsi="仿宋" w:eastAsia="仿宋"/>
                <w:b/>
              </w:rPr>
            </w:pPr>
            <w:r>
              <w:rPr>
                <w:rFonts w:hint="eastAsia" w:ascii="仿宋" w:hAnsi="仿宋" w:eastAsia="仿宋"/>
                <w:b/>
              </w:rPr>
              <w:t>中</w:t>
            </w:r>
          </w:p>
        </w:tc>
        <w:tc>
          <w:tcPr>
            <w:tcW w:w="840" w:type="dxa"/>
            <w:shd w:val="clear" w:color="auto" w:fill="auto"/>
            <w:vAlign w:val="center"/>
          </w:tcPr>
          <w:p>
            <w:pPr>
              <w:spacing w:line="300" w:lineRule="exact"/>
              <w:jc w:val="center"/>
              <w:rPr>
                <w:rFonts w:ascii="仿宋" w:hAnsi="仿宋" w:eastAsia="仿宋"/>
                <w:b/>
              </w:rPr>
            </w:pPr>
            <w:r>
              <w:rPr>
                <w:rFonts w:hint="eastAsia" w:ascii="仿宋" w:hAnsi="仿宋" w:eastAsia="仿宋"/>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80" w:type="dxa"/>
            <w:shd w:val="clear" w:color="auto" w:fill="auto"/>
            <w:vAlign w:val="center"/>
          </w:tcPr>
          <w:p>
            <w:pPr>
              <w:spacing w:line="300" w:lineRule="exact"/>
              <w:jc w:val="left"/>
              <w:rPr>
                <w:rFonts w:ascii="仿宋" w:hAnsi="仿宋" w:eastAsia="仿宋"/>
                <w:b/>
              </w:rPr>
            </w:pPr>
            <w:r>
              <w:rPr>
                <w:rFonts w:hint="eastAsia" w:ascii="仿宋" w:hAnsi="仿宋" w:eastAsia="仿宋"/>
                <w:b/>
              </w:rPr>
              <w:t>一、档案收集保管与开发利用</w:t>
            </w:r>
          </w:p>
        </w:tc>
        <w:tc>
          <w:tcPr>
            <w:tcW w:w="853" w:type="dxa"/>
            <w:shd w:val="clear" w:color="auto" w:fill="auto"/>
            <w:vAlign w:val="center"/>
          </w:tcPr>
          <w:p>
            <w:pPr>
              <w:spacing w:line="300" w:lineRule="exact"/>
              <w:jc w:val="left"/>
              <w:rPr>
                <w:rFonts w:ascii="仿宋" w:hAnsi="仿宋" w:eastAsia="仿宋"/>
              </w:rPr>
            </w:pPr>
            <w:r>
              <w:rPr>
                <w:rFonts w:ascii="仿宋" w:hAnsi="仿宋" w:eastAsia="仿宋"/>
              </w:rPr>
              <w:t>31.00</w:t>
            </w:r>
          </w:p>
        </w:tc>
        <w:tc>
          <w:tcPr>
            <w:tcW w:w="3897" w:type="dxa"/>
            <w:shd w:val="clear" w:color="auto" w:fill="auto"/>
            <w:vAlign w:val="center"/>
          </w:tcPr>
          <w:p>
            <w:pPr>
              <w:spacing w:line="300" w:lineRule="exact"/>
              <w:jc w:val="left"/>
              <w:rPr>
                <w:rFonts w:ascii="仿宋" w:hAnsi="仿宋" w:eastAsia="仿宋"/>
              </w:rPr>
            </w:pPr>
            <w:r>
              <w:rPr>
                <w:rFonts w:hint="eastAsia" w:ascii="仿宋" w:hAnsi="仿宋" w:eastAsia="仿宋"/>
              </w:rPr>
              <w:t>做好档案资源建设和保管，优化馆藏，做好重点档案抢救、保护、开发和信息化管理工作。提供档案查阅和利用，培育档案文化产业，推进全区档案信息化工作。集中统一管理机关、乡镇的重要档案资料，制定全区档案事业发展的年度计划和长远规划，并负责组织实施，负责全区档案干部队伍建设，围绕档案人员政治、业务素质的提高，负责全区档案法制建设和宣传工作。</w:t>
            </w:r>
          </w:p>
        </w:tc>
        <w:tc>
          <w:tcPr>
            <w:tcW w:w="2985" w:type="dxa"/>
            <w:shd w:val="clear" w:color="auto" w:fill="auto"/>
            <w:vAlign w:val="center"/>
          </w:tcPr>
          <w:p>
            <w:pPr>
              <w:spacing w:line="300" w:lineRule="exact"/>
              <w:jc w:val="left"/>
              <w:rPr>
                <w:rFonts w:ascii="仿宋" w:hAnsi="仿宋" w:eastAsia="仿宋"/>
              </w:rPr>
            </w:pPr>
            <w:r>
              <w:rPr>
                <w:rFonts w:hint="eastAsia" w:ascii="仿宋" w:hAnsi="仿宋" w:eastAsia="仿宋"/>
              </w:rPr>
              <w:t>馆藏内容丰富，方便保管和利用，最大限度地延长档案寿命。实现对档案的数据化备份和保护。把</w:t>
            </w:r>
            <w:r>
              <w:rPr>
                <w:rFonts w:hint="cs" w:ascii="仿宋" w:hAnsi="仿宋" w:eastAsia="仿宋"/>
              </w:rPr>
              <w:t>“</w:t>
            </w:r>
            <w:r>
              <w:rPr>
                <w:rFonts w:hint="eastAsia" w:ascii="仿宋" w:hAnsi="仿宋" w:eastAsia="仿宋"/>
              </w:rPr>
              <w:t>死档案</w:t>
            </w:r>
            <w:r>
              <w:rPr>
                <w:rFonts w:hint="cs" w:ascii="仿宋" w:hAnsi="仿宋" w:eastAsia="仿宋"/>
              </w:rPr>
              <w:t>”</w:t>
            </w:r>
            <w:r>
              <w:rPr>
                <w:rFonts w:hint="eastAsia" w:ascii="仿宋" w:hAnsi="仿宋" w:eastAsia="仿宋"/>
              </w:rPr>
              <w:t>变成</w:t>
            </w:r>
            <w:r>
              <w:rPr>
                <w:rFonts w:hint="cs" w:ascii="仿宋" w:hAnsi="仿宋" w:eastAsia="仿宋"/>
              </w:rPr>
              <w:t>“</w:t>
            </w:r>
            <w:r>
              <w:rPr>
                <w:rFonts w:hint="eastAsia" w:ascii="仿宋" w:hAnsi="仿宋" w:eastAsia="仿宋"/>
              </w:rPr>
              <w:t>活信息</w:t>
            </w:r>
            <w:r>
              <w:rPr>
                <w:rFonts w:hint="cs" w:ascii="仿宋" w:hAnsi="仿宋" w:eastAsia="仿宋"/>
              </w:rPr>
              <w:t>”</w:t>
            </w:r>
            <w:r>
              <w:rPr>
                <w:rFonts w:hint="eastAsia" w:ascii="仿宋" w:hAnsi="仿宋" w:eastAsia="仿宋"/>
              </w:rPr>
              <w:t>，更好为各级党委和政府决策、管理服务。</w:t>
            </w:r>
          </w:p>
        </w:tc>
        <w:tc>
          <w:tcPr>
            <w:tcW w:w="1365" w:type="dxa"/>
            <w:shd w:val="clear" w:color="auto" w:fill="auto"/>
            <w:vAlign w:val="center"/>
          </w:tcPr>
          <w:p>
            <w:pPr>
              <w:spacing w:line="300" w:lineRule="exact"/>
              <w:jc w:val="left"/>
              <w:rPr>
                <w:rFonts w:ascii="仿宋" w:hAnsi="仿宋" w:eastAsia="仿宋"/>
              </w:rPr>
            </w:pPr>
            <w:r>
              <w:rPr>
                <w:rFonts w:hint="eastAsia" w:ascii="仿宋" w:hAnsi="仿宋" w:eastAsia="仿宋"/>
              </w:rPr>
              <w:t>档案设施设备完好率</w:t>
            </w:r>
          </w:p>
        </w:tc>
        <w:tc>
          <w:tcPr>
            <w:tcW w:w="795" w:type="dxa"/>
            <w:shd w:val="clear" w:color="auto" w:fill="auto"/>
            <w:vAlign w:val="center"/>
          </w:tcPr>
          <w:p>
            <w:pPr>
              <w:spacing w:line="300" w:lineRule="exact"/>
              <w:jc w:val="center"/>
              <w:rPr>
                <w:rFonts w:ascii="仿宋" w:hAnsi="仿宋" w:eastAsia="仿宋"/>
              </w:rPr>
            </w:pPr>
            <w:r>
              <w:rPr>
                <w:rFonts w:ascii="仿宋" w:hAnsi="仿宋" w:eastAsia="仿宋"/>
              </w:rPr>
              <w:t>100%</w:t>
            </w:r>
          </w:p>
        </w:tc>
        <w:tc>
          <w:tcPr>
            <w:tcW w:w="911"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95%</w:t>
            </w:r>
          </w:p>
        </w:tc>
        <w:tc>
          <w:tcPr>
            <w:tcW w:w="853"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90%</w:t>
            </w:r>
          </w:p>
        </w:tc>
        <w:tc>
          <w:tcPr>
            <w:tcW w:w="840" w:type="dxa"/>
            <w:shd w:val="clear" w:color="auto" w:fill="auto"/>
            <w:vAlign w:val="center"/>
          </w:tcPr>
          <w:p>
            <w:pPr>
              <w:spacing w:line="300" w:lineRule="exact"/>
              <w:jc w:val="center"/>
              <w:rPr>
                <w:rFonts w:ascii="仿宋" w:hAnsi="仿宋" w:eastAsia="仿宋"/>
              </w:rPr>
            </w:pPr>
            <w:r>
              <w:rPr>
                <w:rFonts w:ascii="仿宋" w:hAnsi="仿宋" w:eastAsia="仿宋"/>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80" w:type="dxa"/>
            <w:vMerge w:val="restart"/>
            <w:shd w:val="clear" w:color="auto" w:fill="auto"/>
            <w:vAlign w:val="center"/>
          </w:tcPr>
          <w:p>
            <w:pPr>
              <w:spacing w:line="300" w:lineRule="exact"/>
              <w:jc w:val="left"/>
              <w:rPr>
                <w:rFonts w:ascii="仿宋" w:hAnsi="仿宋" w:eastAsia="仿宋"/>
                <w:b/>
              </w:rPr>
            </w:pPr>
            <w:r>
              <w:rPr>
                <w:rFonts w:hint="eastAsia" w:ascii="仿宋" w:hAnsi="仿宋" w:eastAsia="仿宋"/>
                <w:b/>
              </w:rPr>
              <w:t>　　</w:t>
            </w:r>
            <w:r>
              <w:rPr>
                <w:rFonts w:ascii="仿宋" w:hAnsi="仿宋" w:eastAsia="仿宋"/>
                <w:b/>
              </w:rPr>
              <w:t>1</w:t>
            </w:r>
            <w:r>
              <w:rPr>
                <w:rFonts w:hint="eastAsia" w:ascii="仿宋" w:hAnsi="仿宋" w:eastAsia="仿宋"/>
                <w:b/>
              </w:rPr>
              <w:t>、档案收集与整理</w:t>
            </w:r>
          </w:p>
        </w:tc>
        <w:tc>
          <w:tcPr>
            <w:tcW w:w="853" w:type="dxa"/>
            <w:vMerge w:val="restart"/>
            <w:shd w:val="clear" w:color="auto" w:fill="auto"/>
            <w:vAlign w:val="center"/>
          </w:tcPr>
          <w:p>
            <w:pPr>
              <w:spacing w:line="300" w:lineRule="exact"/>
              <w:jc w:val="left"/>
              <w:rPr>
                <w:rFonts w:ascii="仿宋" w:hAnsi="仿宋" w:eastAsia="仿宋"/>
              </w:rPr>
            </w:pPr>
          </w:p>
        </w:tc>
        <w:tc>
          <w:tcPr>
            <w:tcW w:w="3897" w:type="dxa"/>
            <w:vMerge w:val="restart"/>
            <w:shd w:val="clear" w:color="auto" w:fill="auto"/>
            <w:vAlign w:val="center"/>
          </w:tcPr>
          <w:p>
            <w:pPr>
              <w:spacing w:line="300" w:lineRule="exact"/>
              <w:jc w:val="left"/>
              <w:rPr>
                <w:rFonts w:ascii="仿宋" w:hAnsi="仿宋" w:eastAsia="仿宋"/>
              </w:rPr>
            </w:pPr>
            <w:r>
              <w:rPr>
                <w:rFonts w:hint="eastAsia" w:ascii="仿宋" w:hAnsi="仿宋" w:eastAsia="仿宋"/>
              </w:rPr>
              <w:t>集中统一管理区直机关、乡镇的重要档案资料；保管革命历史、旧政权、名人以及具有地方特色的各种档案资料；开展档案接收、征集、整理、保管、鉴定等各项工作</w:t>
            </w:r>
          </w:p>
        </w:tc>
        <w:tc>
          <w:tcPr>
            <w:tcW w:w="2985" w:type="dxa"/>
            <w:vMerge w:val="restart"/>
            <w:shd w:val="clear" w:color="auto" w:fill="auto"/>
            <w:vAlign w:val="center"/>
          </w:tcPr>
          <w:p>
            <w:pPr>
              <w:spacing w:line="300" w:lineRule="exact"/>
              <w:jc w:val="left"/>
              <w:rPr>
                <w:rFonts w:ascii="仿宋" w:hAnsi="仿宋" w:eastAsia="仿宋"/>
              </w:rPr>
            </w:pPr>
            <w:r>
              <w:rPr>
                <w:rFonts w:hint="eastAsia" w:ascii="仿宋" w:hAnsi="仿宋" w:eastAsia="仿宋"/>
              </w:rPr>
              <w:t>丰富馆藏内容，满足工作考察、历史研究、编史修志等方面的需求，提高档案利用价值。</w:t>
            </w:r>
          </w:p>
        </w:tc>
        <w:tc>
          <w:tcPr>
            <w:tcW w:w="1365" w:type="dxa"/>
            <w:shd w:val="clear" w:color="auto" w:fill="auto"/>
            <w:vAlign w:val="center"/>
          </w:tcPr>
          <w:p>
            <w:pPr>
              <w:spacing w:line="300" w:lineRule="exact"/>
              <w:jc w:val="left"/>
              <w:rPr>
                <w:rFonts w:ascii="仿宋" w:hAnsi="仿宋" w:eastAsia="仿宋"/>
              </w:rPr>
            </w:pPr>
            <w:r>
              <w:rPr>
                <w:rFonts w:hint="eastAsia" w:ascii="仿宋" w:hAnsi="仿宋" w:eastAsia="仿宋"/>
              </w:rPr>
              <w:t>文件级目录数据化工作完成率</w:t>
            </w:r>
          </w:p>
        </w:tc>
        <w:tc>
          <w:tcPr>
            <w:tcW w:w="795" w:type="dxa"/>
            <w:shd w:val="clear" w:color="auto" w:fill="auto"/>
            <w:vAlign w:val="center"/>
          </w:tcPr>
          <w:p>
            <w:pPr>
              <w:spacing w:line="300" w:lineRule="exact"/>
              <w:jc w:val="center"/>
              <w:rPr>
                <w:rFonts w:ascii="仿宋" w:hAnsi="仿宋" w:eastAsia="仿宋"/>
              </w:rPr>
            </w:pPr>
            <w:r>
              <w:rPr>
                <w:rFonts w:ascii="仿宋" w:hAnsi="仿宋" w:eastAsia="仿宋"/>
              </w:rPr>
              <w:t>100%</w:t>
            </w:r>
          </w:p>
        </w:tc>
        <w:tc>
          <w:tcPr>
            <w:tcW w:w="911"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95%</w:t>
            </w:r>
          </w:p>
        </w:tc>
        <w:tc>
          <w:tcPr>
            <w:tcW w:w="853"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90%</w:t>
            </w:r>
          </w:p>
        </w:tc>
        <w:tc>
          <w:tcPr>
            <w:tcW w:w="840" w:type="dxa"/>
            <w:shd w:val="clear" w:color="auto" w:fill="auto"/>
            <w:vAlign w:val="center"/>
          </w:tcPr>
          <w:p>
            <w:pPr>
              <w:spacing w:line="300" w:lineRule="exact"/>
              <w:jc w:val="center"/>
              <w:rPr>
                <w:rFonts w:ascii="仿宋" w:hAnsi="仿宋" w:eastAsia="仿宋"/>
              </w:rPr>
            </w:pPr>
            <w:r>
              <w:rPr>
                <w:rFonts w:ascii="仿宋" w:hAnsi="仿宋" w:eastAsia="仿宋"/>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80" w:type="dxa"/>
            <w:vMerge w:val="continue"/>
            <w:shd w:val="clear" w:color="auto" w:fill="auto"/>
            <w:vAlign w:val="center"/>
          </w:tcPr>
          <w:p>
            <w:pPr>
              <w:spacing w:line="300" w:lineRule="exact"/>
              <w:jc w:val="left"/>
              <w:rPr>
                <w:rFonts w:ascii="仿宋" w:hAnsi="仿宋" w:eastAsia="仿宋"/>
                <w:b/>
              </w:rPr>
            </w:pPr>
          </w:p>
        </w:tc>
        <w:tc>
          <w:tcPr>
            <w:tcW w:w="853" w:type="dxa"/>
            <w:vMerge w:val="continue"/>
            <w:shd w:val="clear" w:color="auto" w:fill="auto"/>
            <w:vAlign w:val="center"/>
          </w:tcPr>
          <w:p>
            <w:pPr>
              <w:spacing w:line="300" w:lineRule="exact"/>
              <w:jc w:val="left"/>
              <w:rPr>
                <w:rFonts w:ascii="仿宋" w:hAnsi="仿宋" w:eastAsia="仿宋"/>
              </w:rPr>
            </w:pPr>
          </w:p>
        </w:tc>
        <w:tc>
          <w:tcPr>
            <w:tcW w:w="3897" w:type="dxa"/>
            <w:vMerge w:val="continue"/>
            <w:shd w:val="clear" w:color="auto" w:fill="auto"/>
            <w:vAlign w:val="center"/>
          </w:tcPr>
          <w:p>
            <w:pPr>
              <w:spacing w:line="300" w:lineRule="exact"/>
              <w:jc w:val="left"/>
              <w:rPr>
                <w:rFonts w:ascii="仿宋" w:hAnsi="仿宋" w:eastAsia="仿宋"/>
              </w:rPr>
            </w:pPr>
          </w:p>
        </w:tc>
        <w:tc>
          <w:tcPr>
            <w:tcW w:w="2985" w:type="dxa"/>
            <w:vMerge w:val="continue"/>
            <w:shd w:val="clear" w:color="auto" w:fill="auto"/>
            <w:vAlign w:val="center"/>
          </w:tcPr>
          <w:p>
            <w:pPr>
              <w:spacing w:line="300" w:lineRule="exact"/>
              <w:jc w:val="left"/>
              <w:rPr>
                <w:rFonts w:ascii="仿宋" w:hAnsi="仿宋" w:eastAsia="仿宋"/>
              </w:rPr>
            </w:pPr>
          </w:p>
        </w:tc>
        <w:tc>
          <w:tcPr>
            <w:tcW w:w="1365" w:type="dxa"/>
            <w:shd w:val="clear" w:color="auto" w:fill="auto"/>
            <w:vAlign w:val="center"/>
          </w:tcPr>
          <w:p>
            <w:pPr>
              <w:spacing w:line="300" w:lineRule="exact"/>
              <w:jc w:val="left"/>
              <w:rPr>
                <w:rFonts w:ascii="仿宋" w:hAnsi="仿宋" w:eastAsia="仿宋"/>
              </w:rPr>
            </w:pPr>
            <w:r>
              <w:rPr>
                <w:rFonts w:hint="eastAsia" w:ascii="仿宋" w:hAnsi="仿宋" w:eastAsia="仿宋"/>
              </w:rPr>
              <w:t>档案整理、移交、接收、管理、保存工作完成率</w:t>
            </w:r>
          </w:p>
        </w:tc>
        <w:tc>
          <w:tcPr>
            <w:tcW w:w="795" w:type="dxa"/>
            <w:shd w:val="clear" w:color="auto" w:fill="auto"/>
            <w:vAlign w:val="center"/>
          </w:tcPr>
          <w:p>
            <w:pPr>
              <w:spacing w:line="300" w:lineRule="exact"/>
              <w:jc w:val="center"/>
              <w:rPr>
                <w:rFonts w:ascii="仿宋" w:hAnsi="仿宋" w:eastAsia="仿宋"/>
              </w:rPr>
            </w:pPr>
            <w:r>
              <w:rPr>
                <w:rFonts w:ascii="仿宋" w:hAnsi="仿宋" w:eastAsia="仿宋"/>
              </w:rPr>
              <w:t>100%</w:t>
            </w:r>
          </w:p>
        </w:tc>
        <w:tc>
          <w:tcPr>
            <w:tcW w:w="911"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95%</w:t>
            </w:r>
          </w:p>
        </w:tc>
        <w:tc>
          <w:tcPr>
            <w:tcW w:w="853"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90%</w:t>
            </w:r>
          </w:p>
        </w:tc>
        <w:tc>
          <w:tcPr>
            <w:tcW w:w="840" w:type="dxa"/>
            <w:shd w:val="clear" w:color="auto" w:fill="auto"/>
            <w:vAlign w:val="center"/>
          </w:tcPr>
          <w:p>
            <w:pPr>
              <w:spacing w:line="300" w:lineRule="exact"/>
              <w:jc w:val="center"/>
              <w:rPr>
                <w:rFonts w:ascii="仿宋" w:hAnsi="仿宋" w:eastAsia="仿宋"/>
              </w:rPr>
            </w:pPr>
            <w:r>
              <w:rPr>
                <w:rFonts w:ascii="仿宋" w:hAnsi="仿宋" w:eastAsia="仿宋"/>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80" w:type="dxa"/>
            <w:vMerge w:val="restart"/>
            <w:shd w:val="clear" w:color="auto" w:fill="auto"/>
            <w:vAlign w:val="center"/>
          </w:tcPr>
          <w:p>
            <w:pPr>
              <w:spacing w:line="300" w:lineRule="exact"/>
              <w:jc w:val="left"/>
              <w:rPr>
                <w:rFonts w:ascii="仿宋" w:hAnsi="仿宋" w:eastAsia="仿宋"/>
                <w:b/>
              </w:rPr>
            </w:pPr>
            <w:r>
              <w:rPr>
                <w:rFonts w:hint="eastAsia" w:ascii="仿宋" w:hAnsi="仿宋" w:eastAsia="仿宋"/>
                <w:b/>
              </w:rPr>
              <w:t>　　</w:t>
            </w:r>
            <w:r>
              <w:rPr>
                <w:rFonts w:ascii="仿宋" w:hAnsi="仿宋" w:eastAsia="仿宋"/>
                <w:b/>
              </w:rPr>
              <w:t>2</w:t>
            </w:r>
            <w:r>
              <w:rPr>
                <w:rFonts w:hint="eastAsia" w:ascii="仿宋" w:hAnsi="仿宋" w:eastAsia="仿宋"/>
                <w:b/>
              </w:rPr>
              <w:t>、档案保管</w:t>
            </w:r>
          </w:p>
        </w:tc>
        <w:tc>
          <w:tcPr>
            <w:tcW w:w="853" w:type="dxa"/>
            <w:vMerge w:val="restart"/>
            <w:shd w:val="clear" w:color="auto" w:fill="auto"/>
            <w:vAlign w:val="center"/>
          </w:tcPr>
          <w:p>
            <w:pPr>
              <w:spacing w:line="300" w:lineRule="exact"/>
              <w:jc w:val="left"/>
              <w:rPr>
                <w:rFonts w:ascii="仿宋" w:hAnsi="仿宋" w:eastAsia="仿宋"/>
              </w:rPr>
            </w:pPr>
            <w:r>
              <w:rPr>
                <w:rFonts w:ascii="仿宋" w:hAnsi="仿宋" w:eastAsia="仿宋"/>
              </w:rPr>
              <w:t>31.00</w:t>
            </w:r>
          </w:p>
        </w:tc>
        <w:tc>
          <w:tcPr>
            <w:tcW w:w="3897" w:type="dxa"/>
            <w:vMerge w:val="restart"/>
            <w:shd w:val="clear" w:color="auto" w:fill="auto"/>
            <w:vAlign w:val="center"/>
          </w:tcPr>
          <w:p>
            <w:pPr>
              <w:spacing w:line="300" w:lineRule="exact"/>
              <w:jc w:val="left"/>
              <w:rPr>
                <w:rFonts w:ascii="仿宋" w:hAnsi="仿宋" w:eastAsia="仿宋"/>
              </w:rPr>
            </w:pPr>
            <w:r>
              <w:rPr>
                <w:rFonts w:hint="eastAsia" w:ascii="仿宋" w:hAnsi="仿宋" w:eastAsia="仿宋"/>
              </w:rPr>
              <w:t>保守党和国家机密，维护档案的完整，确保档案资料的安全。</w:t>
            </w:r>
          </w:p>
        </w:tc>
        <w:tc>
          <w:tcPr>
            <w:tcW w:w="2985" w:type="dxa"/>
            <w:vMerge w:val="restart"/>
            <w:shd w:val="clear" w:color="auto" w:fill="auto"/>
            <w:vAlign w:val="center"/>
          </w:tcPr>
          <w:p>
            <w:pPr>
              <w:spacing w:line="300" w:lineRule="exact"/>
              <w:jc w:val="left"/>
              <w:rPr>
                <w:rFonts w:ascii="仿宋" w:hAnsi="仿宋" w:eastAsia="仿宋"/>
              </w:rPr>
            </w:pPr>
            <w:r>
              <w:rPr>
                <w:rFonts w:hint="eastAsia" w:ascii="仿宋" w:hAnsi="仿宋" w:eastAsia="仿宋"/>
              </w:rPr>
              <w:t>定期调控和记录库房温湿度，库房建设符合国家标准，分区合理，设备不出现故障，档案保管环境和保障条件进一步优化，维护档案状况，确保机关和档案绝对安全。</w:t>
            </w:r>
          </w:p>
        </w:tc>
        <w:tc>
          <w:tcPr>
            <w:tcW w:w="1365" w:type="dxa"/>
            <w:shd w:val="clear" w:color="auto" w:fill="auto"/>
            <w:vAlign w:val="center"/>
          </w:tcPr>
          <w:p>
            <w:pPr>
              <w:spacing w:line="300" w:lineRule="exact"/>
              <w:jc w:val="left"/>
              <w:rPr>
                <w:rFonts w:ascii="仿宋" w:hAnsi="仿宋" w:eastAsia="仿宋"/>
              </w:rPr>
            </w:pPr>
            <w:r>
              <w:rPr>
                <w:rFonts w:hint="eastAsia" w:ascii="仿宋" w:hAnsi="仿宋" w:eastAsia="仿宋"/>
              </w:rPr>
              <w:t>馆藏档案全文数据库建设工作完成率</w:t>
            </w:r>
          </w:p>
        </w:tc>
        <w:tc>
          <w:tcPr>
            <w:tcW w:w="795" w:type="dxa"/>
            <w:shd w:val="clear" w:color="auto" w:fill="auto"/>
            <w:vAlign w:val="center"/>
          </w:tcPr>
          <w:p>
            <w:pPr>
              <w:spacing w:line="300" w:lineRule="exact"/>
              <w:jc w:val="center"/>
              <w:rPr>
                <w:rFonts w:ascii="仿宋" w:hAnsi="仿宋" w:eastAsia="仿宋"/>
              </w:rPr>
            </w:pPr>
            <w:r>
              <w:rPr>
                <w:rFonts w:ascii="仿宋" w:hAnsi="仿宋" w:eastAsia="仿宋"/>
              </w:rPr>
              <w:t>100%</w:t>
            </w:r>
          </w:p>
        </w:tc>
        <w:tc>
          <w:tcPr>
            <w:tcW w:w="911"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95%</w:t>
            </w:r>
          </w:p>
        </w:tc>
        <w:tc>
          <w:tcPr>
            <w:tcW w:w="853"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90%</w:t>
            </w:r>
          </w:p>
        </w:tc>
        <w:tc>
          <w:tcPr>
            <w:tcW w:w="840" w:type="dxa"/>
            <w:shd w:val="clear" w:color="auto" w:fill="auto"/>
            <w:vAlign w:val="center"/>
          </w:tcPr>
          <w:p>
            <w:pPr>
              <w:spacing w:line="300" w:lineRule="exact"/>
              <w:jc w:val="center"/>
              <w:rPr>
                <w:rFonts w:ascii="仿宋" w:hAnsi="仿宋" w:eastAsia="仿宋"/>
              </w:rPr>
            </w:pPr>
            <w:r>
              <w:rPr>
                <w:rFonts w:ascii="仿宋" w:hAnsi="仿宋" w:eastAsia="仿宋"/>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80" w:type="dxa"/>
            <w:vMerge w:val="continue"/>
            <w:shd w:val="clear" w:color="auto" w:fill="auto"/>
            <w:vAlign w:val="center"/>
          </w:tcPr>
          <w:p>
            <w:pPr>
              <w:spacing w:line="300" w:lineRule="exact"/>
              <w:jc w:val="left"/>
              <w:rPr>
                <w:rFonts w:ascii="仿宋" w:hAnsi="仿宋" w:eastAsia="仿宋"/>
                <w:b/>
              </w:rPr>
            </w:pPr>
          </w:p>
        </w:tc>
        <w:tc>
          <w:tcPr>
            <w:tcW w:w="853" w:type="dxa"/>
            <w:vMerge w:val="continue"/>
            <w:shd w:val="clear" w:color="auto" w:fill="auto"/>
            <w:vAlign w:val="center"/>
          </w:tcPr>
          <w:p>
            <w:pPr>
              <w:spacing w:line="300" w:lineRule="exact"/>
              <w:jc w:val="left"/>
              <w:rPr>
                <w:rFonts w:ascii="仿宋" w:hAnsi="仿宋" w:eastAsia="仿宋"/>
              </w:rPr>
            </w:pPr>
          </w:p>
        </w:tc>
        <w:tc>
          <w:tcPr>
            <w:tcW w:w="3897" w:type="dxa"/>
            <w:vMerge w:val="continue"/>
            <w:shd w:val="clear" w:color="auto" w:fill="auto"/>
            <w:vAlign w:val="center"/>
          </w:tcPr>
          <w:p>
            <w:pPr>
              <w:spacing w:line="300" w:lineRule="exact"/>
              <w:jc w:val="left"/>
              <w:rPr>
                <w:rFonts w:ascii="仿宋" w:hAnsi="仿宋" w:eastAsia="仿宋"/>
              </w:rPr>
            </w:pPr>
          </w:p>
        </w:tc>
        <w:tc>
          <w:tcPr>
            <w:tcW w:w="2985" w:type="dxa"/>
            <w:vMerge w:val="continue"/>
            <w:shd w:val="clear" w:color="auto" w:fill="auto"/>
            <w:vAlign w:val="center"/>
          </w:tcPr>
          <w:p>
            <w:pPr>
              <w:spacing w:line="300" w:lineRule="exact"/>
              <w:jc w:val="left"/>
              <w:rPr>
                <w:rFonts w:ascii="仿宋" w:hAnsi="仿宋" w:eastAsia="仿宋"/>
              </w:rPr>
            </w:pPr>
          </w:p>
        </w:tc>
        <w:tc>
          <w:tcPr>
            <w:tcW w:w="1365" w:type="dxa"/>
            <w:shd w:val="clear" w:color="auto" w:fill="auto"/>
            <w:vAlign w:val="center"/>
          </w:tcPr>
          <w:p>
            <w:pPr>
              <w:spacing w:line="300" w:lineRule="exact"/>
              <w:jc w:val="left"/>
              <w:rPr>
                <w:rFonts w:ascii="仿宋" w:hAnsi="仿宋" w:eastAsia="仿宋"/>
              </w:rPr>
            </w:pPr>
            <w:r>
              <w:rPr>
                <w:rFonts w:hint="eastAsia" w:ascii="仿宋" w:hAnsi="仿宋" w:eastAsia="仿宋"/>
              </w:rPr>
              <w:t>档案资料完好率</w:t>
            </w:r>
          </w:p>
        </w:tc>
        <w:tc>
          <w:tcPr>
            <w:tcW w:w="795" w:type="dxa"/>
            <w:shd w:val="clear" w:color="auto" w:fill="auto"/>
            <w:vAlign w:val="center"/>
          </w:tcPr>
          <w:p>
            <w:pPr>
              <w:spacing w:line="300" w:lineRule="exact"/>
              <w:jc w:val="center"/>
              <w:rPr>
                <w:rFonts w:ascii="仿宋" w:hAnsi="仿宋" w:eastAsia="仿宋"/>
              </w:rPr>
            </w:pPr>
            <w:r>
              <w:rPr>
                <w:rFonts w:ascii="仿宋" w:hAnsi="仿宋" w:eastAsia="仿宋"/>
              </w:rPr>
              <w:t>100%</w:t>
            </w:r>
          </w:p>
        </w:tc>
        <w:tc>
          <w:tcPr>
            <w:tcW w:w="911"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95%</w:t>
            </w:r>
          </w:p>
        </w:tc>
        <w:tc>
          <w:tcPr>
            <w:tcW w:w="853"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90%</w:t>
            </w:r>
          </w:p>
        </w:tc>
        <w:tc>
          <w:tcPr>
            <w:tcW w:w="840" w:type="dxa"/>
            <w:shd w:val="clear" w:color="auto" w:fill="auto"/>
            <w:vAlign w:val="center"/>
          </w:tcPr>
          <w:p>
            <w:pPr>
              <w:spacing w:line="300" w:lineRule="exact"/>
              <w:jc w:val="center"/>
              <w:rPr>
                <w:rFonts w:ascii="仿宋" w:hAnsi="仿宋" w:eastAsia="仿宋"/>
              </w:rPr>
            </w:pPr>
            <w:r>
              <w:rPr>
                <w:rFonts w:ascii="仿宋" w:hAnsi="仿宋" w:eastAsia="仿宋"/>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80" w:type="dxa"/>
            <w:shd w:val="clear" w:color="auto" w:fill="auto"/>
            <w:vAlign w:val="center"/>
          </w:tcPr>
          <w:p>
            <w:pPr>
              <w:spacing w:line="300" w:lineRule="exact"/>
              <w:jc w:val="left"/>
              <w:rPr>
                <w:rFonts w:ascii="仿宋" w:hAnsi="仿宋" w:eastAsia="仿宋"/>
                <w:b/>
              </w:rPr>
            </w:pPr>
            <w:r>
              <w:rPr>
                <w:rFonts w:hint="eastAsia" w:ascii="仿宋" w:hAnsi="仿宋" w:eastAsia="仿宋"/>
                <w:b/>
              </w:rPr>
              <w:t>　　</w:t>
            </w:r>
            <w:r>
              <w:rPr>
                <w:rFonts w:ascii="仿宋" w:hAnsi="仿宋" w:eastAsia="仿宋"/>
                <w:b/>
              </w:rPr>
              <w:t>3</w:t>
            </w:r>
            <w:r>
              <w:rPr>
                <w:rFonts w:hint="eastAsia" w:ascii="仿宋" w:hAnsi="仿宋" w:eastAsia="仿宋"/>
                <w:b/>
              </w:rPr>
              <w:t>、档案编研开发</w:t>
            </w:r>
          </w:p>
        </w:tc>
        <w:tc>
          <w:tcPr>
            <w:tcW w:w="853" w:type="dxa"/>
            <w:shd w:val="clear" w:color="auto" w:fill="auto"/>
            <w:vAlign w:val="center"/>
          </w:tcPr>
          <w:p>
            <w:pPr>
              <w:spacing w:line="300" w:lineRule="exact"/>
              <w:jc w:val="left"/>
              <w:rPr>
                <w:rFonts w:ascii="仿宋" w:hAnsi="仿宋" w:eastAsia="仿宋"/>
              </w:rPr>
            </w:pPr>
          </w:p>
        </w:tc>
        <w:tc>
          <w:tcPr>
            <w:tcW w:w="3897" w:type="dxa"/>
            <w:shd w:val="clear" w:color="auto" w:fill="auto"/>
            <w:vAlign w:val="center"/>
          </w:tcPr>
          <w:p>
            <w:pPr>
              <w:spacing w:line="300" w:lineRule="exact"/>
              <w:jc w:val="left"/>
              <w:rPr>
                <w:rFonts w:ascii="仿宋" w:hAnsi="仿宋" w:eastAsia="仿宋"/>
              </w:rPr>
            </w:pPr>
            <w:r>
              <w:rPr>
                <w:rFonts w:hint="eastAsia" w:ascii="仿宋" w:hAnsi="仿宋" w:eastAsia="仿宋"/>
              </w:rPr>
              <w:t>做好档案的开放、利用和编研出版工作，为社会需要提供服务、负责调查、征集散存在社会上与我区有关的珍贵、重要档案资料。</w:t>
            </w:r>
          </w:p>
        </w:tc>
        <w:tc>
          <w:tcPr>
            <w:tcW w:w="2985" w:type="dxa"/>
            <w:shd w:val="clear" w:color="auto" w:fill="auto"/>
            <w:vAlign w:val="center"/>
          </w:tcPr>
          <w:p>
            <w:pPr>
              <w:spacing w:line="300" w:lineRule="exact"/>
              <w:jc w:val="left"/>
              <w:rPr>
                <w:rFonts w:ascii="仿宋" w:hAnsi="仿宋" w:eastAsia="仿宋"/>
              </w:rPr>
            </w:pPr>
            <w:r>
              <w:rPr>
                <w:rFonts w:hint="eastAsia" w:ascii="仿宋" w:hAnsi="仿宋" w:eastAsia="仿宋"/>
              </w:rPr>
              <w:t>挖掘档案的价值，为社会公众服务。</w:t>
            </w:r>
          </w:p>
        </w:tc>
        <w:tc>
          <w:tcPr>
            <w:tcW w:w="1365" w:type="dxa"/>
            <w:shd w:val="clear" w:color="auto" w:fill="auto"/>
            <w:vAlign w:val="center"/>
          </w:tcPr>
          <w:p>
            <w:pPr>
              <w:spacing w:line="300" w:lineRule="exact"/>
              <w:jc w:val="left"/>
              <w:rPr>
                <w:rFonts w:ascii="仿宋" w:hAnsi="仿宋" w:eastAsia="仿宋"/>
              </w:rPr>
            </w:pPr>
            <w:r>
              <w:rPr>
                <w:rFonts w:hint="eastAsia" w:ascii="仿宋" w:hAnsi="仿宋" w:eastAsia="仿宋"/>
              </w:rPr>
              <w:t>档案编研工作完成率</w:t>
            </w:r>
          </w:p>
        </w:tc>
        <w:tc>
          <w:tcPr>
            <w:tcW w:w="795" w:type="dxa"/>
            <w:shd w:val="clear" w:color="auto" w:fill="auto"/>
            <w:vAlign w:val="center"/>
          </w:tcPr>
          <w:p>
            <w:pPr>
              <w:spacing w:line="300" w:lineRule="exact"/>
              <w:jc w:val="center"/>
              <w:rPr>
                <w:rFonts w:ascii="仿宋" w:hAnsi="仿宋" w:eastAsia="仿宋"/>
              </w:rPr>
            </w:pPr>
            <w:r>
              <w:rPr>
                <w:rFonts w:ascii="仿宋" w:hAnsi="仿宋" w:eastAsia="仿宋"/>
              </w:rPr>
              <w:t>100%</w:t>
            </w:r>
          </w:p>
        </w:tc>
        <w:tc>
          <w:tcPr>
            <w:tcW w:w="911"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95%</w:t>
            </w:r>
          </w:p>
        </w:tc>
        <w:tc>
          <w:tcPr>
            <w:tcW w:w="853"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90%</w:t>
            </w:r>
          </w:p>
        </w:tc>
        <w:tc>
          <w:tcPr>
            <w:tcW w:w="840" w:type="dxa"/>
            <w:shd w:val="clear" w:color="auto" w:fill="auto"/>
            <w:vAlign w:val="center"/>
          </w:tcPr>
          <w:p>
            <w:pPr>
              <w:spacing w:line="300" w:lineRule="exact"/>
              <w:jc w:val="center"/>
              <w:rPr>
                <w:rFonts w:ascii="仿宋" w:hAnsi="仿宋" w:eastAsia="仿宋"/>
              </w:rPr>
            </w:pPr>
            <w:r>
              <w:rPr>
                <w:rFonts w:ascii="仿宋" w:hAnsi="仿宋" w:eastAsia="仿宋"/>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80" w:type="dxa"/>
            <w:shd w:val="clear" w:color="auto" w:fill="auto"/>
            <w:vAlign w:val="center"/>
          </w:tcPr>
          <w:p>
            <w:pPr>
              <w:spacing w:line="300" w:lineRule="exact"/>
              <w:jc w:val="left"/>
              <w:rPr>
                <w:rFonts w:ascii="仿宋" w:hAnsi="仿宋" w:eastAsia="仿宋"/>
                <w:b/>
              </w:rPr>
            </w:pPr>
            <w:r>
              <w:rPr>
                <w:rFonts w:hint="eastAsia" w:ascii="仿宋" w:hAnsi="仿宋" w:eastAsia="仿宋"/>
                <w:b/>
              </w:rPr>
              <w:t>　　</w:t>
            </w:r>
            <w:r>
              <w:rPr>
                <w:rFonts w:ascii="仿宋" w:hAnsi="仿宋" w:eastAsia="仿宋"/>
                <w:b/>
              </w:rPr>
              <w:t>4</w:t>
            </w:r>
            <w:r>
              <w:rPr>
                <w:rFonts w:hint="eastAsia" w:ascii="仿宋" w:hAnsi="仿宋" w:eastAsia="仿宋"/>
                <w:b/>
              </w:rPr>
              <w:t>、档案利用</w:t>
            </w:r>
          </w:p>
        </w:tc>
        <w:tc>
          <w:tcPr>
            <w:tcW w:w="853" w:type="dxa"/>
            <w:shd w:val="clear" w:color="auto" w:fill="auto"/>
            <w:vAlign w:val="center"/>
          </w:tcPr>
          <w:p>
            <w:pPr>
              <w:spacing w:line="300" w:lineRule="exact"/>
              <w:jc w:val="left"/>
              <w:rPr>
                <w:rFonts w:ascii="仿宋" w:hAnsi="仿宋" w:eastAsia="仿宋"/>
              </w:rPr>
            </w:pPr>
          </w:p>
        </w:tc>
        <w:tc>
          <w:tcPr>
            <w:tcW w:w="3897" w:type="dxa"/>
            <w:shd w:val="clear" w:color="auto" w:fill="auto"/>
            <w:vAlign w:val="center"/>
          </w:tcPr>
          <w:p>
            <w:pPr>
              <w:spacing w:line="300" w:lineRule="exact"/>
              <w:jc w:val="left"/>
              <w:rPr>
                <w:rFonts w:ascii="仿宋" w:hAnsi="仿宋" w:eastAsia="仿宋"/>
              </w:rPr>
            </w:pPr>
            <w:r>
              <w:rPr>
                <w:rFonts w:hint="eastAsia" w:ascii="仿宋" w:hAnsi="仿宋" w:eastAsia="仿宋"/>
              </w:rPr>
              <w:t>负责向社会各界和人民群众免费提供非涉密的现行政策性文件查阅；负责多渠道、深层次地开发利用档案做好档案展览、接待参观工作。</w:t>
            </w:r>
          </w:p>
        </w:tc>
        <w:tc>
          <w:tcPr>
            <w:tcW w:w="2985" w:type="dxa"/>
            <w:shd w:val="clear" w:color="auto" w:fill="auto"/>
            <w:vAlign w:val="center"/>
          </w:tcPr>
          <w:p>
            <w:pPr>
              <w:spacing w:line="300" w:lineRule="exact"/>
              <w:jc w:val="left"/>
              <w:rPr>
                <w:rFonts w:ascii="仿宋" w:hAnsi="仿宋" w:eastAsia="仿宋"/>
              </w:rPr>
            </w:pPr>
            <w:r>
              <w:rPr>
                <w:rFonts w:hint="eastAsia" w:ascii="仿宋" w:hAnsi="仿宋" w:eastAsia="仿宋"/>
              </w:rPr>
              <w:t>实现我区档案馆的馆藏开放档案数据和政府公开信息的发布与共享。开发、利用科技成果，为利用者提供快速、准确的档案查询服务。</w:t>
            </w:r>
          </w:p>
        </w:tc>
        <w:tc>
          <w:tcPr>
            <w:tcW w:w="1365" w:type="dxa"/>
            <w:shd w:val="clear" w:color="auto" w:fill="auto"/>
            <w:vAlign w:val="center"/>
          </w:tcPr>
          <w:p>
            <w:pPr>
              <w:spacing w:line="300" w:lineRule="exact"/>
              <w:jc w:val="left"/>
              <w:rPr>
                <w:rFonts w:ascii="仿宋" w:hAnsi="仿宋" w:eastAsia="仿宋"/>
              </w:rPr>
            </w:pPr>
            <w:r>
              <w:rPr>
                <w:rFonts w:hint="eastAsia" w:ascii="仿宋" w:hAnsi="仿宋" w:eastAsia="仿宋"/>
              </w:rPr>
              <w:t>档案查准率</w:t>
            </w:r>
          </w:p>
        </w:tc>
        <w:tc>
          <w:tcPr>
            <w:tcW w:w="795"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95%</w:t>
            </w:r>
          </w:p>
        </w:tc>
        <w:tc>
          <w:tcPr>
            <w:tcW w:w="911"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85%</w:t>
            </w:r>
          </w:p>
        </w:tc>
        <w:tc>
          <w:tcPr>
            <w:tcW w:w="853"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75%</w:t>
            </w:r>
          </w:p>
        </w:tc>
        <w:tc>
          <w:tcPr>
            <w:tcW w:w="840" w:type="dxa"/>
            <w:shd w:val="clear" w:color="auto" w:fill="auto"/>
            <w:vAlign w:val="center"/>
          </w:tcPr>
          <w:p>
            <w:pPr>
              <w:spacing w:line="300" w:lineRule="exact"/>
              <w:jc w:val="center"/>
              <w:rPr>
                <w:rFonts w:ascii="仿宋" w:hAnsi="仿宋" w:eastAsia="仿宋"/>
              </w:rPr>
            </w:pPr>
            <w:r>
              <w:rPr>
                <w:rFonts w:ascii="仿宋" w:hAnsi="仿宋" w:eastAsia="仿宋"/>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80" w:type="dxa"/>
            <w:shd w:val="clear" w:color="auto" w:fill="auto"/>
            <w:vAlign w:val="center"/>
          </w:tcPr>
          <w:p>
            <w:pPr>
              <w:spacing w:line="300" w:lineRule="exact"/>
              <w:jc w:val="left"/>
              <w:rPr>
                <w:rFonts w:ascii="仿宋" w:hAnsi="仿宋" w:eastAsia="仿宋"/>
                <w:b/>
              </w:rPr>
            </w:pPr>
            <w:r>
              <w:rPr>
                <w:rFonts w:hint="eastAsia" w:ascii="仿宋" w:hAnsi="仿宋" w:eastAsia="仿宋"/>
                <w:b/>
              </w:rPr>
              <w:t>二、综合事务管理</w:t>
            </w:r>
          </w:p>
        </w:tc>
        <w:tc>
          <w:tcPr>
            <w:tcW w:w="853" w:type="dxa"/>
            <w:shd w:val="clear" w:color="auto" w:fill="auto"/>
            <w:vAlign w:val="center"/>
          </w:tcPr>
          <w:p>
            <w:pPr>
              <w:spacing w:line="300" w:lineRule="exact"/>
              <w:jc w:val="left"/>
              <w:rPr>
                <w:rFonts w:ascii="仿宋" w:hAnsi="仿宋" w:eastAsia="仿宋"/>
              </w:rPr>
            </w:pPr>
            <w:r>
              <w:rPr>
                <w:rFonts w:ascii="仿宋" w:hAnsi="仿宋" w:eastAsia="仿宋"/>
              </w:rPr>
              <w:t>15.00</w:t>
            </w:r>
          </w:p>
        </w:tc>
        <w:tc>
          <w:tcPr>
            <w:tcW w:w="3897" w:type="dxa"/>
            <w:shd w:val="clear" w:color="auto" w:fill="auto"/>
            <w:vAlign w:val="center"/>
          </w:tcPr>
          <w:p>
            <w:pPr>
              <w:spacing w:line="300" w:lineRule="exact"/>
              <w:jc w:val="left"/>
              <w:rPr>
                <w:rFonts w:ascii="仿宋" w:hAnsi="仿宋" w:eastAsia="仿宋"/>
              </w:rPr>
            </w:pPr>
            <w:r>
              <w:rPr>
                <w:rFonts w:hint="eastAsia" w:ascii="仿宋" w:hAnsi="仿宋" w:eastAsia="仿宋"/>
              </w:rPr>
              <w:t>确保本区机关档案管理正常运转，各项业务顺利推进，适应档案事业发展需要</w:t>
            </w:r>
          </w:p>
        </w:tc>
        <w:tc>
          <w:tcPr>
            <w:tcW w:w="2985" w:type="dxa"/>
            <w:shd w:val="clear" w:color="auto" w:fill="auto"/>
            <w:vAlign w:val="center"/>
          </w:tcPr>
          <w:p>
            <w:pPr>
              <w:spacing w:line="300" w:lineRule="exact"/>
              <w:jc w:val="left"/>
              <w:rPr>
                <w:rFonts w:ascii="仿宋" w:hAnsi="仿宋" w:eastAsia="仿宋"/>
              </w:rPr>
            </w:pPr>
            <w:r>
              <w:rPr>
                <w:rFonts w:hint="eastAsia" w:ascii="仿宋" w:hAnsi="仿宋" w:eastAsia="仿宋"/>
              </w:rPr>
              <w:t>保障本区机关工作正常高效运转。</w:t>
            </w:r>
          </w:p>
        </w:tc>
        <w:tc>
          <w:tcPr>
            <w:tcW w:w="1365" w:type="dxa"/>
            <w:shd w:val="clear" w:color="auto" w:fill="auto"/>
            <w:vAlign w:val="center"/>
          </w:tcPr>
          <w:p>
            <w:pPr>
              <w:spacing w:line="300" w:lineRule="exact"/>
              <w:jc w:val="left"/>
              <w:rPr>
                <w:rFonts w:ascii="仿宋" w:hAnsi="仿宋" w:eastAsia="仿宋"/>
              </w:rPr>
            </w:pPr>
          </w:p>
        </w:tc>
        <w:tc>
          <w:tcPr>
            <w:tcW w:w="795" w:type="dxa"/>
            <w:shd w:val="clear" w:color="auto" w:fill="auto"/>
            <w:vAlign w:val="center"/>
          </w:tcPr>
          <w:p>
            <w:pPr>
              <w:spacing w:line="300" w:lineRule="exact"/>
              <w:jc w:val="center"/>
              <w:rPr>
                <w:rFonts w:ascii="仿宋" w:hAnsi="仿宋" w:eastAsia="仿宋"/>
              </w:rPr>
            </w:pPr>
          </w:p>
        </w:tc>
        <w:tc>
          <w:tcPr>
            <w:tcW w:w="911" w:type="dxa"/>
            <w:shd w:val="clear" w:color="auto" w:fill="auto"/>
            <w:vAlign w:val="center"/>
          </w:tcPr>
          <w:p>
            <w:pPr>
              <w:spacing w:line="300" w:lineRule="exact"/>
              <w:jc w:val="center"/>
              <w:rPr>
                <w:rFonts w:ascii="仿宋" w:hAnsi="仿宋" w:eastAsia="仿宋"/>
              </w:rPr>
            </w:pPr>
          </w:p>
        </w:tc>
        <w:tc>
          <w:tcPr>
            <w:tcW w:w="853" w:type="dxa"/>
            <w:shd w:val="clear" w:color="auto" w:fill="auto"/>
            <w:vAlign w:val="center"/>
          </w:tcPr>
          <w:p>
            <w:pPr>
              <w:spacing w:line="300" w:lineRule="exact"/>
              <w:jc w:val="center"/>
              <w:rPr>
                <w:rFonts w:ascii="仿宋" w:hAnsi="仿宋" w:eastAsia="仿宋"/>
              </w:rPr>
            </w:pPr>
          </w:p>
        </w:tc>
        <w:tc>
          <w:tcPr>
            <w:tcW w:w="840" w:type="dxa"/>
            <w:shd w:val="clear" w:color="auto" w:fill="auto"/>
            <w:vAlign w:val="center"/>
          </w:tcPr>
          <w:p>
            <w:pPr>
              <w:spacing w:line="300" w:lineRule="exact"/>
              <w:jc w:val="center"/>
              <w:rPr>
                <w:rFonts w:ascii="仿宋" w:hAnsi="仿宋" w:eastAsia="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80" w:type="dxa"/>
            <w:shd w:val="clear" w:color="auto" w:fill="auto"/>
            <w:vAlign w:val="center"/>
          </w:tcPr>
          <w:p>
            <w:pPr>
              <w:spacing w:line="300" w:lineRule="exact"/>
              <w:jc w:val="left"/>
              <w:rPr>
                <w:rFonts w:ascii="仿宋" w:hAnsi="仿宋" w:eastAsia="仿宋"/>
                <w:b/>
              </w:rPr>
            </w:pPr>
            <w:r>
              <w:rPr>
                <w:rFonts w:hint="eastAsia" w:ascii="仿宋" w:hAnsi="仿宋" w:eastAsia="仿宋"/>
                <w:b/>
              </w:rPr>
              <w:t>　　</w:t>
            </w:r>
            <w:r>
              <w:rPr>
                <w:rFonts w:ascii="仿宋" w:hAnsi="仿宋" w:eastAsia="仿宋"/>
                <w:b/>
              </w:rPr>
              <w:t>1</w:t>
            </w:r>
            <w:r>
              <w:rPr>
                <w:rFonts w:hint="eastAsia" w:ascii="仿宋" w:hAnsi="仿宋" w:eastAsia="仿宋"/>
                <w:b/>
              </w:rPr>
              <w:t>、综合事务管理</w:t>
            </w:r>
          </w:p>
        </w:tc>
        <w:tc>
          <w:tcPr>
            <w:tcW w:w="853" w:type="dxa"/>
            <w:shd w:val="clear" w:color="auto" w:fill="auto"/>
            <w:vAlign w:val="center"/>
          </w:tcPr>
          <w:p>
            <w:pPr>
              <w:spacing w:line="300" w:lineRule="exact"/>
              <w:jc w:val="left"/>
              <w:rPr>
                <w:rFonts w:ascii="仿宋" w:hAnsi="仿宋" w:eastAsia="仿宋"/>
              </w:rPr>
            </w:pPr>
            <w:r>
              <w:rPr>
                <w:rFonts w:ascii="仿宋" w:hAnsi="仿宋" w:eastAsia="仿宋"/>
              </w:rPr>
              <w:t>15.00</w:t>
            </w:r>
          </w:p>
        </w:tc>
        <w:tc>
          <w:tcPr>
            <w:tcW w:w="3897" w:type="dxa"/>
            <w:shd w:val="clear" w:color="auto" w:fill="auto"/>
            <w:vAlign w:val="center"/>
          </w:tcPr>
          <w:p>
            <w:pPr>
              <w:spacing w:line="300" w:lineRule="exact"/>
              <w:jc w:val="left"/>
              <w:rPr>
                <w:rFonts w:ascii="仿宋" w:hAnsi="仿宋" w:eastAsia="仿宋"/>
              </w:rPr>
            </w:pPr>
            <w:r>
              <w:rPr>
                <w:rFonts w:hint="eastAsia" w:ascii="仿宋" w:hAnsi="仿宋" w:eastAsia="仿宋"/>
              </w:rPr>
              <w:t>维护档案馆库房设备、档案网运营管理、机关设施，做好全区档案工作会议和专业性会议的组织工作。推进档案事业，做好监督指导，建设档案干部队伍，组织相关培训、表彰，推进全区各类档案馆室建设和新农村建档。</w:t>
            </w:r>
          </w:p>
        </w:tc>
        <w:tc>
          <w:tcPr>
            <w:tcW w:w="2985" w:type="dxa"/>
            <w:shd w:val="clear" w:color="auto" w:fill="auto"/>
            <w:vAlign w:val="center"/>
          </w:tcPr>
          <w:p>
            <w:pPr>
              <w:spacing w:line="300" w:lineRule="exact"/>
              <w:jc w:val="left"/>
              <w:rPr>
                <w:rFonts w:ascii="仿宋" w:hAnsi="仿宋" w:eastAsia="仿宋"/>
              </w:rPr>
            </w:pPr>
            <w:r>
              <w:rPr>
                <w:rFonts w:hint="eastAsia" w:ascii="仿宋" w:hAnsi="仿宋" w:eastAsia="仿宋"/>
              </w:rPr>
              <w:t>保障机关工作正常高效运转。完成信息更新，保证网站正常运营。提升财务工作管理水平，促进财务行为合法、规范；确保会议经费不突破预算。规划合理，实施到位，管理科学，宣传到位，使全区档案事业有序快速发展，为现代化建设服务。</w:t>
            </w:r>
          </w:p>
        </w:tc>
        <w:tc>
          <w:tcPr>
            <w:tcW w:w="1365" w:type="dxa"/>
            <w:shd w:val="clear" w:color="auto" w:fill="auto"/>
            <w:vAlign w:val="center"/>
          </w:tcPr>
          <w:p>
            <w:pPr>
              <w:spacing w:line="300" w:lineRule="exact"/>
              <w:jc w:val="left"/>
              <w:rPr>
                <w:rFonts w:ascii="仿宋" w:hAnsi="仿宋" w:eastAsia="仿宋"/>
              </w:rPr>
            </w:pPr>
            <w:r>
              <w:rPr>
                <w:rFonts w:hint="eastAsia" w:ascii="仿宋" w:hAnsi="仿宋" w:eastAsia="仿宋"/>
              </w:rPr>
              <w:t>综合事务管理工作完成率</w:t>
            </w:r>
          </w:p>
        </w:tc>
        <w:tc>
          <w:tcPr>
            <w:tcW w:w="795" w:type="dxa"/>
            <w:shd w:val="clear" w:color="auto" w:fill="auto"/>
            <w:vAlign w:val="center"/>
          </w:tcPr>
          <w:p>
            <w:pPr>
              <w:spacing w:line="300" w:lineRule="exact"/>
              <w:jc w:val="center"/>
              <w:rPr>
                <w:rFonts w:ascii="仿宋" w:hAnsi="仿宋" w:eastAsia="仿宋"/>
              </w:rPr>
            </w:pPr>
            <w:r>
              <w:rPr>
                <w:rFonts w:ascii="仿宋" w:hAnsi="仿宋" w:eastAsia="仿宋"/>
              </w:rPr>
              <w:t>100%</w:t>
            </w:r>
          </w:p>
        </w:tc>
        <w:tc>
          <w:tcPr>
            <w:tcW w:w="911"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95%</w:t>
            </w:r>
          </w:p>
        </w:tc>
        <w:tc>
          <w:tcPr>
            <w:tcW w:w="853"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90%</w:t>
            </w:r>
          </w:p>
        </w:tc>
        <w:tc>
          <w:tcPr>
            <w:tcW w:w="840" w:type="dxa"/>
            <w:shd w:val="clear" w:color="auto" w:fill="auto"/>
            <w:vAlign w:val="center"/>
          </w:tcPr>
          <w:p>
            <w:pPr>
              <w:spacing w:line="300" w:lineRule="exact"/>
              <w:jc w:val="center"/>
              <w:rPr>
                <w:rFonts w:ascii="仿宋" w:hAnsi="仿宋" w:eastAsia="仿宋"/>
              </w:rPr>
            </w:pPr>
            <w:r>
              <w:rPr>
                <w:rFonts w:ascii="仿宋" w:hAnsi="仿宋" w:eastAsia="仿宋"/>
              </w:rPr>
              <w:t>&lt;90%</w:t>
            </w:r>
          </w:p>
        </w:tc>
      </w:tr>
    </w:tbl>
    <w:p>
      <w:pPr>
        <w:autoSpaceDE w:val="0"/>
        <w:autoSpaceDN w:val="0"/>
        <w:adjustRightInd w:val="0"/>
        <w:ind w:left="200"/>
        <w:jc w:val="left"/>
        <w:rPr>
          <w:rFonts w:ascii="仿宋" w:hAnsi="仿宋" w:eastAsia="仿宋" w:cs="宋体"/>
          <w:kern w:val="0"/>
          <w:sz w:val="18"/>
          <w:szCs w:val="18"/>
          <w:lang w:val="zh-CN"/>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3" w:firstLineChars="200"/>
        <w:jc w:val="left"/>
        <w:rPr>
          <w:rFonts w:ascii="仿宋" w:hAnsi="仿宋" w:eastAsia="仿宋" w:cs="Times New Roman"/>
          <w:b/>
          <w:sz w:val="32"/>
          <w:szCs w:val="32"/>
        </w:rPr>
      </w:pPr>
      <w:r>
        <w:rPr>
          <w:rFonts w:hint="eastAsia" w:ascii="仿宋" w:hAnsi="仿宋" w:eastAsia="仿宋" w:cs="Times New Roman"/>
          <w:b/>
          <w:sz w:val="32"/>
          <w:szCs w:val="32"/>
        </w:rPr>
        <w:t>六、政府采购预算情况</w:t>
      </w:r>
    </w:p>
    <w:tbl>
      <w:tblPr>
        <w:tblStyle w:val="8"/>
        <w:tblW w:w="0" w:type="auto"/>
        <w:tblInd w:w="0" w:type="dxa"/>
        <w:tblLayout w:type="fixed"/>
        <w:tblCellMar>
          <w:top w:w="15" w:type="dxa"/>
          <w:left w:w="15" w:type="dxa"/>
          <w:bottom w:w="15" w:type="dxa"/>
          <w:right w:w="15" w:type="dxa"/>
        </w:tblCellMar>
      </w:tblPr>
      <w:tblGrid>
        <w:gridCol w:w="1279"/>
        <w:gridCol w:w="1276"/>
        <w:gridCol w:w="1054"/>
        <w:gridCol w:w="1068"/>
        <w:gridCol w:w="734"/>
        <w:gridCol w:w="529"/>
        <w:gridCol w:w="663"/>
        <w:gridCol w:w="877"/>
        <w:gridCol w:w="1066"/>
        <w:gridCol w:w="1057"/>
        <w:gridCol w:w="1066"/>
        <w:gridCol w:w="1054"/>
        <w:gridCol w:w="1056"/>
        <w:gridCol w:w="1054"/>
      </w:tblGrid>
      <w:tr>
        <w:tblPrEx>
          <w:tblCellMar>
            <w:top w:w="15" w:type="dxa"/>
            <w:left w:w="15" w:type="dxa"/>
            <w:bottom w:w="15" w:type="dxa"/>
            <w:right w:w="15" w:type="dxa"/>
          </w:tblCellMar>
        </w:tblPrEx>
        <w:trPr>
          <w:trHeight w:val="370" w:hRule="atLeast"/>
        </w:trPr>
        <w:tc>
          <w:tcPr>
            <w:tcW w:w="255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政府采购项目来源</w:t>
            </w:r>
          </w:p>
        </w:tc>
        <w:tc>
          <w:tcPr>
            <w:tcW w:w="1054"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采购物品名称</w:t>
            </w:r>
          </w:p>
        </w:tc>
        <w:tc>
          <w:tcPr>
            <w:tcW w:w="1068"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政府采购目录序号</w:t>
            </w:r>
          </w:p>
        </w:tc>
        <w:tc>
          <w:tcPr>
            <w:tcW w:w="734"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  单位</w:t>
            </w:r>
          </w:p>
        </w:tc>
        <w:tc>
          <w:tcPr>
            <w:tcW w:w="529"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w:t>
            </w:r>
          </w:p>
        </w:tc>
        <w:tc>
          <w:tcPr>
            <w:tcW w:w="663"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单价</w:t>
            </w:r>
          </w:p>
        </w:tc>
        <w:tc>
          <w:tcPr>
            <w:tcW w:w="7230" w:type="dxa"/>
            <w:gridSpan w:val="7"/>
            <w:tcBorders>
              <w:top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政府采购金额</w:t>
            </w:r>
          </w:p>
        </w:tc>
      </w:tr>
      <w:tr>
        <w:tblPrEx>
          <w:tblCellMar>
            <w:top w:w="15" w:type="dxa"/>
            <w:left w:w="15" w:type="dxa"/>
            <w:bottom w:w="15" w:type="dxa"/>
            <w:right w:w="15" w:type="dxa"/>
          </w:tblCellMar>
        </w:tblPrEx>
        <w:trPr>
          <w:trHeight w:val="370" w:hRule="atLeast"/>
        </w:trPr>
        <w:tc>
          <w:tcPr>
            <w:tcW w:w="1279" w:type="dxa"/>
            <w:vMerge w:val="restart"/>
            <w:tcBorders>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项目名称</w:t>
            </w:r>
          </w:p>
        </w:tc>
        <w:tc>
          <w:tcPr>
            <w:tcW w:w="1276" w:type="dxa"/>
            <w:vMerge w:val="restart"/>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预算资金</w:t>
            </w:r>
          </w:p>
        </w:tc>
        <w:tc>
          <w:tcPr>
            <w:tcW w:w="1054"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68"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734"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529"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663"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877"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总计</w:t>
            </w:r>
          </w:p>
        </w:tc>
        <w:tc>
          <w:tcPr>
            <w:tcW w:w="5299" w:type="dxa"/>
            <w:gridSpan w:val="5"/>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当年部门预算安排资金</w:t>
            </w:r>
          </w:p>
        </w:tc>
        <w:tc>
          <w:tcPr>
            <w:tcW w:w="1054"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其他渠道资金</w:t>
            </w:r>
          </w:p>
        </w:tc>
      </w:tr>
      <w:tr>
        <w:tblPrEx>
          <w:tblCellMar>
            <w:top w:w="15" w:type="dxa"/>
            <w:left w:w="15" w:type="dxa"/>
            <w:bottom w:w="15" w:type="dxa"/>
            <w:right w:w="15" w:type="dxa"/>
          </w:tblCellMar>
        </w:tblPrEx>
        <w:trPr>
          <w:trHeight w:val="662" w:hRule="atLeast"/>
        </w:trPr>
        <w:tc>
          <w:tcPr>
            <w:tcW w:w="1279" w:type="dxa"/>
            <w:vMerge w:val="continue"/>
            <w:tcBorders>
              <w:left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276" w:type="dxa"/>
            <w:vMerge w:val="continue"/>
            <w:tcBorders>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54"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68"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734"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529"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663"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877"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66" w:type="dxa"/>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合计</w:t>
            </w:r>
          </w:p>
        </w:tc>
        <w:tc>
          <w:tcPr>
            <w:tcW w:w="1057" w:type="dxa"/>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一般公共预算拨款</w:t>
            </w:r>
          </w:p>
        </w:tc>
        <w:tc>
          <w:tcPr>
            <w:tcW w:w="1066"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基金预算拨款</w:t>
            </w:r>
          </w:p>
        </w:tc>
        <w:tc>
          <w:tcPr>
            <w:tcW w:w="1054"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财政专户核拨</w:t>
            </w:r>
          </w:p>
        </w:tc>
        <w:tc>
          <w:tcPr>
            <w:tcW w:w="1056"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其他来源收入</w:t>
            </w:r>
          </w:p>
        </w:tc>
        <w:tc>
          <w:tcPr>
            <w:tcW w:w="1054"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r>
      <w:tr>
        <w:tblPrEx>
          <w:tblCellMar>
            <w:top w:w="15" w:type="dxa"/>
            <w:left w:w="15" w:type="dxa"/>
            <w:bottom w:w="15" w:type="dxa"/>
            <w:right w:w="15" w:type="dxa"/>
          </w:tblCellMar>
        </w:tblPrEx>
        <w:trPr>
          <w:trHeight w:val="532" w:hRule="atLeast"/>
        </w:trPr>
        <w:tc>
          <w:tcPr>
            <w:tcW w:w="127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　计</w:t>
            </w:r>
          </w:p>
        </w:tc>
        <w:tc>
          <w:tcPr>
            <w:tcW w:w="1276"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4" w:type="dxa"/>
            <w:tcBorders>
              <w:top w:val="single" w:color="000000" w:sz="4" w:space="0"/>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1068" w:type="dxa"/>
            <w:tcBorders>
              <w:top w:val="single" w:color="000000" w:sz="4" w:space="0"/>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734" w:type="dxa"/>
            <w:tcBorders>
              <w:top w:val="single" w:color="000000" w:sz="4" w:space="0"/>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529"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663"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877"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6"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6"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54"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6"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4"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r>
      <w:tr>
        <w:tblPrEx>
          <w:tblCellMar>
            <w:top w:w="15" w:type="dxa"/>
            <w:left w:w="15" w:type="dxa"/>
            <w:bottom w:w="15" w:type="dxa"/>
            <w:right w:w="15" w:type="dxa"/>
          </w:tblCellMar>
        </w:tblPrEx>
        <w:trPr>
          <w:trHeight w:val="449" w:hRule="atLeast"/>
        </w:trPr>
        <w:tc>
          <w:tcPr>
            <w:tcW w:w="1279" w:type="dxa"/>
            <w:tcBorders>
              <w:left w:val="single" w:color="000000" w:sz="4" w:space="0"/>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color w:val="000000"/>
                <w:szCs w:val="21"/>
              </w:rPr>
            </w:pPr>
          </w:p>
        </w:tc>
        <w:tc>
          <w:tcPr>
            <w:tcW w:w="1276"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54" w:type="dxa"/>
            <w:tcBorders>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color w:val="000000"/>
                <w:szCs w:val="21"/>
              </w:rPr>
            </w:pPr>
          </w:p>
        </w:tc>
        <w:tc>
          <w:tcPr>
            <w:tcW w:w="1068" w:type="dxa"/>
            <w:tcBorders>
              <w:bottom w:val="single" w:color="000000" w:sz="4" w:space="0"/>
              <w:right w:val="single" w:color="000000" w:sz="4" w:space="0"/>
            </w:tcBorders>
            <w:vAlign w:val="center"/>
          </w:tcPr>
          <w:p>
            <w:pPr>
              <w:widowControl/>
              <w:jc w:val="left"/>
              <w:textAlignment w:val="center"/>
              <w:rPr>
                <w:rFonts w:ascii="方正书宋_GBK" w:hAnsi="方正书宋_GBK" w:cs="方正书宋_GBK"/>
                <w:color w:val="000000"/>
                <w:szCs w:val="21"/>
              </w:rPr>
            </w:pPr>
          </w:p>
        </w:tc>
        <w:tc>
          <w:tcPr>
            <w:tcW w:w="734" w:type="dxa"/>
            <w:tcBorders>
              <w:bottom w:val="single" w:color="000000" w:sz="4" w:space="0"/>
              <w:right w:val="single" w:color="000000" w:sz="4" w:space="0"/>
            </w:tcBorders>
            <w:vAlign w:val="center"/>
          </w:tcPr>
          <w:p>
            <w:pPr>
              <w:widowControl/>
              <w:jc w:val="left"/>
              <w:textAlignment w:val="center"/>
              <w:rPr>
                <w:rFonts w:ascii="方正书宋_GBK" w:hAnsi="方正书宋_GBK" w:cs="方正书宋_GBK"/>
                <w:color w:val="000000"/>
                <w:szCs w:val="21"/>
              </w:rPr>
            </w:pPr>
          </w:p>
        </w:tc>
        <w:tc>
          <w:tcPr>
            <w:tcW w:w="52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663"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877"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6"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6"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4"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6"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4"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r>
      <w:tr>
        <w:tblPrEx>
          <w:tblCellMar>
            <w:top w:w="15" w:type="dxa"/>
            <w:left w:w="15" w:type="dxa"/>
            <w:bottom w:w="15" w:type="dxa"/>
            <w:right w:w="15" w:type="dxa"/>
          </w:tblCellMar>
        </w:tblPrEx>
        <w:trPr>
          <w:trHeight w:val="486" w:hRule="atLeast"/>
        </w:trPr>
        <w:tc>
          <w:tcPr>
            <w:tcW w:w="1279" w:type="dxa"/>
            <w:tcBorders>
              <w:left w:val="single" w:color="000000" w:sz="4" w:space="0"/>
              <w:bottom w:val="single" w:color="000000" w:sz="4" w:space="0"/>
              <w:right w:val="single" w:color="000000" w:sz="4" w:space="0"/>
            </w:tcBorders>
            <w:vAlign w:val="center"/>
          </w:tcPr>
          <w:p>
            <w:pPr>
              <w:widowControl/>
              <w:jc w:val="left"/>
              <w:textAlignment w:val="center"/>
              <w:rPr>
                <w:rFonts w:ascii="方正书宋_GBK" w:hAnsi="方正书宋_GBK" w:cs="方正书宋_GBK"/>
                <w:color w:val="000000"/>
                <w:szCs w:val="21"/>
              </w:rPr>
            </w:pPr>
          </w:p>
        </w:tc>
        <w:tc>
          <w:tcPr>
            <w:tcW w:w="1276"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54" w:type="dxa"/>
            <w:tcBorders>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color w:val="000000"/>
                <w:szCs w:val="21"/>
              </w:rPr>
            </w:pPr>
          </w:p>
        </w:tc>
        <w:tc>
          <w:tcPr>
            <w:tcW w:w="1068" w:type="dxa"/>
            <w:tcBorders>
              <w:bottom w:val="single" w:color="000000" w:sz="4" w:space="0"/>
              <w:right w:val="single" w:color="000000" w:sz="4" w:space="0"/>
            </w:tcBorders>
            <w:vAlign w:val="center"/>
          </w:tcPr>
          <w:p>
            <w:pPr>
              <w:widowControl/>
              <w:jc w:val="left"/>
              <w:textAlignment w:val="center"/>
              <w:rPr>
                <w:rFonts w:ascii="方正书宋_GBK" w:hAnsi="方正书宋_GBK" w:cs="方正书宋_GBK"/>
                <w:color w:val="000000"/>
                <w:szCs w:val="21"/>
              </w:rPr>
            </w:pPr>
          </w:p>
        </w:tc>
        <w:tc>
          <w:tcPr>
            <w:tcW w:w="734" w:type="dxa"/>
            <w:tcBorders>
              <w:bottom w:val="single" w:color="000000" w:sz="4" w:space="0"/>
              <w:right w:val="single" w:color="000000" w:sz="4" w:space="0"/>
            </w:tcBorders>
            <w:vAlign w:val="center"/>
          </w:tcPr>
          <w:p>
            <w:pPr>
              <w:widowControl/>
              <w:jc w:val="left"/>
              <w:textAlignment w:val="center"/>
              <w:rPr>
                <w:rFonts w:ascii="方正书宋_GBK" w:hAnsi="方正书宋_GBK" w:cs="方正书宋_GBK"/>
                <w:color w:val="000000"/>
                <w:szCs w:val="21"/>
              </w:rPr>
            </w:pPr>
          </w:p>
        </w:tc>
        <w:tc>
          <w:tcPr>
            <w:tcW w:w="52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663"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877"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6"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6"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4"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6"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4"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r>
    </w:tbl>
    <w:p>
      <w:pPr>
        <w:spacing w:afterLines="50" w:line="600" w:lineRule="exact"/>
        <w:ind w:firstLine="627" w:firstLineChars="196"/>
        <w:rPr>
          <w:rFonts w:ascii="仿宋" w:hAnsi="仿宋" w:eastAsia="仿宋" w:cs="宋体"/>
          <w:b/>
          <w:color w:val="000000"/>
          <w:kern w:val="0"/>
          <w:sz w:val="32"/>
          <w:szCs w:val="32"/>
        </w:rPr>
      </w:pPr>
      <w:r>
        <w:rPr>
          <w:rFonts w:hint="eastAsia" w:ascii="仿宋" w:hAnsi="仿宋" w:eastAsia="仿宋" w:cs="宋体"/>
          <w:kern w:val="0"/>
          <w:sz w:val="32"/>
          <w:szCs w:val="32"/>
        </w:rPr>
        <w:t>2019年度</w:t>
      </w:r>
      <w:r>
        <w:rPr>
          <w:rFonts w:hint="eastAsia" w:ascii="仿宋" w:hAnsi="仿宋" w:eastAsia="仿宋" w:cs="宋体"/>
          <w:kern w:val="0"/>
          <w:sz w:val="32"/>
          <w:szCs w:val="32"/>
          <w:lang w:eastAsia="zh-CN"/>
        </w:rPr>
        <w:t>，本部门安排政府采购预算</w:t>
      </w:r>
      <w:r>
        <w:rPr>
          <w:rFonts w:hint="eastAsia" w:ascii="仿宋" w:hAnsi="仿宋" w:eastAsia="仿宋" w:cs="宋体"/>
          <w:kern w:val="0"/>
          <w:sz w:val="32"/>
          <w:szCs w:val="32"/>
          <w:lang w:val="en-US" w:eastAsia="zh-CN"/>
        </w:rPr>
        <w:t>0万元，</w:t>
      </w:r>
      <w:r>
        <w:rPr>
          <w:rFonts w:hint="eastAsia" w:ascii="仿宋" w:hAnsi="仿宋" w:eastAsia="仿宋" w:cs="宋体"/>
          <w:kern w:val="0"/>
          <w:sz w:val="32"/>
          <w:szCs w:val="32"/>
        </w:rPr>
        <w:t>无政府采购</w:t>
      </w:r>
      <w:r>
        <w:rPr>
          <w:rFonts w:hint="eastAsia" w:ascii="仿宋" w:hAnsi="仿宋" w:eastAsia="仿宋" w:cs="宋体"/>
          <w:kern w:val="0"/>
          <w:sz w:val="32"/>
          <w:szCs w:val="32"/>
          <w:lang w:eastAsia="zh-CN"/>
        </w:rPr>
        <w:t>相关计划</w:t>
      </w:r>
      <w:r>
        <w:rPr>
          <w:rFonts w:hint="eastAsia" w:ascii="仿宋" w:hAnsi="仿宋" w:eastAsia="仿宋" w:cs="宋体"/>
          <w:kern w:val="0"/>
          <w:sz w:val="32"/>
          <w:szCs w:val="32"/>
        </w:rPr>
        <w:t>，空表列示。</w:t>
      </w:r>
    </w:p>
    <w:p>
      <w:pPr>
        <w:autoSpaceDE w:val="0"/>
        <w:autoSpaceDN w:val="0"/>
        <w:adjustRightInd w:val="0"/>
        <w:ind w:firstLine="643" w:firstLineChars="200"/>
        <w:jc w:val="left"/>
        <w:rPr>
          <w:rFonts w:ascii="仿宋" w:hAnsi="仿宋" w:eastAsia="仿宋" w:cs="Times New Roman"/>
          <w:b/>
          <w:sz w:val="32"/>
          <w:szCs w:val="32"/>
        </w:rPr>
      </w:pPr>
      <w:r>
        <w:rPr>
          <w:rFonts w:hint="eastAsia" w:ascii="仿宋" w:hAnsi="仿宋" w:eastAsia="仿宋" w:cs="Times New Roman"/>
          <w:b/>
          <w:sz w:val="32"/>
          <w:szCs w:val="32"/>
        </w:rPr>
        <w:t>七、国有资产信息</w:t>
      </w:r>
    </w:p>
    <w:p>
      <w:pPr>
        <w:ind w:firstLine="640" w:firstLineChars="200"/>
        <w:rPr>
          <w:rFonts w:ascii="仿宋" w:hAnsi="仿宋" w:eastAsia="仿宋" w:cs="仿宋"/>
          <w:sz w:val="32"/>
          <w:szCs w:val="32"/>
        </w:rPr>
      </w:pPr>
      <w:r>
        <w:rPr>
          <w:rFonts w:hint="eastAsia" w:ascii="仿宋" w:hAnsi="仿宋" w:eastAsia="仿宋" w:cs="仿宋"/>
          <w:sz w:val="32"/>
          <w:szCs w:val="32"/>
        </w:rPr>
        <w:t>石家庄市鹿泉区档案馆（含所属单位）上年末固定资产金额为106.73万元（详见下表），本年度拟购置固定资产总额为2万元，主要为计算机设备、办公家具等。</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shd w:val="clear" w:color="auto" w:fill="auto"/>
            <w:vAlign w:val="center"/>
          </w:tcPr>
          <w:p>
            <w:pPr>
              <w:widowControl/>
              <w:jc w:val="center"/>
              <w:rPr>
                <w:rFonts w:ascii="宋体" w:hAnsi="宋体" w:eastAsia="宋体" w:cs="宋体"/>
                <w:b/>
                <w:bCs/>
                <w:kern w:val="0"/>
                <w:sz w:val="32"/>
                <w:szCs w:val="32"/>
              </w:rPr>
            </w:pPr>
          </w:p>
          <w:p>
            <w:pPr>
              <w:widowControl/>
              <w:jc w:val="center"/>
              <w:rPr>
                <w:rFonts w:ascii="宋体" w:hAnsi="宋体" w:eastAsia="宋体" w:cs="宋体"/>
                <w:b/>
                <w:bCs/>
                <w:kern w:val="0"/>
                <w:sz w:val="32"/>
                <w:szCs w:val="32"/>
              </w:rPr>
            </w:pPr>
          </w:p>
          <w:p>
            <w:pPr>
              <w:widowControl/>
              <w:jc w:val="center"/>
              <w:rPr>
                <w:rFonts w:ascii="仿宋" w:hAnsi="仿宋" w:eastAsia="仿宋" w:cs="宋体"/>
                <w:b/>
                <w:bCs/>
                <w:kern w:val="0"/>
                <w:sz w:val="32"/>
                <w:szCs w:val="32"/>
              </w:rPr>
            </w:pPr>
            <w:r>
              <w:rPr>
                <w:rFonts w:hint="eastAsia" w:ascii="仿宋" w:hAnsi="仿宋" w:eastAsia="仿宋" w:cs="宋体"/>
                <w:b/>
                <w:bCs/>
                <w:kern w:val="0"/>
                <w:sz w:val="32"/>
                <w:szCs w:val="32"/>
              </w:rPr>
              <w:t>河北省省直部门固定资产占用情况表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 xml:space="preserve">编制部门：石家庄市鹿泉区档案馆    </w:t>
            </w:r>
          </w:p>
        </w:tc>
        <w:tc>
          <w:tcPr>
            <w:tcW w:w="5103" w:type="dxa"/>
            <w:tcBorders>
              <w:top w:val="nil"/>
              <w:left w:val="nil"/>
              <w:bottom w:val="nil"/>
              <w:right w:val="nil"/>
            </w:tcBorders>
            <w:shd w:val="clear" w:color="auto" w:fill="auto"/>
            <w:vAlign w:val="center"/>
          </w:tcPr>
          <w:p>
            <w:pPr>
              <w:widowControl/>
              <w:ind w:firstLine="1210" w:firstLineChars="550"/>
              <w:jc w:val="left"/>
              <w:rPr>
                <w:rFonts w:ascii="仿宋" w:hAnsi="仿宋" w:eastAsia="仿宋" w:cs="宋体"/>
                <w:kern w:val="0"/>
                <w:sz w:val="22"/>
              </w:rPr>
            </w:pPr>
            <w:r>
              <w:rPr>
                <w:rFonts w:hint="eastAsia" w:ascii="仿宋" w:hAnsi="仿宋" w:eastAsia="仿宋" w:cs="宋体"/>
                <w:kern w:val="0"/>
                <w:sz w:val="22"/>
              </w:rPr>
              <w:t xml:space="preserve">截止时间：2018年12月31日  </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b/>
                <w:bCs/>
                <w:kern w:val="0"/>
                <w:sz w:val="22"/>
              </w:rPr>
            </w:pPr>
            <w:r>
              <w:rPr>
                <w:rFonts w:hint="eastAsia" w:ascii="仿宋" w:hAnsi="仿宋" w:eastAsia="仿宋" w:cs="宋体"/>
                <w:b/>
                <w:bCs/>
                <w:kern w:val="0"/>
                <w:sz w:val="22"/>
              </w:rPr>
              <w:t>项   目</w:t>
            </w:r>
          </w:p>
        </w:tc>
        <w:tc>
          <w:tcPr>
            <w:tcW w:w="315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仿宋" w:hAnsi="仿宋" w:eastAsia="仿宋" w:cs="宋体"/>
                <w:b/>
                <w:bCs/>
                <w:kern w:val="0"/>
                <w:sz w:val="22"/>
              </w:rPr>
            </w:pPr>
            <w:r>
              <w:rPr>
                <w:rFonts w:hint="eastAsia" w:ascii="仿宋" w:hAnsi="仿宋" w:eastAsia="仿宋" w:cs="宋体"/>
                <w:b/>
                <w:bCs/>
                <w:kern w:val="0"/>
                <w:sz w:val="22"/>
              </w:rPr>
              <w:t>数量</w:t>
            </w:r>
          </w:p>
        </w:tc>
        <w:tc>
          <w:tcPr>
            <w:tcW w:w="5103"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仿宋" w:hAnsi="仿宋" w:eastAsia="仿宋" w:cs="宋体"/>
                <w:b/>
                <w:bCs/>
                <w:kern w:val="0"/>
                <w:sz w:val="22"/>
              </w:rPr>
            </w:pPr>
            <w:r>
              <w:rPr>
                <w:rFonts w:hint="eastAsia" w:ascii="仿宋" w:hAnsi="仿宋" w:eastAsia="仿宋"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2"/>
              </w:rPr>
            </w:pPr>
            <w:r>
              <w:rPr>
                <w:rFonts w:hint="eastAsia" w:ascii="仿宋" w:hAnsi="仿宋" w:eastAsia="仿宋" w:cs="宋体"/>
                <w:kern w:val="0"/>
                <w:sz w:val="22"/>
              </w:rPr>
              <w:t>资产总额</w:t>
            </w:r>
          </w:p>
        </w:tc>
        <w:tc>
          <w:tcPr>
            <w:tcW w:w="3155" w:type="dxa"/>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Times New Roman"/>
                <w:kern w:val="0"/>
                <w:sz w:val="22"/>
              </w:rPr>
            </w:pPr>
            <w:r>
              <w:rPr>
                <w:rFonts w:ascii="仿宋" w:hAnsi="仿宋" w:eastAsia="仿宋" w:cs="Times New Roman"/>
                <w:kern w:val="0"/>
                <w:sz w:val="22"/>
              </w:rPr>
              <w:t>——</w:t>
            </w:r>
          </w:p>
        </w:tc>
        <w:tc>
          <w:tcPr>
            <w:tcW w:w="5103" w:type="dxa"/>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Times New Roman"/>
                <w:kern w:val="0"/>
                <w:sz w:val="22"/>
              </w:rPr>
            </w:pPr>
            <w:r>
              <w:rPr>
                <w:rFonts w:hint="eastAsia" w:ascii="仿宋" w:hAnsi="仿宋" w:eastAsia="仿宋" w:cs="Times New Roman"/>
                <w:kern w:val="0"/>
                <w:sz w:val="22"/>
              </w:rPr>
              <w:t>106.73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1、房屋（平方米）</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仿宋" w:hAnsi="仿宋" w:eastAsia="仿宋" w:cs="Times New Roman"/>
                <w:sz w:val="22"/>
              </w:rPr>
            </w:pPr>
            <w:r>
              <w:rPr>
                <w:rFonts w:ascii="仿宋" w:hAnsi="仿宋" w:eastAsia="仿宋" w:cs="Times New Roman"/>
                <w:kern w:val="0"/>
                <w:sz w:val="22"/>
              </w:rPr>
              <w:t>——</w:t>
            </w:r>
          </w:p>
        </w:tc>
        <w:tc>
          <w:tcPr>
            <w:tcW w:w="5103" w:type="dxa"/>
            <w:tcBorders>
              <w:top w:val="nil"/>
              <w:left w:val="nil"/>
              <w:bottom w:val="single" w:color="auto" w:sz="4" w:space="0"/>
              <w:right w:val="single" w:color="auto" w:sz="4" w:space="0"/>
            </w:tcBorders>
            <w:shd w:val="clear" w:color="auto" w:fill="auto"/>
            <w:vAlign w:val="center"/>
          </w:tcPr>
          <w:p>
            <w:pPr>
              <w:jc w:val="center"/>
              <w:rPr>
                <w:rFonts w:ascii="仿宋" w:hAnsi="仿宋" w:eastAsia="仿宋" w:cs="Times New Roman"/>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 xml:space="preserve">   其中：办公用房（平方米）</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仿宋" w:hAnsi="仿宋" w:eastAsia="仿宋" w:cs="Times New Roman"/>
                <w:sz w:val="22"/>
              </w:rPr>
            </w:pPr>
            <w:r>
              <w:rPr>
                <w:rFonts w:ascii="仿宋" w:hAnsi="仿宋" w:eastAsia="仿宋" w:cs="Times New Roman"/>
                <w:kern w:val="0"/>
                <w:sz w:val="22"/>
              </w:rPr>
              <w:t>——</w:t>
            </w:r>
          </w:p>
        </w:tc>
        <w:tc>
          <w:tcPr>
            <w:tcW w:w="5103" w:type="dxa"/>
            <w:tcBorders>
              <w:top w:val="nil"/>
              <w:left w:val="nil"/>
              <w:bottom w:val="single" w:color="auto" w:sz="4" w:space="0"/>
              <w:right w:val="single" w:color="auto" w:sz="4" w:space="0"/>
            </w:tcBorders>
            <w:shd w:val="clear" w:color="auto" w:fill="auto"/>
            <w:vAlign w:val="center"/>
          </w:tcPr>
          <w:p>
            <w:pPr>
              <w:jc w:val="center"/>
              <w:rPr>
                <w:rFonts w:ascii="仿宋" w:hAnsi="仿宋" w:eastAsia="仿宋" w:cs="Times New Roman"/>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2、车辆（台、辆）</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仿宋" w:hAnsi="仿宋" w:eastAsia="仿宋" w:cs="Times New Roman"/>
                <w:sz w:val="22"/>
              </w:rPr>
            </w:pPr>
            <w:r>
              <w:rPr>
                <w:rFonts w:hint="eastAsia" w:ascii="仿宋" w:hAnsi="仿宋" w:eastAsia="仿宋" w:cs="Times New Roman"/>
                <w:sz w:val="22"/>
              </w:rPr>
              <w:t>0</w:t>
            </w:r>
          </w:p>
        </w:tc>
        <w:tc>
          <w:tcPr>
            <w:tcW w:w="5103" w:type="dxa"/>
            <w:tcBorders>
              <w:top w:val="nil"/>
              <w:left w:val="nil"/>
              <w:bottom w:val="single" w:color="auto" w:sz="4" w:space="0"/>
              <w:right w:val="single" w:color="auto" w:sz="4" w:space="0"/>
            </w:tcBorders>
            <w:shd w:val="clear" w:color="auto" w:fill="auto"/>
            <w:vAlign w:val="center"/>
          </w:tcPr>
          <w:p>
            <w:pPr>
              <w:jc w:val="center"/>
              <w:rPr>
                <w:rFonts w:ascii="仿宋" w:hAnsi="仿宋" w:eastAsia="仿宋" w:cs="Times New Roman"/>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3、单价在20万元以上的设备</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仿宋" w:hAnsi="仿宋" w:eastAsia="仿宋" w:cs="Times New Roman"/>
                <w:sz w:val="22"/>
              </w:rPr>
            </w:pPr>
            <w:r>
              <w:rPr>
                <w:rFonts w:ascii="仿宋" w:hAnsi="仿宋" w:eastAsia="仿宋" w:cs="Times New Roman"/>
                <w:kern w:val="0"/>
                <w:sz w:val="22"/>
              </w:rPr>
              <w:t>——</w:t>
            </w:r>
          </w:p>
        </w:tc>
        <w:tc>
          <w:tcPr>
            <w:tcW w:w="5103" w:type="dxa"/>
            <w:tcBorders>
              <w:top w:val="nil"/>
              <w:left w:val="nil"/>
              <w:bottom w:val="single" w:color="auto" w:sz="4" w:space="0"/>
              <w:right w:val="single" w:color="auto" w:sz="4" w:space="0"/>
            </w:tcBorders>
            <w:shd w:val="clear" w:color="auto" w:fill="auto"/>
            <w:vAlign w:val="center"/>
          </w:tcPr>
          <w:p>
            <w:pPr>
              <w:jc w:val="center"/>
              <w:rPr>
                <w:rFonts w:ascii="仿宋" w:hAnsi="仿宋" w:eastAsia="仿宋" w:cs="Times New Roman"/>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4、其他固定资产</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仿宋" w:hAnsi="仿宋" w:eastAsia="仿宋" w:cs="Times New Roman"/>
                <w:sz w:val="22"/>
              </w:rPr>
            </w:pPr>
            <w:r>
              <w:rPr>
                <w:rFonts w:ascii="仿宋" w:hAnsi="仿宋" w:eastAsia="仿宋" w:cs="Times New Roman"/>
                <w:kern w:val="0"/>
                <w:sz w:val="22"/>
              </w:rPr>
              <w:t>——</w:t>
            </w:r>
          </w:p>
        </w:tc>
        <w:tc>
          <w:tcPr>
            <w:tcW w:w="5103" w:type="dxa"/>
            <w:tcBorders>
              <w:top w:val="nil"/>
              <w:left w:val="nil"/>
              <w:bottom w:val="single" w:color="auto" w:sz="4" w:space="0"/>
              <w:right w:val="single" w:color="auto" w:sz="4" w:space="0"/>
            </w:tcBorders>
            <w:shd w:val="clear" w:color="auto" w:fill="auto"/>
            <w:vAlign w:val="center"/>
          </w:tcPr>
          <w:p>
            <w:pPr>
              <w:jc w:val="center"/>
              <w:rPr>
                <w:rFonts w:ascii="仿宋" w:hAnsi="仿宋" w:eastAsia="仿宋" w:cs="Times New Roman"/>
                <w:sz w:val="22"/>
              </w:rPr>
            </w:pPr>
            <w:r>
              <w:rPr>
                <w:rFonts w:hint="eastAsia" w:ascii="仿宋" w:hAnsi="仿宋" w:eastAsia="仿宋" w:cs="Times New Roman"/>
                <w:sz w:val="22"/>
              </w:rPr>
              <w:t>106.73</w:t>
            </w:r>
          </w:p>
        </w:tc>
      </w:tr>
    </w:tbl>
    <w:p>
      <w:pPr>
        <w:autoSpaceDE w:val="0"/>
        <w:autoSpaceDN w:val="0"/>
        <w:adjustRightInd w:val="0"/>
        <w:spacing w:line="580" w:lineRule="exact"/>
        <w:ind w:left="198" w:firstLine="643" w:firstLineChars="200"/>
        <w:jc w:val="left"/>
        <w:rPr>
          <w:rFonts w:ascii="仿宋" w:hAnsi="仿宋" w:eastAsia="仿宋" w:cs="Times New Roman"/>
          <w:b/>
          <w:sz w:val="32"/>
          <w:szCs w:val="32"/>
        </w:rPr>
      </w:pPr>
      <w:r>
        <w:rPr>
          <w:rFonts w:hint="eastAsia" w:ascii="仿宋" w:hAnsi="仿宋" w:eastAsia="仿宋" w:cs="Times New Roman"/>
          <w:b/>
          <w:sz w:val="32"/>
          <w:szCs w:val="32"/>
        </w:rPr>
        <w:t>八、名词解释</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1、一般公共预算拨款收入：指区级财政当年拨付的资金。</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3、其他收入：指除“一般公共预算拨款收入”、“事业收入”等以外的收入。主要是按规定动用的租房收入、存款利息收入等。</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6、上缴上级支出：指下级单位上缴上级的支出。</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7、“三公”经费：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pPr>
        <w:autoSpaceDE w:val="0"/>
        <w:autoSpaceDN w:val="0"/>
        <w:adjustRightInd w:val="0"/>
        <w:spacing w:line="580" w:lineRule="exact"/>
        <w:ind w:left="198" w:firstLine="643" w:firstLineChars="200"/>
        <w:jc w:val="left"/>
        <w:rPr>
          <w:rFonts w:ascii="仿宋" w:hAnsi="仿宋" w:eastAsia="仿宋" w:cs="Times New Roman"/>
          <w:b/>
          <w:sz w:val="32"/>
          <w:szCs w:val="32"/>
        </w:rPr>
      </w:pPr>
      <w:r>
        <w:rPr>
          <w:rFonts w:hint="eastAsia" w:ascii="仿宋" w:hAnsi="仿宋" w:eastAsia="仿宋" w:cs="Times New Roman"/>
          <w:b/>
          <w:sz w:val="32"/>
          <w:szCs w:val="32"/>
        </w:rPr>
        <w:t>九、其他需要说明的事项</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sectPr>
      <w:pgSz w:w="16838" w:h="11906" w:orient="landscape"/>
      <w:pgMar w:top="1135" w:right="1440" w:bottom="1418"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F66032"/>
    <w:rsid w:val="00034786"/>
    <w:rsid w:val="00037AF6"/>
    <w:rsid w:val="00042F57"/>
    <w:rsid w:val="0006483E"/>
    <w:rsid w:val="00075D5F"/>
    <w:rsid w:val="0008102F"/>
    <w:rsid w:val="000B529B"/>
    <w:rsid w:val="000B6BC3"/>
    <w:rsid w:val="000C3A19"/>
    <w:rsid w:val="001245BB"/>
    <w:rsid w:val="001251A3"/>
    <w:rsid w:val="00165294"/>
    <w:rsid w:val="001B4EF3"/>
    <w:rsid w:val="001F3D6B"/>
    <w:rsid w:val="001F7873"/>
    <w:rsid w:val="00241FD4"/>
    <w:rsid w:val="00251B12"/>
    <w:rsid w:val="00296113"/>
    <w:rsid w:val="002A673A"/>
    <w:rsid w:val="002C07BE"/>
    <w:rsid w:val="002C5E13"/>
    <w:rsid w:val="002C62BC"/>
    <w:rsid w:val="002E0EB8"/>
    <w:rsid w:val="002F3E58"/>
    <w:rsid w:val="002F56A2"/>
    <w:rsid w:val="0030542C"/>
    <w:rsid w:val="00311B7A"/>
    <w:rsid w:val="0035533E"/>
    <w:rsid w:val="00372FA3"/>
    <w:rsid w:val="0037323A"/>
    <w:rsid w:val="003B1BD3"/>
    <w:rsid w:val="003D417F"/>
    <w:rsid w:val="003F60E9"/>
    <w:rsid w:val="004248B8"/>
    <w:rsid w:val="00424943"/>
    <w:rsid w:val="0043175C"/>
    <w:rsid w:val="00437296"/>
    <w:rsid w:val="00451590"/>
    <w:rsid w:val="00451871"/>
    <w:rsid w:val="00457872"/>
    <w:rsid w:val="004631FC"/>
    <w:rsid w:val="004706DE"/>
    <w:rsid w:val="00472923"/>
    <w:rsid w:val="00496109"/>
    <w:rsid w:val="004B0C3A"/>
    <w:rsid w:val="004D5788"/>
    <w:rsid w:val="004E3066"/>
    <w:rsid w:val="004E74CD"/>
    <w:rsid w:val="00516E04"/>
    <w:rsid w:val="00553103"/>
    <w:rsid w:val="00565588"/>
    <w:rsid w:val="00572067"/>
    <w:rsid w:val="00573562"/>
    <w:rsid w:val="00590ECE"/>
    <w:rsid w:val="00592ADD"/>
    <w:rsid w:val="00614A29"/>
    <w:rsid w:val="00643AA7"/>
    <w:rsid w:val="00673D76"/>
    <w:rsid w:val="00674CD5"/>
    <w:rsid w:val="00674CD7"/>
    <w:rsid w:val="006854F0"/>
    <w:rsid w:val="006B1C4A"/>
    <w:rsid w:val="006B610D"/>
    <w:rsid w:val="006E49F5"/>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84E09"/>
    <w:rsid w:val="008A25C2"/>
    <w:rsid w:val="008A6576"/>
    <w:rsid w:val="008B3CC5"/>
    <w:rsid w:val="008B52CD"/>
    <w:rsid w:val="008E4261"/>
    <w:rsid w:val="008F4662"/>
    <w:rsid w:val="00905D08"/>
    <w:rsid w:val="00922AEB"/>
    <w:rsid w:val="00925753"/>
    <w:rsid w:val="009425F4"/>
    <w:rsid w:val="00966C5C"/>
    <w:rsid w:val="00973104"/>
    <w:rsid w:val="00995BF0"/>
    <w:rsid w:val="009A16D5"/>
    <w:rsid w:val="009A353D"/>
    <w:rsid w:val="009B0B77"/>
    <w:rsid w:val="009B511E"/>
    <w:rsid w:val="00A44E3D"/>
    <w:rsid w:val="00A72D2E"/>
    <w:rsid w:val="00A74447"/>
    <w:rsid w:val="00A74CE5"/>
    <w:rsid w:val="00A911E7"/>
    <w:rsid w:val="00A939D9"/>
    <w:rsid w:val="00B07D9E"/>
    <w:rsid w:val="00B20712"/>
    <w:rsid w:val="00B43238"/>
    <w:rsid w:val="00B45DD3"/>
    <w:rsid w:val="00B52632"/>
    <w:rsid w:val="00B727A9"/>
    <w:rsid w:val="00B75216"/>
    <w:rsid w:val="00B91D52"/>
    <w:rsid w:val="00B9490F"/>
    <w:rsid w:val="00BA1ACD"/>
    <w:rsid w:val="00BD09F8"/>
    <w:rsid w:val="00C2009E"/>
    <w:rsid w:val="00C52907"/>
    <w:rsid w:val="00CA7176"/>
    <w:rsid w:val="00CB3D48"/>
    <w:rsid w:val="00CB4665"/>
    <w:rsid w:val="00CC75B0"/>
    <w:rsid w:val="00CD2773"/>
    <w:rsid w:val="00CE143B"/>
    <w:rsid w:val="00D0024A"/>
    <w:rsid w:val="00D246D4"/>
    <w:rsid w:val="00D27003"/>
    <w:rsid w:val="00DB4A9B"/>
    <w:rsid w:val="00E11E79"/>
    <w:rsid w:val="00E167C7"/>
    <w:rsid w:val="00E246AA"/>
    <w:rsid w:val="00E2482E"/>
    <w:rsid w:val="00E73D47"/>
    <w:rsid w:val="00EA25D1"/>
    <w:rsid w:val="00EC44C8"/>
    <w:rsid w:val="00EC47F6"/>
    <w:rsid w:val="00EE156D"/>
    <w:rsid w:val="00EE65B8"/>
    <w:rsid w:val="00F149E2"/>
    <w:rsid w:val="00F36674"/>
    <w:rsid w:val="00F66032"/>
    <w:rsid w:val="00F67A43"/>
    <w:rsid w:val="00F87C1E"/>
    <w:rsid w:val="00F958C2"/>
    <w:rsid w:val="13836F11"/>
    <w:rsid w:val="36801CC7"/>
    <w:rsid w:val="5A4D5237"/>
    <w:rsid w:val="7A2661E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5"/>
    <w:unhideWhenUsed/>
    <w:uiPriority w:val="99"/>
    <w:rPr>
      <w:sz w:val="18"/>
      <w:szCs w:val="18"/>
    </w:rPr>
  </w:style>
  <w:style w:type="paragraph" w:styleId="3">
    <w:name w:val="footer"/>
    <w:basedOn w:val="1"/>
    <w:link w:val="14"/>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7"/>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character" w:styleId="10">
    <w:name w:val="page number"/>
    <w:unhideWhenUsed/>
    <w:qFormat/>
    <w:uiPriority w:val="99"/>
  </w:style>
  <w:style w:type="character" w:styleId="11">
    <w:name w:val="Hyperlink"/>
    <w:unhideWhenUsed/>
    <w:qFormat/>
    <w:uiPriority w:val="99"/>
    <w:rPr>
      <w:color w:val="0000FF"/>
      <w:u w:val="single"/>
    </w:rPr>
  </w:style>
  <w:style w:type="character" w:styleId="12">
    <w:name w:val="footnote reference"/>
    <w:unhideWhenUsed/>
    <w:qFormat/>
    <w:uiPriority w:val="99"/>
    <w:rPr>
      <w:vertAlign w:val="superscript"/>
    </w:rPr>
  </w:style>
  <w:style w:type="character" w:customStyle="1" w:styleId="13">
    <w:name w:val="页眉 Char"/>
    <w:basedOn w:val="9"/>
    <w:link w:val="4"/>
    <w:qFormat/>
    <w:uiPriority w:val="99"/>
    <w:rPr>
      <w:rFonts w:ascii="Times New Roman" w:hAnsi="Times New Roman" w:eastAsia="宋体" w:cs="Times New Roman"/>
      <w:sz w:val="18"/>
      <w:szCs w:val="18"/>
    </w:rPr>
  </w:style>
  <w:style w:type="character" w:customStyle="1" w:styleId="14">
    <w:name w:val="页脚 Char"/>
    <w:basedOn w:val="9"/>
    <w:link w:val="3"/>
    <w:qFormat/>
    <w:uiPriority w:val="99"/>
    <w:rPr>
      <w:rFonts w:ascii="Times New Roman" w:hAnsi="Times New Roman" w:eastAsia="宋体" w:cs="Times New Roman"/>
      <w:sz w:val="18"/>
      <w:szCs w:val="18"/>
    </w:rPr>
  </w:style>
  <w:style w:type="character" w:customStyle="1" w:styleId="15">
    <w:name w:val="批注框文本 Char"/>
    <w:basedOn w:val="9"/>
    <w:link w:val="2"/>
    <w:semiHidden/>
    <w:qFormat/>
    <w:uiPriority w:val="99"/>
    <w:rPr>
      <w:sz w:val="18"/>
      <w:szCs w:val="18"/>
    </w:rPr>
  </w:style>
  <w:style w:type="paragraph" w:customStyle="1" w:styleId="16">
    <w:name w:val="Default"/>
    <w:qFormat/>
    <w:uiPriority w:val="0"/>
    <w:pPr>
      <w:widowControl w:val="0"/>
      <w:autoSpaceDE w:val="0"/>
      <w:autoSpaceDN w:val="0"/>
      <w:adjustRightInd w:val="0"/>
    </w:pPr>
    <w:rPr>
      <w:rFonts w:ascii="Times New Roman" w:hAnsi="Times New Roman" w:cs="Times New Roman" w:eastAsiaTheme="minorEastAsia"/>
      <w:color w:val="000000"/>
      <w:sz w:val="24"/>
      <w:szCs w:val="24"/>
      <w:lang w:val="en-US" w:eastAsia="zh-CN" w:bidi="ar-SA"/>
    </w:rPr>
  </w:style>
  <w:style w:type="character" w:customStyle="1" w:styleId="17">
    <w:name w:val="脚注文本 Char"/>
    <w:basedOn w:val="9"/>
    <w:link w:val="6"/>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4425098-CEB7-4813-B90D-AE258FE74940}">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10</Pages>
  <Words>640</Words>
  <Characters>3652</Characters>
  <Lines>30</Lines>
  <Paragraphs>8</Paragraphs>
  <TotalTime>86</TotalTime>
  <ScaleCrop>false</ScaleCrop>
  <LinksUpToDate>false</LinksUpToDate>
  <CharactersWithSpaces>4284</CharactersWithSpaces>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Administrator</cp:lastModifiedBy>
  <cp:lastPrinted>2017-11-09T01:12:00Z</cp:lastPrinted>
  <dcterms:modified xsi:type="dcterms:W3CDTF">2024-01-15T07:22:30Z</dcterms:modified>
  <dc:title>河北省财政厅2019年部门预算信息公开情况说明</dc:title>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