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sz w:val="44"/>
          <w:szCs w:val="44"/>
        </w:rPr>
      </w:pPr>
    </w:p>
    <w:p>
      <w:pPr>
        <w:jc w:val="center"/>
        <w:rPr>
          <w:rFonts w:ascii="宋体" w:cs="宋体"/>
          <w:b/>
          <w:sz w:val="44"/>
          <w:szCs w:val="44"/>
        </w:rPr>
      </w:pPr>
      <w:r>
        <w:rPr>
          <w:rFonts w:hint="eastAsia" w:ascii="宋体" w:hAnsi="宋体" w:cs="宋体"/>
          <w:b/>
          <w:sz w:val="44"/>
          <w:szCs w:val="44"/>
        </w:rPr>
        <w:t>科协</w:t>
      </w:r>
      <w:r>
        <w:rPr>
          <w:rFonts w:ascii="宋体" w:hAnsi="宋体" w:cs="宋体"/>
          <w:b/>
          <w:sz w:val="44"/>
          <w:szCs w:val="44"/>
        </w:rPr>
        <w:t>2019</w:t>
      </w:r>
      <w:r>
        <w:rPr>
          <w:rFonts w:hint="eastAsia" w:ascii="宋体" w:hAnsi="宋体" w:cs="宋体"/>
          <w:b/>
          <w:sz w:val="44"/>
          <w:szCs w:val="44"/>
        </w:rPr>
        <w:t>年度部门预算情况说明</w:t>
      </w:r>
    </w:p>
    <w:p>
      <w:pPr>
        <w:jc w:val="center"/>
        <w:rPr>
          <w:rFonts w:ascii="宋体" w:cs="宋体"/>
          <w:b/>
          <w:sz w:val="44"/>
          <w:szCs w:val="44"/>
        </w:rPr>
      </w:pPr>
    </w:p>
    <w:p>
      <w:pPr>
        <w:jc w:val="center"/>
        <w:rPr>
          <w:rFonts w:ascii="宋体" w:cs="宋体"/>
          <w:b/>
          <w:sz w:val="44"/>
          <w:szCs w:val="44"/>
        </w:rPr>
      </w:pPr>
    </w:p>
    <w:p>
      <w:pPr>
        <w:jc w:val="center"/>
      </w:pPr>
    </w:p>
    <w:p>
      <w:pPr>
        <w:ind w:firstLine="640" w:firstLineChars="200"/>
        <w:rPr>
          <w:rFonts w:ascii="仿宋" w:hAnsi="仿宋" w:eastAsia="仿宋" w:cs="仿宋"/>
          <w:sz w:val="32"/>
          <w:szCs w:val="32"/>
        </w:rPr>
      </w:pPr>
      <w:r>
        <w:rPr>
          <w:rFonts w:hint="eastAsia" w:ascii="仿宋" w:hAnsi="仿宋" w:eastAsia="仿宋" w:cs="仿宋"/>
          <w:sz w:val="32"/>
          <w:szCs w:val="32"/>
        </w:rPr>
        <w:t>按照《</w:t>
      </w:r>
      <w:bookmarkStart w:id="3" w:name="_GoBack"/>
      <w:bookmarkEnd w:id="3"/>
      <w:r>
        <w:rPr>
          <w:rFonts w:hint="eastAsia" w:ascii="仿宋" w:hAnsi="仿宋" w:eastAsia="仿宋" w:cs="仿宋"/>
          <w:sz w:val="32"/>
          <w:szCs w:val="32"/>
        </w:rPr>
        <w:t>中华人民共和国预算法》、《地方预决算公开操作规程》和《河北省省级预算公开办法》规定，现将</w:t>
      </w:r>
      <w:r>
        <w:rPr>
          <w:rFonts w:hint="eastAsia" w:ascii="仿宋" w:hAnsi="仿宋" w:eastAsia="仿宋" w:cs="仿宋"/>
          <w:sz w:val="32"/>
          <w:szCs w:val="32"/>
          <w:lang w:val="en-US" w:eastAsia="zh-CN"/>
        </w:rPr>
        <w:t>石家庄市鹿泉区</w:t>
      </w:r>
      <w:r>
        <w:rPr>
          <w:rFonts w:hint="eastAsia" w:ascii="仿宋" w:hAnsi="仿宋" w:eastAsia="仿宋" w:cs="仿宋"/>
          <w:sz w:val="32"/>
          <w:szCs w:val="32"/>
        </w:rPr>
        <w:t>科协</w:t>
      </w:r>
      <w:r>
        <w:rPr>
          <w:rFonts w:ascii="仿宋" w:hAnsi="仿宋" w:eastAsia="仿宋" w:cs="仿宋"/>
          <w:sz w:val="32"/>
          <w:szCs w:val="32"/>
        </w:rPr>
        <w:t>2019</w:t>
      </w:r>
      <w:r>
        <w:rPr>
          <w:rFonts w:hint="eastAsia" w:ascii="仿宋" w:hAnsi="仿宋" w:eastAsia="仿宋" w:cs="仿宋"/>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3"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pPr>
        <w:numPr>
          <w:ilvl w:val="0"/>
          <w:numId w:val="1"/>
        </w:numPr>
        <w:suppressAutoHyphens/>
        <w:autoSpaceDE w:val="0"/>
        <w:spacing w:line="360" w:lineRule="auto"/>
        <w:ind w:right="198" w:firstLine="640"/>
      </w:pPr>
      <w:r>
        <w:rPr>
          <w:rFonts w:hint="eastAsia" w:ascii="仿宋" w:hAnsi="仿宋" w:eastAsia="仿宋" w:cs="宋体"/>
          <w:kern w:val="1"/>
          <w:sz w:val="32"/>
          <w:szCs w:val="32"/>
        </w:rPr>
        <w:t>部门职责：</w:t>
      </w:r>
    </w:p>
    <w:p>
      <w:pPr>
        <w:autoSpaceDE w:val="0"/>
        <w:spacing w:line="360" w:lineRule="auto"/>
        <w:ind w:right="198" w:firstLine="640"/>
      </w:pPr>
      <w:r>
        <w:rPr>
          <w:rFonts w:hint="eastAsia" w:ascii="仿宋" w:hAnsi="仿宋" w:eastAsia="仿宋" w:cs="宋体"/>
          <w:kern w:val="1"/>
          <w:sz w:val="32"/>
          <w:szCs w:val="32"/>
        </w:rPr>
        <w:t>（</w:t>
      </w:r>
      <w:r>
        <w:rPr>
          <w:rFonts w:ascii="仿宋" w:hAnsi="仿宋" w:eastAsia="仿宋" w:cs="仿宋"/>
          <w:kern w:val="1"/>
          <w:sz w:val="32"/>
          <w:szCs w:val="32"/>
        </w:rPr>
        <w:t>1</w:t>
      </w:r>
      <w:r>
        <w:rPr>
          <w:rFonts w:hint="eastAsia" w:ascii="仿宋" w:hAnsi="仿宋" w:eastAsia="仿宋" w:cs="宋体"/>
          <w:kern w:val="1"/>
          <w:sz w:val="32"/>
          <w:szCs w:val="32"/>
        </w:rPr>
        <w:t>）搞好乡镇科协组织建设，指导乡镇科协抓好科协工作，加强农研会组织建设，完善和健全城乡科普网络。</w:t>
      </w:r>
    </w:p>
    <w:p>
      <w:pPr>
        <w:autoSpaceDE w:val="0"/>
        <w:spacing w:line="360" w:lineRule="auto"/>
        <w:ind w:right="198" w:firstLine="640"/>
      </w:pPr>
      <w:r>
        <w:rPr>
          <w:rFonts w:hint="eastAsia" w:ascii="仿宋" w:hAnsi="仿宋" w:eastAsia="仿宋" w:cs="仿宋"/>
          <w:color w:val="000000"/>
          <w:sz w:val="32"/>
          <w:szCs w:val="32"/>
        </w:rPr>
        <w:t>（</w:t>
      </w:r>
      <w:r>
        <w:rPr>
          <w:rFonts w:ascii="仿宋" w:hAnsi="仿宋" w:eastAsia="仿宋" w:cs="仿宋"/>
          <w:color w:val="000000"/>
          <w:sz w:val="32"/>
          <w:szCs w:val="32"/>
        </w:rPr>
        <w:t>2</w:t>
      </w:r>
      <w:r>
        <w:rPr>
          <w:rFonts w:hint="eastAsia" w:ascii="仿宋" w:hAnsi="仿宋" w:eastAsia="仿宋" w:cs="仿宋"/>
          <w:color w:val="000000"/>
          <w:sz w:val="32"/>
          <w:szCs w:val="32"/>
        </w:rPr>
        <w:t>）负责筹划大型科普活动。做好学会、研究会组织建设，完善和健全协会组织。</w:t>
      </w:r>
    </w:p>
    <w:p>
      <w:pPr>
        <w:autoSpaceDE w:val="0"/>
        <w:spacing w:line="360" w:lineRule="auto"/>
        <w:ind w:right="198" w:firstLine="640"/>
      </w:pPr>
      <w:r>
        <w:rPr>
          <w:rFonts w:hint="eastAsia" w:ascii="仿宋" w:hAnsi="仿宋" w:eastAsia="仿宋" w:cs="仿宋"/>
          <w:color w:val="000000"/>
          <w:sz w:val="32"/>
          <w:szCs w:val="32"/>
        </w:rPr>
        <w:t>（</w:t>
      </w:r>
      <w:r>
        <w:rPr>
          <w:rFonts w:ascii="仿宋" w:hAnsi="仿宋" w:eastAsia="仿宋" w:cs="仿宋"/>
          <w:color w:val="000000"/>
          <w:sz w:val="32"/>
          <w:szCs w:val="32"/>
        </w:rPr>
        <w:t>3</w:t>
      </w:r>
      <w:r>
        <w:rPr>
          <w:rFonts w:hint="eastAsia" w:ascii="仿宋" w:hAnsi="仿宋" w:eastAsia="仿宋" w:cs="仿宋"/>
          <w:color w:val="000000"/>
          <w:sz w:val="32"/>
          <w:szCs w:val="32"/>
        </w:rPr>
        <w:t>）开展科普示范创建工作，组织指导乡镇科协开展科普活动，推广引进、开发普及先进技术，促使全区科技进步、社会发展和两个文明建设。普及科学知识，传播科学思想，维护科学技术工作者的合法权益，反映科学技术工作者的意见和要求，完善各项举措。</w:t>
      </w:r>
    </w:p>
    <w:p>
      <w:pPr>
        <w:autoSpaceDE w:val="0"/>
        <w:spacing w:line="360" w:lineRule="auto"/>
        <w:ind w:right="198" w:firstLine="640"/>
      </w:pPr>
      <w:r>
        <w:rPr>
          <w:rFonts w:hint="eastAsia" w:ascii="仿宋" w:hAnsi="仿宋" w:eastAsia="仿宋" w:cs="仿宋"/>
          <w:color w:val="000000"/>
          <w:sz w:val="32"/>
          <w:szCs w:val="32"/>
        </w:rPr>
        <w:t>（</w:t>
      </w:r>
      <w:r>
        <w:rPr>
          <w:rFonts w:ascii="仿宋" w:hAnsi="仿宋" w:eastAsia="仿宋" w:cs="仿宋"/>
          <w:color w:val="000000"/>
          <w:sz w:val="32"/>
          <w:szCs w:val="32"/>
        </w:rPr>
        <w:t>4</w:t>
      </w:r>
      <w:r>
        <w:rPr>
          <w:rFonts w:hint="eastAsia" w:ascii="仿宋" w:hAnsi="仿宋" w:eastAsia="仿宋" w:cs="仿宋"/>
          <w:color w:val="000000"/>
          <w:sz w:val="32"/>
          <w:szCs w:val="32"/>
        </w:rPr>
        <w:t>）抓好全区广大党员、基层干部使用技术培训。树立典型，抓好科普基地建设。</w:t>
      </w:r>
    </w:p>
    <w:p>
      <w:pPr>
        <w:autoSpaceDE w:val="0"/>
        <w:spacing w:line="360" w:lineRule="auto"/>
        <w:ind w:right="198" w:firstLine="640"/>
      </w:pPr>
      <w:r>
        <w:rPr>
          <w:rFonts w:hint="eastAsia" w:ascii="仿宋" w:hAnsi="仿宋" w:eastAsia="仿宋" w:cs="仿宋"/>
          <w:color w:val="000000"/>
          <w:sz w:val="32"/>
          <w:szCs w:val="32"/>
        </w:rPr>
        <w:t>（</w:t>
      </w:r>
      <w:r>
        <w:rPr>
          <w:rFonts w:ascii="仿宋" w:hAnsi="仿宋" w:eastAsia="仿宋" w:cs="仿宋"/>
          <w:color w:val="000000"/>
          <w:sz w:val="32"/>
          <w:szCs w:val="32"/>
        </w:rPr>
        <w:t>5</w:t>
      </w:r>
      <w:r>
        <w:rPr>
          <w:rFonts w:hint="eastAsia" w:ascii="仿宋" w:hAnsi="仿宋" w:eastAsia="仿宋" w:cs="仿宋"/>
          <w:color w:val="000000"/>
          <w:sz w:val="32"/>
          <w:szCs w:val="32"/>
        </w:rPr>
        <w:t>）广泛开展各项学术研究活动，开展科学技术攻关、科技咨询服务工作。表彰奖励宣传典型。</w:t>
      </w:r>
    </w:p>
    <w:p>
      <w:pPr>
        <w:autoSpaceDE w:val="0"/>
        <w:spacing w:line="360" w:lineRule="auto"/>
        <w:ind w:right="198" w:firstLine="640"/>
      </w:pPr>
      <w:r>
        <w:rPr>
          <w:rFonts w:hint="eastAsia" w:ascii="仿宋" w:hAnsi="仿宋" w:eastAsia="仿宋" w:cs="仿宋"/>
          <w:color w:val="000000"/>
          <w:sz w:val="32"/>
          <w:szCs w:val="32"/>
        </w:rPr>
        <w:t>（</w:t>
      </w:r>
      <w:r>
        <w:rPr>
          <w:rFonts w:ascii="仿宋" w:hAnsi="仿宋" w:eastAsia="仿宋" w:cs="仿宋"/>
          <w:color w:val="000000"/>
          <w:sz w:val="32"/>
          <w:szCs w:val="32"/>
        </w:rPr>
        <w:t>6</w:t>
      </w:r>
      <w:r>
        <w:rPr>
          <w:rFonts w:hint="eastAsia" w:ascii="仿宋" w:hAnsi="仿宋" w:eastAsia="仿宋" w:cs="仿宋"/>
          <w:color w:val="000000"/>
          <w:sz w:val="32"/>
          <w:szCs w:val="32"/>
        </w:rPr>
        <w:t>）积极组织开展反邪教、反对伪科学的活动，抓好科普精神文明建设。</w:t>
      </w:r>
    </w:p>
    <w:p>
      <w:pPr>
        <w:autoSpaceDE w:val="0"/>
        <w:spacing w:line="360" w:lineRule="auto"/>
        <w:ind w:right="198" w:firstLine="640"/>
      </w:pPr>
      <w:r>
        <w:rPr>
          <w:rFonts w:hint="eastAsia" w:ascii="仿宋" w:hAnsi="仿宋" w:eastAsia="仿宋" w:cs="仿宋"/>
          <w:color w:val="000000"/>
          <w:sz w:val="32"/>
          <w:szCs w:val="32"/>
        </w:rPr>
        <w:t>（</w:t>
      </w:r>
      <w:r>
        <w:rPr>
          <w:rFonts w:ascii="仿宋" w:hAnsi="仿宋" w:eastAsia="仿宋" w:cs="仿宋"/>
          <w:color w:val="000000"/>
          <w:sz w:val="32"/>
          <w:szCs w:val="32"/>
        </w:rPr>
        <w:t>7</w:t>
      </w:r>
      <w:r>
        <w:rPr>
          <w:rFonts w:hint="eastAsia" w:ascii="仿宋" w:hAnsi="仿宋" w:eastAsia="仿宋" w:cs="仿宋"/>
          <w:color w:val="000000"/>
          <w:sz w:val="32"/>
          <w:szCs w:val="32"/>
        </w:rPr>
        <w:t>）发展我区同外界科学技术团体、科学技术工作者的交往和联系。</w:t>
      </w:r>
    </w:p>
    <w:p>
      <w:pPr>
        <w:autoSpaceDE w:val="0"/>
        <w:spacing w:line="360" w:lineRule="auto"/>
        <w:ind w:right="198" w:firstLine="640"/>
      </w:pPr>
      <w:r>
        <w:rPr>
          <w:rFonts w:hint="eastAsia" w:ascii="仿宋" w:hAnsi="仿宋" w:eastAsia="仿宋" w:cs="仿宋_GB2312"/>
          <w:color w:val="000000"/>
          <w:sz w:val="32"/>
          <w:szCs w:val="32"/>
        </w:rPr>
        <w:t>（</w:t>
      </w:r>
      <w:r>
        <w:rPr>
          <w:rFonts w:ascii="仿宋" w:hAnsi="仿宋" w:eastAsia="仿宋" w:cs="仿宋"/>
          <w:color w:val="000000"/>
          <w:sz w:val="32"/>
          <w:szCs w:val="32"/>
        </w:rPr>
        <w:t>8</w:t>
      </w:r>
      <w:r>
        <w:rPr>
          <w:rFonts w:hint="eastAsia" w:ascii="仿宋" w:hAnsi="仿宋" w:eastAsia="仿宋" w:cs="仿宋_GB2312"/>
          <w:color w:val="000000"/>
          <w:sz w:val="32"/>
          <w:szCs w:val="32"/>
        </w:rPr>
        <w:t>）承担区委、区政府交办的有关事项。</w:t>
      </w:r>
    </w:p>
    <w:p>
      <w:pPr>
        <w:autoSpaceDE w:val="0"/>
        <w:autoSpaceDN w:val="0"/>
        <w:adjustRightInd w:val="0"/>
        <w:ind w:left="198" w:firstLine="640" w:firstLineChars="200"/>
        <w:jc w:val="left"/>
        <w:rPr>
          <w:rFonts w:ascii="仿宋" w:hAnsi="仿宋" w:eastAsia="仿宋" w:cs="宋体"/>
          <w:color w:val="000000"/>
          <w:kern w:val="1"/>
          <w:sz w:val="32"/>
          <w:szCs w:val="32"/>
        </w:rPr>
      </w:pPr>
      <w:r>
        <w:rPr>
          <w:rFonts w:ascii="仿宋" w:hAnsi="仿宋" w:eastAsia="仿宋" w:cs="仿宋"/>
          <w:color w:val="000000"/>
          <w:kern w:val="1"/>
          <w:sz w:val="32"/>
          <w:szCs w:val="32"/>
        </w:rPr>
        <w:t>2</w:t>
      </w:r>
      <w:r>
        <w:rPr>
          <w:rFonts w:hint="eastAsia" w:ascii="仿宋" w:hAnsi="仿宋" w:eastAsia="仿宋" w:cs="宋体"/>
          <w:color w:val="000000"/>
          <w:kern w:val="1"/>
          <w:sz w:val="32"/>
          <w:szCs w:val="32"/>
        </w:rPr>
        <w:t>、机构设置：编制</w:t>
      </w:r>
      <w:r>
        <w:rPr>
          <w:rFonts w:ascii="仿宋" w:hAnsi="仿宋" w:eastAsia="仿宋" w:cs="仿宋"/>
          <w:color w:val="000000"/>
          <w:kern w:val="1"/>
          <w:sz w:val="32"/>
          <w:szCs w:val="32"/>
        </w:rPr>
        <w:t>7</w:t>
      </w:r>
      <w:r>
        <w:rPr>
          <w:rFonts w:hint="eastAsia" w:ascii="仿宋" w:hAnsi="仿宋" w:eastAsia="仿宋" w:cs="宋体"/>
          <w:color w:val="000000"/>
          <w:kern w:val="1"/>
          <w:sz w:val="32"/>
          <w:szCs w:val="32"/>
        </w:rPr>
        <w:t>名，其中主席</w:t>
      </w:r>
      <w:r>
        <w:rPr>
          <w:rFonts w:ascii="仿宋" w:hAnsi="仿宋" w:eastAsia="仿宋" w:cs="仿宋"/>
          <w:color w:val="000000"/>
          <w:kern w:val="1"/>
          <w:sz w:val="32"/>
          <w:szCs w:val="32"/>
        </w:rPr>
        <w:t>1</w:t>
      </w:r>
      <w:r>
        <w:rPr>
          <w:rFonts w:hint="eastAsia" w:ascii="仿宋" w:hAnsi="仿宋" w:eastAsia="仿宋" w:cs="宋体"/>
          <w:color w:val="000000"/>
          <w:kern w:val="1"/>
          <w:sz w:val="32"/>
          <w:szCs w:val="32"/>
        </w:rPr>
        <w:t>名、副主席</w:t>
      </w:r>
      <w:r>
        <w:rPr>
          <w:rFonts w:ascii="仿宋" w:hAnsi="仿宋" w:eastAsia="仿宋" w:cs="仿宋"/>
          <w:color w:val="000000"/>
          <w:kern w:val="1"/>
          <w:sz w:val="32"/>
          <w:szCs w:val="32"/>
        </w:rPr>
        <w:t>1</w:t>
      </w:r>
      <w:r>
        <w:rPr>
          <w:rFonts w:hint="eastAsia" w:ascii="仿宋" w:hAnsi="仿宋" w:eastAsia="仿宋" w:cs="宋体"/>
          <w:color w:val="000000"/>
          <w:kern w:val="1"/>
          <w:sz w:val="32"/>
          <w:szCs w:val="32"/>
        </w:rPr>
        <w:t>名，下设办公室人员</w:t>
      </w:r>
      <w:r>
        <w:rPr>
          <w:rFonts w:ascii="仿宋" w:hAnsi="仿宋" w:eastAsia="仿宋" w:cs="仿宋"/>
          <w:color w:val="000000"/>
          <w:kern w:val="1"/>
          <w:sz w:val="32"/>
          <w:szCs w:val="32"/>
        </w:rPr>
        <w:t>5</w:t>
      </w:r>
      <w:r>
        <w:rPr>
          <w:rFonts w:hint="eastAsia" w:ascii="仿宋" w:hAnsi="仿宋" w:eastAsia="仿宋" w:cs="宋体"/>
          <w:color w:val="000000"/>
          <w:kern w:val="1"/>
          <w:sz w:val="32"/>
          <w:szCs w:val="32"/>
        </w:rPr>
        <w:t>名。</w:t>
      </w:r>
    </w:p>
    <w:p>
      <w:pPr>
        <w:autoSpaceDE w:val="0"/>
        <w:autoSpaceDN w:val="0"/>
        <w:adjustRightInd w:val="0"/>
        <w:ind w:left="198" w:firstLine="640" w:firstLineChars="200"/>
        <w:jc w:val="left"/>
        <w:rPr>
          <w:rFonts w:ascii="仿宋" w:hAnsi="仿宋" w:eastAsia="仿宋" w:cs="宋体"/>
          <w:color w:val="000000"/>
          <w:kern w:val="1"/>
          <w:sz w:val="32"/>
          <w:szCs w:val="32"/>
        </w:rPr>
      </w:pPr>
    </w:p>
    <w:p>
      <w:pPr>
        <w:autoSpaceDE w:val="0"/>
        <w:autoSpaceDN w:val="0"/>
        <w:adjustRightInd w:val="0"/>
        <w:ind w:firstLine="643" w:firstLineChars="200"/>
        <w:jc w:val="left"/>
        <w:rPr>
          <w:rFonts w:ascii="方正楷体_GBK" w:eastAsia="方正楷体_GBK"/>
          <w:b/>
          <w:sz w:val="32"/>
          <w:szCs w:val="32"/>
        </w:rPr>
      </w:pPr>
      <w:r>
        <w:rPr>
          <w:rFonts w:hint="eastAsia" w:ascii="方正楷体_GBK" w:eastAsia="方正楷体_GBK"/>
          <w:b/>
          <w:sz w:val="32"/>
          <w:szCs w:val="32"/>
        </w:rPr>
        <w:t xml:space="preserve">机构设置： </w:t>
      </w:r>
    </w:p>
    <w:p>
      <w:pPr>
        <w:jc w:val="center"/>
      </w:pPr>
      <w:r>
        <w:rPr>
          <w:rFonts w:hint="eastAsia" w:ascii="方正小标宋_GBK" w:hAnsi="Times New Roman" w:eastAsia="方正小标宋_GBK" w:cs="Times New Roman"/>
          <w:sz w:val="32"/>
          <w:szCs w:val="32"/>
        </w:rPr>
        <w:t>部门机构设置情况</w:t>
      </w:r>
    </w:p>
    <w:tbl>
      <w:tblPr>
        <w:tblStyle w:val="9"/>
        <w:tblW w:w="136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70"/>
        <w:gridCol w:w="1849"/>
        <w:gridCol w:w="2091"/>
        <w:gridCol w:w="40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5670" w:type="dxa"/>
            <w:vMerge w:val="restart"/>
            <w:shd w:val="clear" w:color="auto" w:fill="auto"/>
            <w:vAlign w:val="center"/>
          </w:tcPr>
          <w:p>
            <w:pPr>
              <w:spacing w:line="300" w:lineRule="exact"/>
              <w:jc w:val="center"/>
              <w:rPr>
                <w:rFonts w:ascii="方正书宋_GBK" w:eastAsia="方正书宋_GBK"/>
                <w:b/>
                <w:szCs w:val="21"/>
              </w:rPr>
            </w:pPr>
            <w:r>
              <w:rPr>
                <w:rFonts w:hint="eastAsia" w:ascii="方正书宋_GBK" w:eastAsia="方正书宋_GBK"/>
                <w:b/>
                <w:szCs w:val="21"/>
              </w:rPr>
              <w:t>单位名称</w:t>
            </w:r>
          </w:p>
        </w:tc>
        <w:tc>
          <w:tcPr>
            <w:tcW w:w="1849" w:type="dxa"/>
            <w:vMerge w:val="restart"/>
            <w:shd w:val="clear" w:color="auto" w:fill="auto"/>
            <w:vAlign w:val="center"/>
          </w:tcPr>
          <w:p>
            <w:pPr>
              <w:spacing w:line="300" w:lineRule="exact"/>
              <w:jc w:val="center"/>
              <w:rPr>
                <w:rFonts w:ascii="方正书宋_GBK" w:eastAsia="方正书宋_GBK"/>
                <w:b/>
                <w:szCs w:val="21"/>
              </w:rPr>
            </w:pPr>
            <w:r>
              <w:rPr>
                <w:rFonts w:hint="eastAsia" w:ascii="方正书宋_GBK" w:eastAsia="方正书宋_GBK"/>
                <w:b/>
                <w:szCs w:val="21"/>
              </w:rPr>
              <w:t>单位性质</w:t>
            </w:r>
          </w:p>
        </w:tc>
        <w:tc>
          <w:tcPr>
            <w:tcW w:w="2091" w:type="dxa"/>
            <w:vMerge w:val="restart"/>
            <w:shd w:val="clear" w:color="auto" w:fill="auto"/>
            <w:vAlign w:val="center"/>
          </w:tcPr>
          <w:p>
            <w:pPr>
              <w:spacing w:line="300" w:lineRule="exact"/>
              <w:jc w:val="center"/>
              <w:rPr>
                <w:rFonts w:ascii="方正书宋_GBK" w:eastAsia="方正书宋_GBK"/>
                <w:b/>
                <w:szCs w:val="21"/>
              </w:rPr>
            </w:pPr>
            <w:r>
              <w:rPr>
                <w:rFonts w:hint="eastAsia" w:ascii="方正书宋_GBK" w:eastAsia="方正书宋_GBK"/>
                <w:b/>
                <w:szCs w:val="21"/>
              </w:rPr>
              <w:t>单位规格</w:t>
            </w:r>
          </w:p>
        </w:tc>
        <w:tc>
          <w:tcPr>
            <w:tcW w:w="4005" w:type="dxa"/>
            <w:vMerge w:val="restart"/>
            <w:shd w:val="clear" w:color="auto" w:fill="auto"/>
            <w:vAlign w:val="center"/>
          </w:tcPr>
          <w:p>
            <w:pPr>
              <w:spacing w:line="300" w:lineRule="exact"/>
              <w:jc w:val="center"/>
              <w:rPr>
                <w:rFonts w:ascii="方正书宋_GBK" w:eastAsia="方正书宋_GBK"/>
                <w:b/>
                <w:szCs w:val="21"/>
              </w:rPr>
            </w:pPr>
            <w:r>
              <w:rPr>
                <w:rFonts w:hint="eastAsia" w:ascii="方正书宋_GBK" w:eastAsia="方正书宋_GBK"/>
                <w:b/>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5670" w:type="dxa"/>
            <w:vMerge w:val="continue"/>
            <w:shd w:val="clear" w:color="auto" w:fill="auto"/>
            <w:vAlign w:val="center"/>
          </w:tcPr>
          <w:p>
            <w:pPr>
              <w:spacing w:line="300" w:lineRule="exact"/>
              <w:jc w:val="left"/>
              <w:outlineLvl w:val="0"/>
              <w:rPr>
                <w:sz w:val="24"/>
              </w:rPr>
            </w:pPr>
          </w:p>
        </w:tc>
        <w:tc>
          <w:tcPr>
            <w:tcW w:w="1849" w:type="dxa"/>
            <w:vMerge w:val="continue"/>
            <w:shd w:val="clear" w:color="auto" w:fill="auto"/>
            <w:vAlign w:val="center"/>
          </w:tcPr>
          <w:p>
            <w:pPr>
              <w:spacing w:line="300" w:lineRule="exact"/>
              <w:jc w:val="left"/>
              <w:outlineLvl w:val="0"/>
              <w:rPr>
                <w:sz w:val="24"/>
              </w:rPr>
            </w:pPr>
          </w:p>
        </w:tc>
        <w:tc>
          <w:tcPr>
            <w:tcW w:w="2091" w:type="dxa"/>
            <w:vMerge w:val="continue"/>
            <w:shd w:val="clear" w:color="auto" w:fill="auto"/>
            <w:vAlign w:val="center"/>
          </w:tcPr>
          <w:p>
            <w:pPr>
              <w:spacing w:line="300" w:lineRule="exact"/>
              <w:jc w:val="left"/>
              <w:outlineLvl w:val="0"/>
              <w:rPr>
                <w:sz w:val="24"/>
              </w:rPr>
            </w:pPr>
          </w:p>
        </w:tc>
        <w:tc>
          <w:tcPr>
            <w:tcW w:w="4005" w:type="dxa"/>
            <w:vMerge w:val="continue"/>
            <w:shd w:val="clear" w:color="auto" w:fill="auto"/>
            <w:vAlign w:val="center"/>
          </w:tcPr>
          <w:p>
            <w:pPr>
              <w:spacing w:line="300" w:lineRule="exact"/>
              <w:jc w:val="left"/>
              <w:outlineLvl w:val="0"/>
              <w:rPr>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5670" w:type="dxa"/>
            <w:shd w:val="clear" w:color="auto" w:fill="auto"/>
            <w:vAlign w:val="center"/>
          </w:tcPr>
          <w:p>
            <w:pPr>
              <w:spacing w:line="300" w:lineRule="exact"/>
              <w:jc w:val="left"/>
              <w:rPr>
                <w:rFonts w:ascii="方正书宋_GBK" w:eastAsia="方正书宋_GBK"/>
                <w:szCs w:val="21"/>
              </w:rPr>
            </w:pPr>
            <w:r>
              <w:rPr>
                <w:rFonts w:hint="eastAsia" w:ascii="方正书宋_GBK" w:hAnsi="方正书宋_GBK" w:eastAsia="方正书宋_GBK" w:cs="方正书宋_GBK"/>
              </w:rPr>
              <w:t>石家庄市鹿泉区科学技术协会</w:t>
            </w:r>
          </w:p>
        </w:tc>
        <w:tc>
          <w:tcPr>
            <w:tcW w:w="1849" w:type="dxa"/>
            <w:shd w:val="clear" w:color="auto" w:fill="auto"/>
            <w:vAlign w:val="center"/>
          </w:tcPr>
          <w:p>
            <w:pPr>
              <w:spacing w:line="300" w:lineRule="exact"/>
              <w:jc w:val="center"/>
              <w:rPr>
                <w:rFonts w:ascii="方正书宋_GBK" w:eastAsia="方正书宋_GBK"/>
                <w:szCs w:val="21"/>
              </w:rPr>
            </w:pPr>
            <w:r>
              <w:rPr>
                <w:rFonts w:hint="eastAsia" w:ascii="方正书宋_GBK" w:hAnsi="方正书宋_GBK" w:eastAsia="方正书宋_GBK" w:cs="方正书宋_GBK"/>
              </w:rPr>
              <w:t>参公事业</w:t>
            </w:r>
          </w:p>
        </w:tc>
        <w:tc>
          <w:tcPr>
            <w:tcW w:w="2091" w:type="dxa"/>
            <w:shd w:val="clear" w:color="auto" w:fill="auto"/>
            <w:vAlign w:val="center"/>
          </w:tcPr>
          <w:p>
            <w:pPr>
              <w:spacing w:line="300" w:lineRule="exact"/>
              <w:jc w:val="center"/>
              <w:rPr>
                <w:rFonts w:ascii="方正书宋_GBK" w:eastAsia="方正书宋_GBK"/>
                <w:szCs w:val="21"/>
              </w:rPr>
            </w:pPr>
            <w:r>
              <w:rPr>
                <w:rFonts w:hint="eastAsia" w:ascii="方正书宋_GBK" w:hAnsi="方正书宋_GBK" w:eastAsia="方正书宋_GBK" w:cs="方正书宋_GBK"/>
              </w:rPr>
              <w:t>正科级</w:t>
            </w:r>
          </w:p>
        </w:tc>
        <w:tc>
          <w:tcPr>
            <w:tcW w:w="4005" w:type="dxa"/>
            <w:shd w:val="clear" w:color="auto" w:fill="auto"/>
            <w:vAlign w:val="center"/>
          </w:tcPr>
          <w:p>
            <w:pPr>
              <w:spacing w:line="300" w:lineRule="exact"/>
              <w:jc w:val="center"/>
              <w:rPr>
                <w:rFonts w:ascii="方正书宋_GBK" w:eastAsia="方正书宋_GBK"/>
                <w:szCs w:val="21"/>
              </w:rPr>
            </w:pPr>
            <w:r>
              <w:rPr>
                <w:rFonts w:hint="eastAsia" w:ascii="方正书宋_GBK" w:hAnsi="方正书宋_GBK" w:eastAsia="方正书宋_GBK" w:cs="方正书宋_GBK"/>
              </w:rPr>
              <w:t>财政性资金基本保障</w:t>
            </w:r>
          </w:p>
        </w:tc>
      </w:tr>
    </w:tbl>
    <w:p>
      <w:pPr>
        <w:autoSpaceDE w:val="0"/>
        <w:autoSpaceDN w:val="0"/>
        <w:adjustRightInd w:val="0"/>
        <w:ind w:left="198" w:firstLine="643" w:firstLineChars="200"/>
        <w:jc w:val="left"/>
        <w:rPr>
          <w:rFonts w:ascii="方正仿宋_GBK" w:hAnsi="Times New Roman" w:eastAsia="方正仿宋_GBK"/>
          <w:b/>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jc w:val="left"/>
      </w:pPr>
      <w:r>
        <w:rPr>
          <w:rFonts w:hint="eastAsia" w:ascii="仿宋" w:hAnsi="仿宋" w:eastAsia="仿宋" w:cs="宋体"/>
          <w:sz w:val="32"/>
          <w:szCs w:val="32"/>
        </w:rPr>
        <w:t>石家庄市鹿泉区科学技术协会</w:t>
      </w:r>
      <w:r>
        <w:rPr>
          <w:rFonts w:ascii="仿宋" w:hAnsi="仿宋" w:eastAsia="仿宋" w:cs="仿宋"/>
          <w:sz w:val="32"/>
          <w:szCs w:val="32"/>
        </w:rPr>
        <w:t>2019</w:t>
      </w:r>
      <w:r>
        <w:rPr>
          <w:rFonts w:hint="eastAsia" w:ascii="仿宋" w:hAnsi="仿宋" w:eastAsia="仿宋" w:cs="宋体"/>
          <w:sz w:val="32"/>
          <w:szCs w:val="32"/>
        </w:rPr>
        <w:t>年预算收入总计</w:t>
      </w:r>
      <w:r>
        <w:rPr>
          <w:rFonts w:ascii="仿宋" w:hAnsi="仿宋" w:eastAsia="仿宋" w:cs="仿宋"/>
          <w:sz w:val="32"/>
          <w:szCs w:val="32"/>
        </w:rPr>
        <w:t>177.91</w:t>
      </w:r>
      <w:r>
        <w:rPr>
          <w:rFonts w:hint="eastAsia" w:ascii="仿宋" w:hAnsi="仿宋" w:eastAsia="仿宋" w:cs="宋体"/>
          <w:sz w:val="32"/>
          <w:szCs w:val="32"/>
        </w:rPr>
        <w:t>万元。其中，一般公共预算收入</w:t>
      </w:r>
      <w:r>
        <w:rPr>
          <w:rFonts w:ascii="仿宋" w:hAnsi="仿宋" w:eastAsia="仿宋" w:cs="仿宋"/>
          <w:sz w:val="32"/>
          <w:szCs w:val="32"/>
        </w:rPr>
        <w:t>177.91</w:t>
      </w:r>
      <w:r>
        <w:rPr>
          <w:rFonts w:hint="eastAsia" w:ascii="仿宋" w:hAnsi="仿宋" w:eastAsia="仿宋" w:cs="宋体"/>
          <w:sz w:val="32"/>
          <w:szCs w:val="32"/>
        </w:rPr>
        <w:t>万元，基金预算收入</w:t>
      </w:r>
      <w:r>
        <w:rPr>
          <w:rFonts w:ascii="仿宋" w:hAnsi="仿宋" w:eastAsia="仿宋" w:cs="仿宋"/>
          <w:sz w:val="32"/>
          <w:szCs w:val="32"/>
        </w:rPr>
        <w:t>0</w:t>
      </w:r>
      <w:r>
        <w:rPr>
          <w:rFonts w:hint="eastAsia" w:ascii="仿宋" w:hAnsi="仿宋" w:eastAsia="仿宋" w:cs="宋体"/>
          <w:sz w:val="32"/>
          <w:szCs w:val="32"/>
        </w:rPr>
        <w:t>万元。</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jc w:val="left"/>
      </w:pPr>
      <w:r>
        <w:rPr>
          <w:rFonts w:hint="eastAsia" w:ascii="仿宋" w:hAnsi="仿宋" w:eastAsia="仿宋" w:cs="仿宋"/>
          <w:sz w:val="32"/>
          <w:szCs w:val="32"/>
        </w:rPr>
        <w:t>收支预算总表支出栏、基本支出表、项目支出表按经济分类和支出功能分类科目编制，反映鹿泉区科学技术协会年度部门预算中支出预算的总体情况。</w:t>
      </w:r>
      <w:r>
        <w:rPr>
          <w:rFonts w:ascii="仿宋" w:hAnsi="仿宋" w:eastAsia="仿宋" w:cs="仿宋"/>
          <w:sz w:val="32"/>
          <w:szCs w:val="32"/>
        </w:rPr>
        <w:t>2019</w:t>
      </w:r>
      <w:r>
        <w:rPr>
          <w:rFonts w:hint="eastAsia" w:ascii="仿宋" w:hAnsi="仿宋" w:eastAsia="仿宋" w:cs="宋体"/>
          <w:sz w:val="32"/>
          <w:szCs w:val="32"/>
        </w:rPr>
        <w:t>预算支出</w:t>
      </w:r>
      <w:r>
        <w:rPr>
          <w:rFonts w:ascii="仿宋" w:hAnsi="仿宋" w:eastAsia="仿宋" w:cs="仿宋"/>
          <w:sz w:val="32"/>
          <w:szCs w:val="32"/>
        </w:rPr>
        <w:t>177.91</w:t>
      </w:r>
      <w:r>
        <w:rPr>
          <w:rFonts w:hint="eastAsia" w:ascii="仿宋" w:hAnsi="仿宋" w:eastAsia="仿宋" w:cs="宋体"/>
          <w:sz w:val="32"/>
          <w:szCs w:val="32"/>
        </w:rPr>
        <w:t>万元。其中，人员经费支出</w:t>
      </w:r>
      <w:r>
        <w:rPr>
          <w:rFonts w:ascii="仿宋" w:hAnsi="仿宋" w:eastAsia="仿宋" w:cs="仿宋"/>
          <w:sz w:val="32"/>
          <w:szCs w:val="32"/>
        </w:rPr>
        <w:t>131.65</w:t>
      </w:r>
      <w:r>
        <w:rPr>
          <w:rFonts w:hint="eastAsia" w:ascii="仿宋" w:hAnsi="仿宋" w:eastAsia="仿宋" w:cs="宋体"/>
          <w:sz w:val="32"/>
          <w:szCs w:val="32"/>
        </w:rPr>
        <w:t>万元，正常公用经费</w:t>
      </w:r>
      <w:r>
        <w:rPr>
          <w:rFonts w:ascii="仿宋" w:hAnsi="仿宋" w:eastAsia="仿宋" w:cs="仿宋"/>
          <w:sz w:val="32"/>
          <w:szCs w:val="32"/>
        </w:rPr>
        <w:t>27.26</w:t>
      </w:r>
      <w:r>
        <w:rPr>
          <w:rFonts w:hint="eastAsia" w:ascii="仿宋" w:hAnsi="仿宋" w:eastAsia="仿宋" w:cs="宋体"/>
          <w:sz w:val="32"/>
          <w:szCs w:val="32"/>
        </w:rPr>
        <w:t>万元，项目支出</w:t>
      </w:r>
      <w:r>
        <w:rPr>
          <w:rFonts w:ascii="仿宋" w:hAnsi="仿宋" w:eastAsia="仿宋" w:cs="仿宋"/>
          <w:sz w:val="32"/>
          <w:szCs w:val="32"/>
        </w:rPr>
        <w:t>19</w:t>
      </w:r>
      <w:r>
        <w:rPr>
          <w:rFonts w:hint="eastAsia" w:ascii="仿宋" w:hAnsi="仿宋" w:eastAsia="仿宋" w:cs="宋体"/>
          <w:sz w:val="32"/>
          <w:szCs w:val="32"/>
        </w:rPr>
        <w:t>万元（其中本级项目支出</w:t>
      </w:r>
      <w:r>
        <w:rPr>
          <w:rFonts w:ascii="仿宋" w:hAnsi="仿宋" w:eastAsia="仿宋" w:cs="仿宋"/>
          <w:sz w:val="32"/>
          <w:szCs w:val="32"/>
        </w:rPr>
        <w:t>19</w:t>
      </w:r>
      <w:r>
        <w:rPr>
          <w:rFonts w:hint="eastAsia" w:ascii="仿宋" w:hAnsi="仿宋" w:eastAsia="仿宋" w:cs="宋体"/>
          <w:sz w:val="32"/>
          <w:szCs w:val="32"/>
        </w:rPr>
        <w:t>万元）。</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pPr>
        <w:ind w:firstLine="640"/>
        <w:jc w:val="left"/>
        <w:rPr>
          <w:rFonts w:ascii="仿宋" w:hAnsi="仿宋" w:eastAsia="仿宋" w:cs="宋体"/>
          <w:sz w:val="32"/>
          <w:szCs w:val="32"/>
        </w:rPr>
      </w:pPr>
      <w:r>
        <w:rPr>
          <w:rFonts w:ascii="仿宋" w:hAnsi="仿宋" w:eastAsia="仿宋" w:cs="仿宋"/>
          <w:sz w:val="32"/>
          <w:szCs w:val="32"/>
        </w:rPr>
        <w:t>2019</w:t>
      </w:r>
      <w:r>
        <w:rPr>
          <w:rFonts w:hint="eastAsia" w:ascii="仿宋" w:hAnsi="仿宋" w:eastAsia="仿宋" w:cs="宋体"/>
          <w:sz w:val="32"/>
          <w:szCs w:val="32"/>
        </w:rPr>
        <w:t>年预算收支安排</w:t>
      </w:r>
      <w:r>
        <w:rPr>
          <w:rFonts w:ascii="仿宋" w:hAnsi="仿宋" w:eastAsia="仿宋" w:cs="仿宋"/>
          <w:sz w:val="32"/>
          <w:szCs w:val="32"/>
        </w:rPr>
        <w:t>177.91</w:t>
      </w:r>
      <w:r>
        <w:rPr>
          <w:rFonts w:hint="eastAsia" w:ascii="仿宋" w:hAnsi="仿宋" w:eastAsia="仿宋" w:cs="宋体"/>
          <w:sz w:val="32"/>
          <w:szCs w:val="32"/>
        </w:rPr>
        <w:t>万元，较</w:t>
      </w:r>
      <w:r>
        <w:rPr>
          <w:rFonts w:ascii="仿宋" w:hAnsi="仿宋" w:eastAsia="仿宋" w:cs="仿宋"/>
          <w:sz w:val="32"/>
          <w:szCs w:val="32"/>
        </w:rPr>
        <w:t>2018</w:t>
      </w:r>
      <w:r>
        <w:rPr>
          <w:rFonts w:hint="eastAsia" w:ascii="仿宋" w:hAnsi="仿宋" w:eastAsia="仿宋" w:cs="宋体"/>
          <w:sz w:val="32"/>
          <w:szCs w:val="32"/>
        </w:rPr>
        <w:t>年预算增加</w:t>
      </w:r>
      <w:r>
        <w:rPr>
          <w:rFonts w:ascii="仿宋" w:hAnsi="仿宋" w:eastAsia="仿宋" w:cs="仿宋"/>
          <w:sz w:val="32"/>
          <w:szCs w:val="32"/>
        </w:rPr>
        <w:t>37.18</w:t>
      </w:r>
      <w:r>
        <w:rPr>
          <w:rFonts w:hint="eastAsia" w:ascii="仿宋" w:hAnsi="仿宋" w:eastAsia="仿宋" w:cs="宋体"/>
          <w:sz w:val="32"/>
          <w:szCs w:val="32"/>
        </w:rPr>
        <w:t>万元，其中基本支出增加</w:t>
      </w:r>
      <w:r>
        <w:rPr>
          <w:rFonts w:ascii="仿宋" w:hAnsi="仿宋" w:eastAsia="仿宋" w:cs="仿宋"/>
          <w:sz w:val="32"/>
          <w:szCs w:val="32"/>
        </w:rPr>
        <w:t>32.18</w:t>
      </w:r>
      <w:r>
        <w:rPr>
          <w:rFonts w:hint="eastAsia" w:ascii="仿宋" w:hAnsi="仿宋" w:eastAsia="仿宋" w:cs="宋体"/>
          <w:sz w:val="32"/>
          <w:szCs w:val="32"/>
        </w:rPr>
        <w:t>万元，因增加派遣人员和工资上涨，费用相对增加（人员经费支出增加</w:t>
      </w:r>
      <w:r>
        <w:rPr>
          <w:rFonts w:ascii="仿宋" w:hAnsi="仿宋" w:eastAsia="仿宋" w:cs="仿宋"/>
          <w:sz w:val="32"/>
          <w:szCs w:val="32"/>
        </w:rPr>
        <w:t>17.91</w:t>
      </w:r>
      <w:r>
        <w:rPr>
          <w:rFonts w:hint="eastAsia" w:ascii="仿宋" w:hAnsi="仿宋" w:eastAsia="仿宋" w:cs="宋体"/>
          <w:sz w:val="32"/>
          <w:szCs w:val="32"/>
        </w:rPr>
        <w:t>万元，日常公用经费支出增加</w:t>
      </w:r>
      <w:r>
        <w:rPr>
          <w:rFonts w:ascii="仿宋" w:hAnsi="仿宋" w:eastAsia="仿宋" w:cs="仿宋"/>
          <w:sz w:val="32"/>
          <w:szCs w:val="32"/>
        </w:rPr>
        <w:t>14.27</w:t>
      </w:r>
      <w:r>
        <w:rPr>
          <w:rFonts w:hint="eastAsia" w:ascii="仿宋" w:hAnsi="仿宋" w:eastAsia="仿宋" w:cs="宋体"/>
          <w:sz w:val="32"/>
          <w:szCs w:val="32"/>
        </w:rPr>
        <w:t>万元）项目支出增加</w:t>
      </w:r>
      <w:r>
        <w:rPr>
          <w:rFonts w:ascii="仿宋" w:hAnsi="仿宋" w:eastAsia="仿宋" w:cs="宋体"/>
          <w:sz w:val="32"/>
          <w:szCs w:val="32"/>
        </w:rPr>
        <w:t>5</w:t>
      </w:r>
      <w:r>
        <w:rPr>
          <w:rFonts w:hint="eastAsia" w:ascii="仿宋" w:hAnsi="仿宋" w:eastAsia="仿宋" w:cs="宋体"/>
          <w:sz w:val="32"/>
          <w:szCs w:val="32"/>
        </w:rPr>
        <w:t>万元，因</w:t>
      </w:r>
      <w:r>
        <w:rPr>
          <w:rFonts w:hint="eastAsia" w:ascii="仿宋" w:hAnsi="仿宋" w:eastAsia="仿宋" w:cs="宋体"/>
          <w:sz w:val="32"/>
          <w:szCs w:val="32"/>
          <w:lang w:val="en-US" w:eastAsia="zh-CN"/>
        </w:rPr>
        <w:t>上级拨付资金增加</w:t>
      </w:r>
      <w:r>
        <w:rPr>
          <w:rFonts w:hint="eastAsia" w:ascii="仿宋" w:hAnsi="仿宋" w:eastAsia="仿宋" w:cs="宋体"/>
          <w:sz w:val="32"/>
          <w:szCs w:val="32"/>
        </w:rPr>
        <w:t>。</w:t>
      </w:r>
    </w:p>
    <w:p>
      <w:pPr>
        <w:ind w:firstLine="640"/>
        <w:jc w:val="left"/>
      </w:pPr>
      <w:r>
        <w:rPr>
          <w:rFonts w:hint="eastAsia"/>
        </w:rPr>
        <w:t>，</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640"/>
        <w:jc w:val="left"/>
      </w:pPr>
      <w:r>
        <w:rPr>
          <w:rFonts w:hint="eastAsia" w:ascii="仿宋" w:hAnsi="仿宋" w:eastAsia="仿宋" w:cs="宋体"/>
          <w:sz w:val="32"/>
          <w:szCs w:val="32"/>
        </w:rPr>
        <w:t>石家庄市鹿泉区科学技术技术协会</w:t>
      </w:r>
      <w:r>
        <w:rPr>
          <w:rFonts w:ascii="仿宋" w:hAnsi="仿宋" w:eastAsia="仿宋" w:cs="仿宋"/>
          <w:sz w:val="32"/>
          <w:szCs w:val="32"/>
        </w:rPr>
        <w:t>2019</w:t>
      </w:r>
      <w:r>
        <w:rPr>
          <w:rFonts w:hint="eastAsia" w:ascii="仿宋" w:hAnsi="仿宋" w:eastAsia="仿宋" w:cs="宋体"/>
          <w:sz w:val="32"/>
          <w:szCs w:val="32"/>
        </w:rPr>
        <w:t>年机关运行办公费</w:t>
      </w:r>
      <w:r>
        <w:rPr>
          <w:rFonts w:ascii="仿宋" w:hAnsi="仿宋" w:eastAsia="仿宋" w:cs="仿宋"/>
          <w:sz w:val="32"/>
          <w:szCs w:val="32"/>
        </w:rPr>
        <w:t>4.38</w:t>
      </w:r>
      <w:r>
        <w:rPr>
          <w:rFonts w:hint="eastAsia" w:ascii="仿宋" w:hAnsi="仿宋" w:eastAsia="仿宋" w:cs="宋体"/>
          <w:sz w:val="32"/>
          <w:szCs w:val="32"/>
        </w:rPr>
        <w:t>万元，公务用车运行费</w:t>
      </w:r>
      <w:r>
        <w:rPr>
          <w:rFonts w:ascii="仿宋" w:hAnsi="仿宋" w:eastAsia="仿宋" w:cs="仿宋"/>
          <w:sz w:val="32"/>
          <w:szCs w:val="32"/>
        </w:rPr>
        <w:t>2.7</w:t>
      </w:r>
      <w:r>
        <w:rPr>
          <w:rFonts w:hint="eastAsia" w:ascii="仿宋" w:hAnsi="仿宋" w:eastAsia="仿宋" w:cs="宋体"/>
          <w:sz w:val="32"/>
          <w:szCs w:val="32"/>
        </w:rPr>
        <w:t>万元。</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ind w:firstLine="640"/>
        <w:jc w:val="left"/>
      </w:pPr>
      <w:r>
        <w:rPr>
          <w:rFonts w:hint="eastAsia" w:ascii="仿宋" w:hAnsi="仿宋" w:eastAsia="仿宋" w:cs="宋体"/>
          <w:sz w:val="32"/>
          <w:szCs w:val="32"/>
        </w:rPr>
        <w:t>我单位</w:t>
      </w:r>
      <w:r>
        <w:rPr>
          <w:rFonts w:ascii="仿宋" w:hAnsi="仿宋" w:eastAsia="仿宋" w:cs="仿宋"/>
          <w:sz w:val="32"/>
          <w:szCs w:val="32"/>
        </w:rPr>
        <w:t>2019</w:t>
      </w:r>
      <w:r>
        <w:rPr>
          <w:rFonts w:hint="eastAsia" w:ascii="仿宋" w:hAnsi="仿宋" w:eastAsia="仿宋" w:cs="宋体"/>
          <w:sz w:val="32"/>
          <w:szCs w:val="32"/>
        </w:rPr>
        <w:t>年三公经费预算总计为</w:t>
      </w:r>
      <w:r>
        <w:rPr>
          <w:rFonts w:ascii="仿宋" w:hAnsi="仿宋" w:eastAsia="仿宋" w:cs="仿宋"/>
          <w:sz w:val="32"/>
          <w:szCs w:val="32"/>
        </w:rPr>
        <w:t>2.7</w:t>
      </w:r>
      <w:r>
        <w:rPr>
          <w:rFonts w:hint="eastAsia" w:ascii="仿宋" w:hAnsi="仿宋" w:eastAsia="仿宋" w:cs="宋体"/>
          <w:sz w:val="32"/>
          <w:szCs w:val="32"/>
        </w:rPr>
        <w:t>万元，与</w:t>
      </w:r>
      <w:r>
        <w:rPr>
          <w:rFonts w:ascii="仿宋" w:hAnsi="仿宋" w:eastAsia="仿宋" w:cs="仿宋"/>
          <w:sz w:val="32"/>
          <w:szCs w:val="32"/>
        </w:rPr>
        <w:t>2018</w:t>
      </w:r>
      <w:r>
        <w:rPr>
          <w:rFonts w:hint="eastAsia" w:ascii="仿宋" w:hAnsi="仿宋" w:eastAsia="仿宋" w:cs="宋体"/>
          <w:sz w:val="32"/>
          <w:szCs w:val="32"/>
        </w:rPr>
        <w:t>年预算数据</w:t>
      </w:r>
      <w:r>
        <w:rPr>
          <w:rFonts w:ascii="仿宋" w:hAnsi="仿宋" w:eastAsia="仿宋" w:cs="仿宋"/>
          <w:sz w:val="32"/>
          <w:szCs w:val="32"/>
        </w:rPr>
        <w:t>2.7</w:t>
      </w:r>
      <w:r>
        <w:rPr>
          <w:rFonts w:hint="eastAsia" w:ascii="仿宋" w:hAnsi="仿宋" w:eastAsia="仿宋" w:cs="宋体"/>
          <w:sz w:val="32"/>
          <w:szCs w:val="32"/>
        </w:rPr>
        <w:t>万元相比持平，无增减变化。（</w:t>
      </w:r>
      <w:r>
        <w:rPr>
          <w:rFonts w:ascii="仿宋" w:hAnsi="仿宋" w:eastAsia="仿宋" w:cs="仿宋"/>
          <w:sz w:val="32"/>
          <w:szCs w:val="32"/>
        </w:rPr>
        <w:t>2019</w:t>
      </w:r>
      <w:r>
        <w:rPr>
          <w:rFonts w:hint="eastAsia" w:ascii="仿宋" w:hAnsi="仿宋" w:eastAsia="仿宋" w:cs="宋体"/>
          <w:sz w:val="32"/>
          <w:szCs w:val="32"/>
        </w:rPr>
        <w:t>未安排因公出国（境）费、公务用车购置费），具体是：</w:t>
      </w:r>
    </w:p>
    <w:p>
      <w:pPr>
        <w:ind w:firstLine="640"/>
        <w:jc w:val="left"/>
      </w:pPr>
      <w:r>
        <w:rPr>
          <w:rFonts w:ascii="仿宋" w:hAnsi="仿宋" w:eastAsia="仿宋" w:cs="仿宋"/>
          <w:sz w:val="32"/>
          <w:szCs w:val="32"/>
        </w:rPr>
        <w:t>1</w:t>
      </w:r>
      <w:r>
        <w:rPr>
          <w:rFonts w:hint="eastAsia" w:ascii="仿宋" w:hAnsi="仿宋" w:eastAsia="仿宋" w:cs="宋体"/>
          <w:sz w:val="32"/>
          <w:szCs w:val="32"/>
        </w:rPr>
        <w:t>、因公出国（境）经费</w:t>
      </w:r>
    </w:p>
    <w:p>
      <w:pPr>
        <w:ind w:firstLine="640"/>
        <w:jc w:val="left"/>
      </w:pPr>
      <w:r>
        <w:rPr>
          <w:rFonts w:ascii="仿宋" w:hAnsi="仿宋" w:eastAsia="仿宋" w:cs="仿宋"/>
          <w:sz w:val="32"/>
          <w:szCs w:val="32"/>
        </w:rPr>
        <w:t>2019</w:t>
      </w:r>
      <w:r>
        <w:rPr>
          <w:rFonts w:hint="eastAsia" w:ascii="仿宋" w:hAnsi="仿宋" w:eastAsia="仿宋" w:cs="宋体"/>
          <w:sz w:val="32"/>
          <w:szCs w:val="32"/>
        </w:rPr>
        <w:t>年石家庄市鹿泉区科学技术协会安排的出国计划，拟安排出国境组</w:t>
      </w:r>
      <w:r>
        <w:rPr>
          <w:rFonts w:ascii="仿宋" w:hAnsi="仿宋" w:eastAsia="仿宋" w:cs="仿宋"/>
          <w:sz w:val="32"/>
          <w:szCs w:val="32"/>
        </w:rPr>
        <w:t>0</w:t>
      </w:r>
      <w:r>
        <w:rPr>
          <w:rFonts w:hint="eastAsia" w:ascii="仿宋" w:hAnsi="仿宋" w:eastAsia="仿宋" w:cs="宋体"/>
          <w:sz w:val="32"/>
          <w:szCs w:val="32"/>
        </w:rPr>
        <w:t>次，出国境</w:t>
      </w:r>
      <w:r>
        <w:rPr>
          <w:rFonts w:ascii="仿宋" w:hAnsi="仿宋" w:eastAsia="仿宋" w:cs="仿宋"/>
          <w:sz w:val="32"/>
          <w:szCs w:val="32"/>
        </w:rPr>
        <w:t>0</w:t>
      </w:r>
      <w:r>
        <w:rPr>
          <w:rFonts w:hint="eastAsia" w:ascii="仿宋" w:hAnsi="仿宋" w:eastAsia="仿宋" w:cs="宋体"/>
          <w:sz w:val="32"/>
          <w:szCs w:val="32"/>
        </w:rPr>
        <w:t>人，安排出国（境）经费预算</w:t>
      </w:r>
      <w:r>
        <w:rPr>
          <w:rFonts w:ascii="仿宋" w:hAnsi="仿宋" w:eastAsia="仿宋" w:cs="仿宋"/>
          <w:sz w:val="32"/>
          <w:szCs w:val="32"/>
        </w:rPr>
        <w:t>0</w:t>
      </w:r>
      <w:r>
        <w:rPr>
          <w:rFonts w:hint="eastAsia" w:ascii="仿宋" w:hAnsi="仿宋" w:eastAsia="仿宋" w:cs="宋体"/>
          <w:sz w:val="32"/>
          <w:szCs w:val="32"/>
        </w:rPr>
        <w:t>万元，与</w:t>
      </w:r>
      <w:r>
        <w:rPr>
          <w:rFonts w:ascii="仿宋" w:hAnsi="仿宋" w:eastAsia="仿宋" w:cs="仿宋"/>
          <w:sz w:val="32"/>
          <w:szCs w:val="32"/>
        </w:rPr>
        <w:t>2018</w:t>
      </w:r>
      <w:r>
        <w:rPr>
          <w:rFonts w:hint="eastAsia" w:ascii="仿宋" w:hAnsi="仿宋" w:eastAsia="仿宋" w:cs="宋体"/>
          <w:sz w:val="32"/>
          <w:szCs w:val="32"/>
        </w:rPr>
        <w:t>年持平，无增减变化。</w:t>
      </w:r>
    </w:p>
    <w:p>
      <w:pPr>
        <w:ind w:firstLine="640"/>
        <w:jc w:val="left"/>
      </w:pPr>
      <w:r>
        <w:rPr>
          <w:rFonts w:ascii="仿宋" w:hAnsi="仿宋" w:eastAsia="仿宋" w:cs="仿宋"/>
          <w:sz w:val="32"/>
          <w:szCs w:val="32"/>
        </w:rPr>
        <w:t>2</w:t>
      </w:r>
      <w:r>
        <w:rPr>
          <w:rFonts w:hint="eastAsia" w:ascii="仿宋" w:hAnsi="仿宋" w:eastAsia="仿宋" w:cs="宋体"/>
          <w:sz w:val="32"/>
          <w:szCs w:val="32"/>
        </w:rPr>
        <w:t>、公务接待费</w:t>
      </w:r>
    </w:p>
    <w:p>
      <w:pPr>
        <w:ind w:firstLine="640"/>
        <w:jc w:val="left"/>
      </w:pPr>
      <w:r>
        <w:rPr>
          <w:rFonts w:ascii="仿宋" w:hAnsi="仿宋" w:eastAsia="仿宋" w:cs="仿宋"/>
          <w:sz w:val="32"/>
          <w:szCs w:val="32"/>
        </w:rPr>
        <w:t>2019</w:t>
      </w:r>
      <w:r>
        <w:rPr>
          <w:rFonts w:hint="eastAsia" w:ascii="仿宋" w:hAnsi="仿宋" w:eastAsia="仿宋" w:cs="宋体"/>
          <w:sz w:val="32"/>
          <w:szCs w:val="32"/>
        </w:rPr>
        <w:t>年石家庄市鹿泉区科学技术协会安排公务接待费</w:t>
      </w:r>
      <w:r>
        <w:rPr>
          <w:rFonts w:ascii="仿宋" w:hAnsi="仿宋" w:eastAsia="仿宋" w:cs="仿宋"/>
          <w:sz w:val="32"/>
          <w:szCs w:val="32"/>
        </w:rPr>
        <w:t>0</w:t>
      </w:r>
      <w:r>
        <w:rPr>
          <w:rFonts w:hint="eastAsia" w:ascii="仿宋" w:hAnsi="仿宋" w:eastAsia="仿宋" w:cs="宋体"/>
          <w:sz w:val="32"/>
          <w:szCs w:val="32"/>
        </w:rPr>
        <w:t>万元，与</w:t>
      </w:r>
      <w:r>
        <w:rPr>
          <w:rFonts w:ascii="仿宋" w:hAnsi="仿宋" w:eastAsia="仿宋" w:cs="宋体"/>
          <w:sz w:val="32"/>
          <w:szCs w:val="32"/>
        </w:rPr>
        <w:t>2018</w:t>
      </w:r>
      <w:r>
        <w:rPr>
          <w:rFonts w:hint="eastAsia" w:ascii="仿宋" w:hAnsi="仿宋" w:eastAsia="仿宋" w:cs="宋体"/>
          <w:sz w:val="32"/>
          <w:szCs w:val="32"/>
        </w:rPr>
        <w:t>年相比持平，无增减变化。</w:t>
      </w:r>
    </w:p>
    <w:p>
      <w:pPr>
        <w:ind w:firstLine="640"/>
        <w:jc w:val="left"/>
      </w:pPr>
      <w:r>
        <w:rPr>
          <w:rFonts w:ascii="仿宋" w:hAnsi="仿宋" w:eastAsia="仿宋" w:cs="仿宋"/>
          <w:sz w:val="32"/>
          <w:szCs w:val="32"/>
        </w:rPr>
        <w:t>3</w:t>
      </w:r>
      <w:r>
        <w:rPr>
          <w:rFonts w:hint="eastAsia" w:ascii="仿宋" w:hAnsi="仿宋" w:eastAsia="仿宋" w:cs="宋体"/>
          <w:sz w:val="32"/>
          <w:szCs w:val="32"/>
        </w:rPr>
        <w:t>、公务用车购置及运行维护费</w:t>
      </w:r>
    </w:p>
    <w:p>
      <w:pPr>
        <w:ind w:firstLine="640"/>
        <w:jc w:val="left"/>
      </w:pPr>
      <w:r>
        <w:rPr>
          <w:rFonts w:ascii="仿宋" w:hAnsi="仿宋" w:eastAsia="仿宋" w:cs="仿宋"/>
          <w:sz w:val="32"/>
          <w:szCs w:val="32"/>
        </w:rPr>
        <w:t>2019</w:t>
      </w:r>
      <w:r>
        <w:rPr>
          <w:rFonts w:hint="eastAsia" w:ascii="仿宋" w:hAnsi="仿宋" w:eastAsia="仿宋" w:cs="宋体"/>
          <w:sz w:val="32"/>
          <w:szCs w:val="32"/>
        </w:rPr>
        <w:t>年石家庄市鹿泉区科学技术协会安排公车购置及运行维护费</w:t>
      </w:r>
      <w:r>
        <w:rPr>
          <w:rFonts w:ascii="仿宋" w:hAnsi="仿宋" w:eastAsia="仿宋" w:cs="仿宋"/>
          <w:sz w:val="32"/>
          <w:szCs w:val="32"/>
        </w:rPr>
        <w:t>2.7</w:t>
      </w:r>
      <w:r>
        <w:rPr>
          <w:rFonts w:hint="eastAsia" w:ascii="仿宋" w:hAnsi="仿宋" w:eastAsia="仿宋" w:cs="宋体"/>
          <w:sz w:val="32"/>
          <w:szCs w:val="32"/>
        </w:rPr>
        <w:t>万元，其中：购置经费</w:t>
      </w:r>
      <w:r>
        <w:rPr>
          <w:rFonts w:ascii="仿宋" w:hAnsi="仿宋" w:eastAsia="仿宋" w:cs="仿宋"/>
          <w:sz w:val="32"/>
          <w:szCs w:val="32"/>
        </w:rPr>
        <w:t>0</w:t>
      </w:r>
      <w:r>
        <w:rPr>
          <w:rFonts w:hint="eastAsia" w:ascii="仿宋" w:hAnsi="仿宋" w:eastAsia="仿宋" w:cs="宋体"/>
          <w:sz w:val="32"/>
          <w:szCs w:val="32"/>
        </w:rPr>
        <w:t>万元、运行维护费</w:t>
      </w:r>
      <w:r>
        <w:rPr>
          <w:rFonts w:ascii="仿宋" w:hAnsi="仿宋" w:eastAsia="仿宋" w:cs="宋体"/>
          <w:sz w:val="32"/>
          <w:szCs w:val="32"/>
        </w:rPr>
        <w:t xml:space="preserve"> </w:t>
      </w:r>
      <w:r>
        <w:rPr>
          <w:rFonts w:ascii="仿宋" w:hAnsi="仿宋" w:eastAsia="仿宋" w:cs="仿宋"/>
          <w:sz w:val="32"/>
          <w:szCs w:val="32"/>
        </w:rPr>
        <w:t>2.7</w:t>
      </w:r>
      <w:r>
        <w:rPr>
          <w:rFonts w:hint="eastAsia" w:ascii="仿宋" w:hAnsi="仿宋" w:eastAsia="仿宋" w:cs="宋体"/>
          <w:sz w:val="32"/>
          <w:szCs w:val="32"/>
        </w:rPr>
        <w:t>万元，与去年持平，无增减变化。我单位共有公务用车</w:t>
      </w:r>
      <w:r>
        <w:rPr>
          <w:rFonts w:ascii="仿宋" w:hAnsi="仿宋" w:eastAsia="仿宋" w:cs="仿宋"/>
          <w:sz w:val="32"/>
          <w:szCs w:val="32"/>
        </w:rPr>
        <w:t>1</w:t>
      </w:r>
      <w:r>
        <w:rPr>
          <w:rFonts w:hint="eastAsia" w:ascii="仿宋" w:hAnsi="仿宋" w:eastAsia="仿宋" w:cs="宋体"/>
          <w:sz w:val="32"/>
          <w:szCs w:val="32"/>
        </w:rPr>
        <w:t>辆，其中：轿车</w:t>
      </w:r>
      <w:r>
        <w:rPr>
          <w:rFonts w:ascii="仿宋" w:hAnsi="仿宋" w:eastAsia="仿宋" w:cs="仿宋"/>
          <w:sz w:val="32"/>
          <w:szCs w:val="32"/>
        </w:rPr>
        <w:t>1</w:t>
      </w:r>
      <w:r>
        <w:rPr>
          <w:rFonts w:hint="eastAsia" w:ascii="仿宋" w:hAnsi="仿宋" w:eastAsia="仿宋" w:cs="宋体"/>
          <w:sz w:val="32"/>
          <w:szCs w:val="32"/>
        </w:rPr>
        <w:t>辆。</w:t>
      </w:r>
    </w:p>
    <w:p>
      <w:pPr>
        <w:ind w:firstLine="640"/>
        <w:rPr>
          <w:rFonts w:hint="eastAsia" w:ascii="黑体" w:hAnsi="黑体" w:eastAsia="黑体"/>
          <w:sz w:val="32"/>
          <w:szCs w:val="32"/>
        </w:rPr>
      </w:pPr>
    </w:p>
    <w:p>
      <w:pPr>
        <w:ind w:firstLine="640"/>
        <w:rPr>
          <w:rFonts w:ascii="黑体" w:hAnsi="黑体" w:eastAsia="黑体"/>
          <w:sz w:val="32"/>
          <w:szCs w:val="32"/>
        </w:rPr>
      </w:pPr>
      <w:r>
        <w:rPr>
          <w:rFonts w:hint="eastAsia" w:ascii="黑体" w:hAnsi="黑体" w:eastAsia="黑体"/>
          <w:sz w:val="32"/>
          <w:szCs w:val="32"/>
        </w:rPr>
        <w:t>五、绩效预算信息</w:t>
      </w:r>
    </w:p>
    <w:p>
      <w:pPr>
        <w:ind w:firstLine="643" w:firstLineChars="200"/>
        <w:jc w:val="left"/>
        <w:rPr>
          <w:rFonts w:hint="eastAsia"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 部门整体绩效目标</w:t>
      </w:r>
    </w:p>
    <w:p>
      <w:pPr>
        <w:ind w:firstLine="643"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（一）总体绩效目标：</w:t>
      </w:r>
    </w:p>
    <w:p>
      <w:pPr>
        <w:spacing w:line="500" w:lineRule="exact"/>
        <w:ind w:firstLine="560"/>
      </w:pPr>
      <w:r>
        <w:rPr>
          <w:rFonts w:hint="eastAsia" w:ascii="仿宋" w:hAnsi="仿宋" w:eastAsia="仿宋" w:cs="方正仿宋_GBK"/>
          <w:sz w:val="32"/>
          <w:szCs w:val="32"/>
        </w:rPr>
        <w:t>（</w:t>
      </w:r>
      <w:r>
        <w:rPr>
          <w:rFonts w:ascii="仿宋" w:hAnsi="仿宋" w:eastAsia="仿宋" w:cs="仿宋"/>
          <w:sz w:val="32"/>
          <w:szCs w:val="32"/>
        </w:rPr>
        <w:t>1</w:t>
      </w:r>
      <w:r>
        <w:rPr>
          <w:rFonts w:hint="eastAsia" w:ascii="仿宋" w:hAnsi="仿宋" w:eastAsia="仿宋" w:cs="方正仿宋_GBK"/>
          <w:sz w:val="32"/>
          <w:szCs w:val="32"/>
        </w:rPr>
        <w:t>）搞好乡镇科协组织建设，指导乡镇科协抓好科协工作，加强农研会组织建设，完善和健全城乡科普网络。</w:t>
      </w:r>
    </w:p>
    <w:p>
      <w:pPr>
        <w:spacing w:line="500" w:lineRule="exact"/>
        <w:ind w:firstLine="560"/>
      </w:pPr>
      <w:r>
        <w:rPr>
          <w:rFonts w:hint="eastAsia" w:ascii="仿宋" w:hAnsi="仿宋" w:eastAsia="仿宋" w:cs="宋体"/>
          <w:sz w:val="32"/>
          <w:szCs w:val="32"/>
        </w:rPr>
        <w:t>（</w:t>
      </w:r>
      <w:r>
        <w:rPr>
          <w:rFonts w:ascii="仿宋" w:hAnsi="仿宋" w:eastAsia="仿宋" w:cs="仿宋"/>
          <w:sz w:val="32"/>
          <w:szCs w:val="32"/>
        </w:rPr>
        <w:t>2</w:t>
      </w:r>
      <w:r>
        <w:rPr>
          <w:rFonts w:hint="eastAsia" w:ascii="仿宋" w:hAnsi="仿宋" w:eastAsia="仿宋" w:cs="宋体"/>
          <w:sz w:val="32"/>
          <w:szCs w:val="32"/>
        </w:rPr>
        <w:t>）负责筹划大型科普活动。做好学会、研究会组织建设，完善和健全协会组织。</w:t>
      </w:r>
    </w:p>
    <w:p>
      <w:pPr>
        <w:spacing w:line="500" w:lineRule="exact"/>
        <w:ind w:firstLine="560"/>
      </w:pPr>
      <w:r>
        <w:rPr>
          <w:rFonts w:hint="eastAsia" w:ascii="仿宋" w:hAnsi="仿宋" w:eastAsia="仿宋" w:cs="宋体"/>
          <w:sz w:val="32"/>
          <w:szCs w:val="32"/>
        </w:rPr>
        <w:t>（</w:t>
      </w:r>
      <w:r>
        <w:rPr>
          <w:rFonts w:ascii="仿宋" w:hAnsi="仿宋" w:eastAsia="仿宋" w:cs="仿宋"/>
          <w:sz w:val="32"/>
          <w:szCs w:val="32"/>
        </w:rPr>
        <w:t>3</w:t>
      </w:r>
      <w:r>
        <w:rPr>
          <w:rFonts w:hint="eastAsia" w:ascii="仿宋" w:hAnsi="仿宋" w:eastAsia="仿宋" w:cs="宋体"/>
          <w:sz w:val="32"/>
          <w:szCs w:val="32"/>
        </w:rPr>
        <w:t>）开展科普示范创建工作，组织指导乡镇科协开展科普活动，推广引进、开发普及先进技术，促使全区科技进步、社会发展和两个文明建设。普及科学知识，传播科学思想，维护科学技术工作者的合法权益，反映科学技术工作者的意见和要求，完善各项举措。</w:t>
      </w:r>
    </w:p>
    <w:p>
      <w:pPr>
        <w:spacing w:line="500" w:lineRule="exact"/>
        <w:ind w:firstLine="560"/>
      </w:pPr>
      <w:r>
        <w:rPr>
          <w:rFonts w:hint="eastAsia" w:ascii="仿宋" w:hAnsi="仿宋" w:eastAsia="仿宋" w:cs="宋体"/>
          <w:sz w:val="32"/>
          <w:szCs w:val="32"/>
        </w:rPr>
        <w:t>（</w:t>
      </w:r>
      <w:r>
        <w:rPr>
          <w:rFonts w:ascii="仿宋" w:hAnsi="仿宋" w:eastAsia="仿宋" w:cs="仿宋"/>
          <w:sz w:val="32"/>
          <w:szCs w:val="32"/>
        </w:rPr>
        <w:t>4</w:t>
      </w:r>
      <w:r>
        <w:rPr>
          <w:rFonts w:hint="eastAsia" w:ascii="仿宋" w:hAnsi="仿宋" w:eastAsia="仿宋" w:cs="宋体"/>
          <w:sz w:val="32"/>
          <w:szCs w:val="32"/>
        </w:rPr>
        <w:t>）抓好全区广大党员、基层干部使用技术培训。树立典型，抓好科普基地建设。</w:t>
      </w:r>
    </w:p>
    <w:p>
      <w:pPr>
        <w:spacing w:line="500" w:lineRule="exact"/>
        <w:ind w:firstLine="560"/>
      </w:pPr>
      <w:r>
        <w:rPr>
          <w:rFonts w:hint="eastAsia" w:ascii="仿宋" w:hAnsi="仿宋" w:eastAsia="仿宋" w:cs="宋体"/>
          <w:sz w:val="32"/>
          <w:szCs w:val="32"/>
        </w:rPr>
        <w:t>（</w:t>
      </w:r>
      <w:r>
        <w:rPr>
          <w:rFonts w:ascii="仿宋" w:hAnsi="仿宋" w:eastAsia="仿宋" w:cs="仿宋"/>
          <w:sz w:val="32"/>
          <w:szCs w:val="32"/>
        </w:rPr>
        <w:t>5</w:t>
      </w:r>
      <w:r>
        <w:rPr>
          <w:rFonts w:hint="eastAsia" w:ascii="仿宋" w:hAnsi="仿宋" w:eastAsia="仿宋" w:cs="宋体"/>
          <w:sz w:val="32"/>
          <w:szCs w:val="32"/>
        </w:rPr>
        <w:t>）广泛开展各项学术研究活动，开展科学技术攻关、科技咨询服务工作。表彰奖励宣传典型。</w:t>
      </w:r>
    </w:p>
    <w:p>
      <w:pPr>
        <w:spacing w:line="500" w:lineRule="exact"/>
        <w:ind w:firstLine="560"/>
      </w:pPr>
      <w:r>
        <w:rPr>
          <w:rFonts w:hint="eastAsia" w:ascii="仿宋" w:hAnsi="仿宋" w:eastAsia="仿宋" w:cs="宋体"/>
          <w:sz w:val="32"/>
          <w:szCs w:val="32"/>
        </w:rPr>
        <w:t>（</w:t>
      </w:r>
      <w:r>
        <w:rPr>
          <w:rFonts w:ascii="仿宋" w:hAnsi="仿宋" w:eastAsia="仿宋" w:cs="仿宋"/>
          <w:sz w:val="32"/>
          <w:szCs w:val="32"/>
        </w:rPr>
        <w:t>6</w:t>
      </w:r>
      <w:r>
        <w:rPr>
          <w:rFonts w:hint="eastAsia" w:ascii="仿宋" w:hAnsi="仿宋" w:eastAsia="仿宋" w:cs="宋体"/>
          <w:sz w:val="32"/>
          <w:szCs w:val="32"/>
        </w:rPr>
        <w:t>）积极组织开展反邪教、反对伪科学的活动，抓好科普精神文明建设。</w:t>
      </w:r>
    </w:p>
    <w:p>
      <w:pPr>
        <w:spacing w:line="500" w:lineRule="exact"/>
        <w:ind w:firstLine="560"/>
      </w:pPr>
      <w:r>
        <w:rPr>
          <w:rFonts w:hint="eastAsia" w:ascii="仿宋" w:hAnsi="仿宋" w:eastAsia="仿宋" w:cs="宋体"/>
          <w:sz w:val="32"/>
          <w:szCs w:val="32"/>
        </w:rPr>
        <w:t>（</w:t>
      </w:r>
      <w:r>
        <w:rPr>
          <w:rFonts w:ascii="仿宋" w:hAnsi="仿宋" w:eastAsia="仿宋" w:cs="仿宋"/>
          <w:sz w:val="32"/>
          <w:szCs w:val="32"/>
        </w:rPr>
        <w:t>7</w:t>
      </w:r>
      <w:r>
        <w:rPr>
          <w:rFonts w:hint="eastAsia" w:ascii="仿宋" w:hAnsi="仿宋" w:eastAsia="仿宋" w:cs="宋体"/>
          <w:sz w:val="32"/>
          <w:szCs w:val="32"/>
        </w:rPr>
        <w:t>）发展我区同外界科学技术团体、科学技术工作者的交往和联系。</w:t>
      </w:r>
    </w:p>
    <w:p>
      <w:pPr>
        <w:ind w:firstLine="560"/>
        <w:rPr>
          <w:rFonts w:hint="eastAsia" w:ascii="仿宋" w:hAnsi="仿宋" w:eastAsia="仿宋" w:cs="宋体"/>
          <w:sz w:val="32"/>
          <w:szCs w:val="32"/>
        </w:rPr>
      </w:pPr>
      <w:r>
        <w:rPr>
          <w:rFonts w:hint="eastAsia" w:ascii="仿宋" w:hAnsi="仿宋" w:eastAsia="仿宋" w:cs="宋体"/>
          <w:sz w:val="32"/>
          <w:szCs w:val="32"/>
        </w:rPr>
        <w:t>（</w:t>
      </w:r>
      <w:r>
        <w:rPr>
          <w:rFonts w:ascii="仿宋" w:hAnsi="仿宋" w:eastAsia="仿宋" w:cs="仿宋"/>
          <w:sz w:val="32"/>
          <w:szCs w:val="32"/>
        </w:rPr>
        <w:t>8</w:t>
      </w:r>
      <w:r>
        <w:rPr>
          <w:rFonts w:hint="eastAsia" w:ascii="仿宋" w:hAnsi="仿宋" w:eastAsia="仿宋" w:cs="宋体"/>
          <w:sz w:val="32"/>
          <w:szCs w:val="32"/>
        </w:rPr>
        <w:t>）承担区委、区政府交办的有关事项。</w:t>
      </w:r>
    </w:p>
    <w:p>
      <w:pPr>
        <w:ind w:firstLine="560"/>
        <w:rPr>
          <w:rFonts w:hint="eastAsia" w:eastAsia="方正仿宋_GBK"/>
          <w:b/>
          <w:bCs/>
          <w:sz w:val="28"/>
        </w:rPr>
      </w:pPr>
    </w:p>
    <w:p>
      <w:pPr>
        <w:ind w:firstLine="560"/>
        <w:rPr>
          <w:rFonts w:hint="eastAsia" w:eastAsia="方正仿宋_GBK"/>
          <w:b/>
          <w:bCs/>
          <w:sz w:val="28"/>
        </w:rPr>
      </w:pPr>
      <w:r>
        <w:rPr>
          <w:rFonts w:hint="eastAsia" w:eastAsia="方正仿宋_GBK"/>
          <w:b/>
          <w:bCs/>
          <w:sz w:val="28"/>
        </w:rPr>
        <w:t>（二）分项绩效目标</w:t>
      </w:r>
    </w:p>
    <w:p>
      <w:pPr>
        <w:pStyle w:val="2"/>
        <w:ind w:firstLine="640" w:firstLineChars="200"/>
        <w:rPr>
          <w:rFonts w:ascii="方正小标宋_GBK" w:eastAsia="方正小标宋_GBK"/>
          <w:sz w:val="32"/>
        </w:rPr>
      </w:pPr>
      <w:r>
        <w:rPr>
          <w:rFonts w:hint="eastAsia"/>
          <w:lang w:val="en-US" w:eastAsia="zh-CN"/>
        </w:rPr>
        <w:t>认真举行</w:t>
      </w:r>
      <w:r>
        <w:rPr>
          <w:rFonts w:hint="eastAsia"/>
        </w:rPr>
        <w:t>科普活动，</w:t>
      </w:r>
      <w:r>
        <w:rPr>
          <w:rFonts w:hint="eastAsia"/>
          <w:lang w:val="en-US" w:eastAsia="zh-CN"/>
        </w:rPr>
        <w:t>使</w:t>
      </w:r>
      <w:r>
        <w:rPr>
          <w:rFonts w:hint="eastAsia"/>
        </w:rPr>
        <w:t>人群科学素质不断提升，</w:t>
      </w:r>
      <w:r>
        <w:rPr>
          <w:rFonts w:hint="eastAsia"/>
          <w:lang w:val="en-US" w:eastAsia="zh-CN"/>
        </w:rPr>
        <w:t>加强</w:t>
      </w:r>
      <w:r>
        <w:rPr>
          <w:rFonts w:hint="eastAsia"/>
        </w:rPr>
        <w:t>居民科技创新能力。提升各类示范基地和典型服务能力，提升创新性科普资源利用率。由我单位组织“科普进校园”活动，提升青少年科技创新能力。定期更换鹿泉一中科普橱窗。由我单位负责联系</w:t>
      </w:r>
      <w:r>
        <w:rPr>
          <w:rFonts w:hint="eastAsia"/>
          <w:lang w:eastAsia="zh-CN"/>
        </w:rPr>
        <w:t>、</w:t>
      </w:r>
      <w:r>
        <w:rPr>
          <w:rFonts w:hint="eastAsia"/>
        </w:rPr>
        <w:t>广告公司，围绕鹿泉一中科普橱窗定期更改。</w:t>
      </w:r>
      <w:bookmarkEnd w:id="0"/>
      <w:bookmarkStart w:id="1" w:name="_Toc2171230"/>
    </w:p>
    <w:p>
      <w:pPr>
        <w:numPr>
          <w:ilvl w:val="0"/>
          <w:numId w:val="0"/>
        </w:numPr>
        <w:jc w:val="both"/>
        <w:outlineLvl w:val="0"/>
        <w:rPr>
          <w:rFonts w:hint="eastAsia" w:ascii="Times New Roman" w:hAnsi="Times New Roman" w:eastAsia="方正仿宋_GBK" w:cs="Times New Roman"/>
          <w:b/>
          <w:sz w:val="32"/>
          <w:szCs w:val="32"/>
          <w:lang w:val="en-US" w:eastAsia="zh-CN"/>
        </w:rPr>
      </w:pPr>
      <w:r>
        <w:rPr>
          <w:rFonts w:hint="eastAsia" w:ascii="Times New Roman" w:hAnsi="Times New Roman" w:eastAsia="方正仿宋_GBK" w:cs="Times New Roman"/>
          <w:b/>
          <w:sz w:val="32"/>
          <w:szCs w:val="32"/>
          <w:lang w:val="en-US" w:eastAsia="zh-CN"/>
        </w:rPr>
        <w:t xml:space="preserve">   </w:t>
      </w:r>
    </w:p>
    <w:p>
      <w:pPr>
        <w:numPr>
          <w:ilvl w:val="0"/>
          <w:numId w:val="0"/>
        </w:numPr>
        <w:ind w:firstLine="643" w:firstLineChars="200"/>
        <w:jc w:val="both"/>
        <w:outlineLvl w:val="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val="en-US" w:eastAsia="zh-CN"/>
        </w:rPr>
        <w:t xml:space="preserve">（三） </w:t>
      </w:r>
      <w:r>
        <w:rPr>
          <w:rFonts w:hint="eastAsia" w:ascii="Times New Roman" w:hAnsi="Times New Roman" w:eastAsia="方正仿宋_GBK" w:cs="Times New Roman"/>
          <w:b/>
          <w:sz w:val="32"/>
          <w:szCs w:val="32"/>
        </w:rPr>
        <w:t>工作保障措施</w:t>
      </w:r>
    </w:p>
    <w:p>
      <w:pPr>
        <w:numPr>
          <w:ilvl w:val="0"/>
          <w:numId w:val="0"/>
        </w:numPr>
        <w:ind w:firstLine="640" w:firstLineChars="200"/>
        <w:jc w:val="both"/>
        <w:outlineLvl w:val="0"/>
        <w:rPr>
          <w:rFonts w:hint="eastAsia" w:ascii="方正小标宋_GBK" w:eastAsia="方正小标宋_GBK"/>
          <w:sz w:val="32"/>
        </w:rPr>
      </w:pPr>
      <w:r>
        <w:rPr>
          <w:rFonts w:hint="eastAsia" w:ascii="方正小标宋_GBK" w:eastAsia="方正小标宋_GBK"/>
          <w:sz w:val="32"/>
        </w:rPr>
        <w:t>（一）加强组织领导。将事前评估、目标管理、运行监控、绩效评价、结果应用等各项改革措施，有效融入预算管理的全过程，建立健全预算绩效管理制度体系。成立由区科协主要领导同志任组长的预算绩效工作领导小组，建立统筹协调、分工协作、密切配合、合理推进的工作机制。围绕年度总体绩效目标和分项绩效目标，细化工作流程，保证总体绩效目标圆满实现。</w:t>
      </w:r>
    </w:p>
    <w:p>
      <w:pPr>
        <w:ind w:firstLine="640" w:firstLineChars="200"/>
        <w:jc w:val="both"/>
        <w:outlineLvl w:val="0"/>
        <w:rPr>
          <w:rFonts w:hint="eastAsia" w:ascii="方正小标宋_GBK" w:eastAsia="方正小标宋_GBK"/>
          <w:sz w:val="32"/>
        </w:rPr>
      </w:pPr>
      <w:r>
        <w:rPr>
          <w:rFonts w:hint="eastAsia" w:ascii="方正小标宋_GBK" w:eastAsia="方正小标宋_GBK"/>
          <w:sz w:val="32"/>
        </w:rP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ind w:firstLine="640" w:firstLineChars="200"/>
        <w:jc w:val="both"/>
        <w:outlineLvl w:val="0"/>
        <w:rPr>
          <w:rFonts w:hint="eastAsia" w:ascii="方正小标宋_GBK" w:eastAsia="方正小标宋_GBK"/>
          <w:sz w:val="32"/>
        </w:rPr>
      </w:pPr>
      <w:r>
        <w:rPr>
          <w:rFonts w:hint="eastAsia" w:ascii="方正小标宋_GBK" w:eastAsia="方正小标宋_GBK"/>
          <w:sz w:val="32"/>
        </w:rPr>
        <w:t>（三）加强内部监督。加强内部监督制度建设，对绩效运行情况、重大支出等事项的决策和执行进行督导，对会计资料进行内部审计，配合做好审计、财政监督等外部监督，确保财政资金安全有效。</w:t>
      </w:r>
    </w:p>
    <w:p>
      <w:pPr>
        <w:ind w:firstLine="640" w:firstLineChars="200"/>
        <w:jc w:val="both"/>
        <w:outlineLvl w:val="0"/>
        <w:rPr>
          <w:rFonts w:ascii="方正小标宋_GBK" w:eastAsia="方正小标宋_GBK"/>
          <w:sz w:val="32"/>
        </w:rPr>
      </w:pPr>
      <w:r>
        <w:rPr>
          <w:rFonts w:hint="eastAsia" w:ascii="方正小标宋_GBK" w:eastAsia="方正小标宋_GBK"/>
          <w:sz w:val="32"/>
        </w:rPr>
        <w:t>（四）加强宣传培训调研。加强系统内人员培训，提高职工业务素质；加强调研，提出优化财政资金配置、提高资金使用效益的意见；加大宣传力度，强化预算绩效管理意识，促进预算绩效水平进一步提升。</w:t>
      </w:r>
    </w:p>
    <w:p>
      <w:pPr>
        <w:jc w:val="center"/>
        <w:outlineLvl w:val="0"/>
        <w:rPr>
          <w:rFonts w:hint="eastAsia" w:ascii="方正小标宋_GBK" w:eastAsia="方正小标宋_GBK"/>
          <w:b/>
          <w:bCs/>
          <w:sz w:val="32"/>
        </w:rPr>
      </w:pPr>
    </w:p>
    <w:p>
      <w:pPr>
        <w:jc w:val="center"/>
        <w:outlineLvl w:val="0"/>
        <w:rPr>
          <w:rFonts w:hint="eastAsia" w:ascii="方正小标宋_GBK" w:eastAsia="方正小标宋_GBK"/>
          <w:b/>
          <w:bCs/>
          <w:sz w:val="32"/>
        </w:rPr>
      </w:pPr>
    </w:p>
    <w:p>
      <w:pPr>
        <w:jc w:val="center"/>
        <w:outlineLvl w:val="0"/>
        <w:rPr>
          <w:rFonts w:hint="eastAsia" w:ascii="方正小标宋_GBK" w:eastAsia="方正小标宋_GBK"/>
          <w:b/>
          <w:bCs/>
          <w:sz w:val="32"/>
        </w:rPr>
      </w:pPr>
    </w:p>
    <w:p>
      <w:pPr>
        <w:jc w:val="center"/>
        <w:outlineLvl w:val="0"/>
        <w:rPr>
          <w:rFonts w:hint="eastAsia" w:ascii="方正小标宋_GBK" w:eastAsia="方正小标宋_GBK"/>
          <w:b/>
          <w:bCs/>
          <w:sz w:val="32"/>
        </w:rPr>
      </w:pPr>
    </w:p>
    <w:p>
      <w:pPr>
        <w:jc w:val="center"/>
        <w:outlineLvl w:val="0"/>
        <w:rPr>
          <w:rFonts w:hint="eastAsia" w:ascii="方正小标宋_GBK" w:eastAsia="方正小标宋_GBK"/>
          <w:b/>
          <w:bCs/>
          <w:sz w:val="32"/>
        </w:rPr>
      </w:pPr>
    </w:p>
    <w:p>
      <w:pPr>
        <w:jc w:val="center"/>
        <w:outlineLvl w:val="0"/>
        <w:rPr>
          <w:rFonts w:hint="eastAsia" w:ascii="方正小标宋_GBK" w:eastAsia="方正小标宋_GBK"/>
          <w:b/>
          <w:bCs/>
          <w:sz w:val="32"/>
        </w:rPr>
      </w:pPr>
    </w:p>
    <w:p>
      <w:pPr>
        <w:jc w:val="center"/>
        <w:outlineLvl w:val="0"/>
        <w:rPr>
          <w:rFonts w:ascii="方正小标宋_GBK" w:eastAsia="方正小标宋_GBK"/>
          <w:b/>
          <w:bCs/>
          <w:color w:val="FFFFFF"/>
          <w:sz w:val="32"/>
        </w:rPr>
      </w:pPr>
      <w:r>
        <w:rPr>
          <w:rFonts w:hint="eastAsia" w:ascii="方正小标宋_GBK" w:eastAsia="方正小标宋_GBK"/>
          <w:b/>
          <w:bCs/>
          <w:sz w:val="32"/>
        </w:rPr>
        <w:t>部门职责</w:t>
      </w:r>
      <w:r>
        <w:rPr>
          <w:rFonts w:ascii="方正小标宋_GBK" w:eastAsia="方正小标宋_GBK"/>
          <w:b/>
          <w:bCs/>
          <w:sz w:val="32"/>
        </w:rPr>
        <w:t>-</w:t>
      </w:r>
      <w:r>
        <w:rPr>
          <w:rFonts w:hint="eastAsia" w:ascii="方正小标宋_GBK" w:eastAsia="方正小标宋_GBK"/>
          <w:b/>
          <w:bCs/>
          <w:sz w:val="32"/>
        </w:rPr>
        <w:t>工作活动绩效目标</w:t>
      </w:r>
      <w:r>
        <w:rPr>
          <w:rStyle w:val="13"/>
          <w:rFonts w:hint="eastAsia" w:ascii="方正小标宋_GBK" w:hAnsi="Symbol" w:eastAsia="方正小标宋_GBK"/>
          <w:b/>
          <w:bCs/>
          <w:color w:val="FFFFFF"/>
          <w:sz w:val="32"/>
          <w:szCs w:val="32"/>
        </w:rPr>
        <w:footnoteReference w:id="0" w:customMarkFollows="1"/>
        <w:sym w:font="Symbol" w:char="F020"/>
      </w:r>
      <w:bookmarkEnd w:id="1"/>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731</w:t>
            </w:r>
            <w:r>
              <w:rPr>
                <w:rFonts w:hint="eastAsia" w:ascii="方正小标宋_GBK" w:eastAsia="方正小标宋_GBK"/>
                <w:sz w:val="24"/>
              </w:rPr>
              <w:t>石家庄市鹿泉区科学技术协会</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一、科学技术普及</w:t>
            </w:r>
          </w:p>
        </w:tc>
        <w:tc>
          <w:tcPr>
            <w:tcW w:w="1276" w:type="dxa"/>
            <w:vAlign w:val="center"/>
          </w:tcPr>
          <w:p>
            <w:pPr>
              <w:spacing w:line="300" w:lineRule="exact"/>
              <w:jc w:val="left"/>
              <w:rPr>
                <w:rFonts w:ascii="方正书宋_GBK" w:eastAsia="方正书宋_GBK"/>
              </w:rPr>
            </w:pPr>
            <w:r>
              <w:rPr>
                <w:rFonts w:ascii="方正书宋_GBK" w:eastAsia="方正书宋_GBK"/>
              </w:rPr>
              <w:t>19.00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实施《全民科学素质行动计划纲要》，提升科普能力，开展多种形式的科普活动。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科学技术普及：开展科普惠农、科普益民等重点科普活动，开展科普下乡等系列科普活动，通过开展各种科普活动，吸引各重点人群参与，普及科普知识。</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、开展科普活动</w:t>
            </w:r>
          </w:p>
        </w:tc>
        <w:tc>
          <w:tcPr>
            <w:tcW w:w="1276" w:type="dxa"/>
            <w:vAlign w:val="center"/>
          </w:tcPr>
          <w:p>
            <w:pPr>
              <w:spacing w:line="300" w:lineRule="exact"/>
              <w:jc w:val="left"/>
              <w:rPr>
                <w:rFonts w:ascii="方正书宋_GBK" w:eastAsia="方正书宋_GBK"/>
              </w:rPr>
            </w:pPr>
            <w:r>
              <w:rPr>
                <w:rFonts w:ascii="方正书宋_GBK" w:eastAsia="方正书宋_GBK"/>
              </w:rPr>
              <w:t>19.00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开展科普惠农、科普益民等重点科普活动；开展科普下乡等系列科普活动。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通过开展各种科普活动，吸引各重点人群参与，普及科普知识</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科普活动参与人次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加强科协机关自身建设，提高机关服务能力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开展专题调研，制定科学普及发展规划，科普项目管理、机关织建设等各项工作开展。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各类科普业务工作谋划到位、开展有序，助推科普事业发展能力提升。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科普管理业务工作保障率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pPr>
        <w:autoSpaceDE w:val="0"/>
        <w:autoSpaceDN w:val="0"/>
        <w:adjustRightInd w:val="0"/>
        <w:ind w:firstLine="640" w:firstLineChars="200"/>
        <w:jc w:val="left"/>
        <w:rPr>
          <w:rFonts w:ascii="黑体" w:hAnsi="黑体" w:eastAsia="黑体"/>
          <w:sz w:val="32"/>
          <w:szCs w:val="32"/>
        </w:rPr>
      </w:pPr>
      <w:bookmarkStart w:id="2" w:name="_Toc471398468"/>
      <w:r>
        <w:rPr>
          <w:rFonts w:ascii="Times New Roman" w:hAnsi="Times New Roman" w:eastAsia="方正仿宋_GBK"/>
          <w:sz w:val="32"/>
          <w:szCs w:val="24"/>
        </w:rPr>
        <w:t xml:space="preserve">  </w:t>
      </w:r>
      <w:bookmarkEnd w:id="2"/>
    </w:p>
    <w:tbl>
      <w:tblPr>
        <w:tblStyle w:val="9"/>
        <w:tblW w:w="13948" w:type="dxa"/>
        <w:tblInd w:w="-4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137"/>
      </w:tblGrid>
      <w:tr>
        <w:tblPrEx>
          <w:tblCellMar>
            <w:top w:w="15" w:type="dxa"/>
            <w:left w:w="15" w:type="dxa"/>
            <w:bottom w:w="15" w:type="dxa"/>
            <w:right w:w="15" w:type="dxa"/>
          </w:tblCellMar>
        </w:tblPrEx>
        <w:trPr>
          <w:cantSplit/>
          <w:trHeight w:val="285" w:hRule="atLeast"/>
        </w:trPr>
        <w:tc>
          <w:tcPr>
            <w:tcW w:w="2561" w:type="dxa"/>
            <w:gridSpan w:val="2"/>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政府采购项目来源</w:t>
            </w:r>
          </w:p>
        </w:tc>
        <w:tc>
          <w:tcPr>
            <w:tcW w:w="1057" w:type="dxa"/>
            <w:vMerge w:val="restart"/>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采购物品名称</w:t>
            </w:r>
          </w:p>
        </w:tc>
        <w:tc>
          <w:tcPr>
            <w:tcW w:w="1071" w:type="dxa"/>
            <w:vMerge w:val="restart"/>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政府采购目录序号</w:t>
            </w:r>
          </w:p>
        </w:tc>
        <w:tc>
          <w:tcPr>
            <w:tcW w:w="736" w:type="dxa"/>
            <w:vMerge w:val="restart"/>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数量</w:t>
            </w:r>
            <w:r>
              <w:rPr>
                <w:rFonts w:ascii="方正书宋_GBK" w:hAnsi="方正书宋_GBK" w:eastAsia="方正书宋_GBK" w:cs="方正书宋_GBK"/>
                <w:b/>
                <w:color w:val="000000"/>
                <w:kern w:val="1"/>
                <w:szCs w:val="21"/>
              </w:rPr>
              <w:t xml:space="preserve">  </w:t>
            </w:r>
            <w:r>
              <w:rPr>
                <w:rFonts w:hint="eastAsia" w:ascii="方正书宋_GBK" w:hAnsi="方正书宋_GBK" w:eastAsia="方正书宋_GBK" w:cs="方正书宋_GBK"/>
                <w:b/>
                <w:color w:val="000000"/>
                <w:kern w:val="1"/>
                <w:szCs w:val="21"/>
              </w:rPr>
              <w:t>单位</w:t>
            </w:r>
          </w:p>
        </w:tc>
        <w:tc>
          <w:tcPr>
            <w:tcW w:w="530" w:type="dxa"/>
            <w:vMerge w:val="restart"/>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数量</w:t>
            </w:r>
          </w:p>
        </w:tc>
        <w:tc>
          <w:tcPr>
            <w:tcW w:w="665" w:type="dxa"/>
            <w:vMerge w:val="restart"/>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单价</w:t>
            </w:r>
          </w:p>
        </w:tc>
        <w:tc>
          <w:tcPr>
            <w:tcW w:w="7328" w:type="dxa"/>
            <w:gridSpan w:val="7"/>
            <w:tcBorders>
              <w:top w:val="single" w:color="000000" w:sz="4" w:space="0"/>
              <w:left w:val="single" w:color="000000" w:sz="4" w:space="0"/>
              <w:right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政府采购金额</w:t>
            </w:r>
          </w:p>
        </w:tc>
      </w:tr>
      <w:tr>
        <w:tblPrEx>
          <w:tblCellMar>
            <w:top w:w="15" w:type="dxa"/>
            <w:left w:w="15" w:type="dxa"/>
            <w:bottom w:w="15" w:type="dxa"/>
            <w:right w:w="15" w:type="dxa"/>
          </w:tblCellMar>
        </w:tblPrEx>
        <w:trPr>
          <w:cantSplit/>
          <w:trHeight w:val="285" w:hRule="atLeast"/>
        </w:trPr>
        <w:tc>
          <w:tcPr>
            <w:tcW w:w="1282" w:type="dxa"/>
            <w:vMerge w:val="restart"/>
            <w:tcBorders>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项目名称</w:t>
            </w:r>
          </w:p>
        </w:tc>
        <w:tc>
          <w:tcPr>
            <w:tcW w:w="1279" w:type="dxa"/>
            <w:vMerge w:val="restart"/>
            <w:tcBorders>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预算资金</w:t>
            </w:r>
          </w:p>
        </w:tc>
        <w:tc>
          <w:tcPr>
            <w:tcW w:w="1057"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1071"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736"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530"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665"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879" w:type="dxa"/>
            <w:vMerge w:val="restart"/>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总计</w:t>
            </w:r>
          </w:p>
        </w:tc>
        <w:tc>
          <w:tcPr>
            <w:tcW w:w="5312" w:type="dxa"/>
            <w:gridSpan w:val="5"/>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当年部门预算安排资金</w:t>
            </w:r>
          </w:p>
        </w:tc>
        <w:tc>
          <w:tcPr>
            <w:tcW w:w="113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其他渠道资金</w:t>
            </w:r>
          </w:p>
        </w:tc>
      </w:tr>
      <w:tr>
        <w:tblPrEx>
          <w:tblCellMar>
            <w:top w:w="15" w:type="dxa"/>
            <w:left w:w="15" w:type="dxa"/>
            <w:bottom w:w="15" w:type="dxa"/>
            <w:right w:w="15" w:type="dxa"/>
          </w:tblCellMar>
        </w:tblPrEx>
        <w:trPr>
          <w:cantSplit/>
          <w:trHeight w:val="510" w:hRule="atLeast"/>
        </w:trPr>
        <w:tc>
          <w:tcPr>
            <w:tcW w:w="1282" w:type="dxa"/>
            <w:vMerge w:val="continue"/>
            <w:tcBorders>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1279" w:type="dxa"/>
            <w:vMerge w:val="continue"/>
            <w:tcBorders>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1057"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1071"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736"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530"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665"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879" w:type="dxa"/>
            <w:vMerge w:val="continue"/>
            <w:tcBorders>
              <w:top w:val="single" w:color="000000" w:sz="4" w:space="0"/>
              <w:left w:val="single" w:color="000000" w:sz="4" w:space="0"/>
              <w:bottom w:val="single" w:color="000000" w:sz="4" w:space="0"/>
            </w:tcBorders>
            <w:vAlign w:val="center"/>
          </w:tcPr>
          <w:p>
            <w:pPr>
              <w:snapToGrid w:val="0"/>
              <w:jc w:val="center"/>
              <w:rPr>
                <w:rFonts w:ascii="方正书宋_GBK" w:hAnsi="方正书宋_GBK" w:eastAsia="方正书宋_GBK" w:cs="方正书宋_GBK"/>
                <w:b/>
                <w:color w:val="000000"/>
                <w:szCs w:val="21"/>
              </w:rPr>
            </w:pPr>
          </w:p>
        </w:tc>
        <w:tc>
          <w:tcPr>
            <w:tcW w:w="1069" w:type="dxa"/>
            <w:tcBorders>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合计</w:t>
            </w:r>
          </w:p>
        </w:tc>
        <w:tc>
          <w:tcPr>
            <w:tcW w:w="1060" w:type="dxa"/>
            <w:tcBorders>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一般公共预算拨款</w:t>
            </w:r>
          </w:p>
        </w:tc>
        <w:tc>
          <w:tcPr>
            <w:tcW w:w="1069" w:type="dxa"/>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基金预算拨款</w:t>
            </w:r>
          </w:p>
        </w:tc>
        <w:tc>
          <w:tcPr>
            <w:tcW w:w="1057" w:type="dxa"/>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财政专户核拨</w:t>
            </w:r>
          </w:p>
        </w:tc>
        <w:tc>
          <w:tcPr>
            <w:tcW w:w="1057" w:type="dxa"/>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其他来源收入</w:t>
            </w:r>
          </w:p>
        </w:tc>
        <w:tc>
          <w:tcPr>
            <w:tcW w:w="1137" w:type="dxa"/>
            <w:vMerge w:val="continue"/>
            <w:tcBorders>
              <w:top w:val="single" w:color="000000" w:sz="4" w:space="0"/>
              <w:left w:val="single" w:color="000000" w:sz="4" w:space="0"/>
              <w:bottom w:val="single" w:color="000000" w:sz="4" w:space="0"/>
              <w:right w:val="single" w:color="000000" w:sz="4" w:space="0"/>
            </w:tcBorders>
            <w:vAlign w:val="center"/>
          </w:tcPr>
          <w:p>
            <w:pPr>
              <w:snapToGrid w:val="0"/>
              <w:jc w:val="center"/>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tcBorders>
            <w:vAlign w:val="center"/>
          </w:tcPr>
          <w:p>
            <w:pPr>
              <w:widowControl/>
              <w:jc w:val="center"/>
              <w:textAlignment w:val="center"/>
            </w:pPr>
            <w:r>
              <w:rPr>
                <w:rFonts w:hint="eastAsia" w:ascii="方正书宋_GBK" w:hAnsi="方正书宋_GBK" w:eastAsia="方正书宋_GBK" w:cs="方正书宋_GBK"/>
                <w:b/>
                <w:color w:val="000000"/>
                <w:kern w:val="1"/>
                <w:szCs w:val="21"/>
              </w:rPr>
              <w:t>合　计</w:t>
            </w:r>
          </w:p>
        </w:tc>
        <w:tc>
          <w:tcPr>
            <w:tcW w:w="1279" w:type="dxa"/>
            <w:tcBorders>
              <w:top w:val="single" w:color="000000" w:sz="4" w:space="0"/>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1057" w:type="dxa"/>
            <w:tcBorders>
              <w:top w:val="single" w:color="000000" w:sz="4" w:space="0"/>
              <w:left w:val="single" w:color="000000" w:sz="4" w:space="0"/>
              <w:bottom w:val="single" w:color="000000" w:sz="4" w:space="0"/>
            </w:tcBorders>
            <w:vAlign w:val="center"/>
          </w:tcPr>
          <w:p>
            <w:pPr>
              <w:snapToGrid w:val="0"/>
              <w:jc w:val="left"/>
              <w:rPr>
                <w:rFonts w:ascii="方正书宋_GBK" w:hAnsi="方正书宋_GBK" w:eastAsia="方正书宋_GBK" w:cs="方正书宋_GBK"/>
                <w:b/>
                <w:color w:val="000000"/>
                <w:szCs w:val="21"/>
              </w:rPr>
            </w:pPr>
          </w:p>
        </w:tc>
        <w:tc>
          <w:tcPr>
            <w:tcW w:w="1071" w:type="dxa"/>
            <w:tcBorders>
              <w:top w:val="single" w:color="000000" w:sz="4" w:space="0"/>
              <w:left w:val="single" w:color="000000" w:sz="4" w:space="0"/>
              <w:bottom w:val="single" w:color="000000" w:sz="4" w:space="0"/>
            </w:tcBorders>
            <w:vAlign w:val="center"/>
          </w:tcPr>
          <w:p>
            <w:pPr>
              <w:snapToGrid w:val="0"/>
              <w:jc w:val="left"/>
              <w:rPr>
                <w:rFonts w:ascii="方正书宋_GBK" w:hAnsi="方正书宋_GBK" w:eastAsia="方正书宋_GBK" w:cs="方正书宋_GBK"/>
                <w:b/>
                <w:color w:val="000000"/>
                <w:szCs w:val="21"/>
              </w:rPr>
            </w:pPr>
          </w:p>
        </w:tc>
        <w:tc>
          <w:tcPr>
            <w:tcW w:w="736" w:type="dxa"/>
            <w:tcBorders>
              <w:top w:val="single" w:color="000000" w:sz="4" w:space="0"/>
              <w:left w:val="single" w:color="000000" w:sz="4" w:space="0"/>
              <w:bottom w:val="single" w:color="000000" w:sz="4" w:space="0"/>
            </w:tcBorders>
            <w:vAlign w:val="center"/>
          </w:tcPr>
          <w:p>
            <w:pPr>
              <w:snapToGrid w:val="0"/>
              <w:jc w:val="left"/>
              <w:rPr>
                <w:rFonts w:ascii="方正书宋_GBK" w:hAnsi="方正书宋_GBK" w:eastAsia="方正书宋_GBK" w:cs="方正书宋_GBK"/>
                <w:b/>
                <w:color w:val="000000"/>
                <w:szCs w:val="21"/>
              </w:rPr>
            </w:pPr>
          </w:p>
        </w:tc>
        <w:tc>
          <w:tcPr>
            <w:tcW w:w="530" w:type="dxa"/>
            <w:tcBorders>
              <w:top w:val="single" w:color="000000" w:sz="4" w:space="0"/>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665" w:type="dxa"/>
            <w:tcBorders>
              <w:top w:val="single" w:color="000000" w:sz="4" w:space="0"/>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879" w:type="dxa"/>
            <w:tcBorders>
              <w:top w:val="single" w:color="000000" w:sz="4" w:space="0"/>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Cs w:val="21"/>
              </w:rPr>
            </w:pPr>
          </w:p>
        </w:tc>
        <w:tc>
          <w:tcPr>
            <w:tcW w:w="1060" w:type="dxa"/>
            <w:tcBorders>
              <w:top w:val="single" w:color="000000" w:sz="4" w:space="0"/>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1057" w:type="dxa"/>
            <w:tcBorders>
              <w:top w:val="single" w:color="000000" w:sz="4" w:space="0"/>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1137" w:type="dxa"/>
            <w:tcBorders>
              <w:top w:val="single" w:color="000000" w:sz="4" w:space="0"/>
              <w:left w:val="single" w:color="000000" w:sz="4" w:space="0"/>
              <w:bottom w:val="single" w:color="000000" w:sz="4" w:space="0"/>
              <w:right w:val="single" w:color="000000" w:sz="4" w:space="0"/>
            </w:tcBorders>
            <w:vAlign w:val="center"/>
          </w:tcPr>
          <w:p>
            <w:pPr>
              <w:snapToGrid w:val="0"/>
              <w:jc w:val="right"/>
              <w:rPr>
                <w:rFonts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tcBorders>
            <w:vAlign w:val="center"/>
          </w:tcPr>
          <w:p>
            <w:pPr>
              <w:widowControl/>
              <w:snapToGrid w:val="0"/>
              <w:jc w:val="center"/>
              <w:textAlignment w:val="center"/>
              <w:rPr>
                <w:rFonts w:ascii="方正书宋_GBK" w:hAnsi="方正书宋_GBK" w:eastAsia="方正书宋_GBK" w:cs="方正书宋_GBK"/>
                <w:b/>
                <w:color w:val="000000"/>
                <w:szCs w:val="21"/>
              </w:rPr>
            </w:pPr>
          </w:p>
        </w:tc>
        <w:tc>
          <w:tcPr>
            <w:tcW w:w="1279"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1057" w:type="dxa"/>
            <w:tcBorders>
              <w:left w:val="single" w:color="000000" w:sz="4" w:space="0"/>
              <w:bottom w:val="single" w:color="000000" w:sz="4" w:space="0"/>
            </w:tcBorders>
            <w:vAlign w:val="center"/>
          </w:tcPr>
          <w:p>
            <w:pPr>
              <w:snapToGrid w:val="0"/>
              <w:jc w:val="left"/>
              <w:rPr>
                <w:rFonts w:ascii="方正书宋_GBK" w:hAnsi="方正书宋_GBK" w:eastAsia="方正书宋_GBK" w:cs="方正书宋_GBK"/>
                <w:b/>
                <w:color w:val="000000"/>
                <w:szCs w:val="21"/>
              </w:rPr>
            </w:pPr>
          </w:p>
        </w:tc>
        <w:tc>
          <w:tcPr>
            <w:tcW w:w="1071" w:type="dxa"/>
            <w:tcBorders>
              <w:left w:val="single" w:color="000000" w:sz="4" w:space="0"/>
              <w:bottom w:val="single" w:color="000000" w:sz="4" w:space="0"/>
            </w:tcBorders>
            <w:vAlign w:val="center"/>
          </w:tcPr>
          <w:p>
            <w:pPr>
              <w:snapToGrid w:val="0"/>
              <w:jc w:val="left"/>
              <w:rPr>
                <w:rFonts w:ascii="方正书宋_GBK" w:hAnsi="方正书宋_GBK" w:eastAsia="方正书宋_GBK" w:cs="方正书宋_GBK"/>
                <w:b/>
                <w:color w:val="000000"/>
                <w:szCs w:val="21"/>
              </w:rPr>
            </w:pPr>
          </w:p>
        </w:tc>
        <w:tc>
          <w:tcPr>
            <w:tcW w:w="736" w:type="dxa"/>
            <w:tcBorders>
              <w:left w:val="single" w:color="000000" w:sz="4" w:space="0"/>
              <w:bottom w:val="single" w:color="000000" w:sz="4" w:space="0"/>
            </w:tcBorders>
            <w:vAlign w:val="center"/>
          </w:tcPr>
          <w:p>
            <w:pPr>
              <w:snapToGrid w:val="0"/>
              <w:jc w:val="left"/>
              <w:rPr>
                <w:rFonts w:ascii="方正书宋_GBK" w:hAnsi="方正书宋_GBK" w:eastAsia="方正书宋_GBK" w:cs="方正书宋_GBK"/>
                <w:b/>
                <w:color w:val="000000"/>
                <w:szCs w:val="21"/>
              </w:rPr>
            </w:pPr>
          </w:p>
        </w:tc>
        <w:tc>
          <w:tcPr>
            <w:tcW w:w="530"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665"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8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Cs w:val="21"/>
              </w:rPr>
            </w:pPr>
          </w:p>
        </w:tc>
        <w:tc>
          <w:tcPr>
            <w:tcW w:w="106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Cs w:val="21"/>
              </w:rPr>
            </w:pPr>
          </w:p>
        </w:tc>
        <w:tc>
          <w:tcPr>
            <w:tcW w:w="106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Cs w:val="21"/>
              </w:rPr>
            </w:pPr>
          </w:p>
        </w:tc>
        <w:tc>
          <w:tcPr>
            <w:tcW w:w="1069"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b/>
                <w:color w:val="000000"/>
                <w:szCs w:val="21"/>
              </w:rPr>
            </w:pPr>
          </w:p>
        </w:tc>
        <w:tc>
          <w:tcPr>
            <w:tcW w:w="1137" w:type="dxa"/>
            <w:tcBorders>
              <w:left w:val="single" w:color="000000" w:sz="4" w:space="0"/>
              <w:bottom w:val="single" w:color="000000" w:sz="4" w:space="0"/>
              <w:right w:val="single" w:color="000000" w:sz="4" w:space="0"/>
            </w:tcBorders>
            <w:vAlign w:val="center"/>
          </w:tcPr>
          <w:p>
            <w:pPr>
              <w:snapToGrid w:val="0"/>
              <w:rPr>
                <w:rFonts w:ascii="宋体" w:hAnsi="宋体" w:eastAsia="方正书宋_GBK" w:cs="宋体"/>
                <w:b/>
                <w:color w:val="000000"/>
                <w:sz w:val="24"/>
                <w:szCs w:val="24"/>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b/>
                <w:color w:val="000000"/>
                <w:sz w:val="24"/>
                <w:szCs w:val="21"/>
              </w:rPr>
            </w:pPr>
          </w:p>
        </w:tc>
        <w:tc>
          <w:tcPr>
            <w:tcW w:w="12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 w:val="24"/>
                <w:szCs w:val="21"/>
              </w:rPr>
            </w:pPr>
          </w:p>
        </w:tc>
        <w:tc>
          <w:tcPr>
            <w:tcW w:w="1057"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b/>
                <w:color w:val="000000"/>
                <w:sz w:val="24"/>
                <w:szCs w:val="21"/>
              </w:rPr>
            </w:pPr>
          </w:p>
        </w:tc>
        <w:tc>
          <w:tcPr>
            <w:tcW w:w="1071"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b/>
                <w:color w:val="000000"/>
                <w:sz w:val="24"/>
                <w:szCs w:val="21"/>
              </w:rPr>
            </w:pPr>
          </w:p>
        </w:tc>
        <w:tc>
          <w:tcPr>
            <w:tcW w:w="736"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b/>
                <w:color w:val="000000"/>
                <w:sz w:val="24"/>
                <w:szCs w:val="21"/>
              </w:rPr>
            </w:pPr>
          </w:p>
        </w:tc>
        <w:tc>
          <w:tcPr>
            <w:tcW w:w="53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 w:val="24"/>
                <w:szCs w:val="21"/>
              </w:rPr>
            </w:pPr>
          </w:p>
        </w:tc>
        <w:tc>
          <w:tcPr>
            <w:tcW w:w="665"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b/>
                <w:color w:val="000000"/>
                <w:sz w:val="24"/>
                <w:szCs w:val="21"/>
              </w:rPr>
            </w:pPr>
          </w:p>
        </w:tc>
        <w:tc>
          <w:tcPr>
            <w:tcW w:w="8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 w:val="24"/>
                <w:szCs w:val="21"/>
              </w:rPr>
            </w:pPr>
          </w:p>
        </w:tc>
        <w:tc>
          <w:tcPr>
            <w:tcW w:w="106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137" w:type="dxa"/>
            <w:tcBorders>
              <w:left w:val="single" w:color="000000" w:sz="4" w:space="0"/>
              <w:bottom w:val="single" w:color="000000" w:sz="4" w:space="0"/>
              <w:right w:val="single" w:color="000000" w:sz="4" w:space="0"/>
            </w:tcBorders>
            <w:vAlign w:val="center"/>
          </w:tcPr>
          <w:p>
            <w:pPr>
              <w:snapToGrid w:val="0"/>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2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071"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736"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53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665"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8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137" w:type="dxa"/>
            <w:tcBorders>
              <w:left w:val="single" w:color="000000" w:sz="4" w:space="0"/>
              <w:bottom w:val="single" w:color="000000" w:sz="4" w:space="0"/>
              <w:right w:val="single" w:color="000000" w:sz="4" w:space="0"/>
            </w:tcBorders>
            <w:vAlign w:val="center"/>
          </w:tcPr>
          <w:p>
            <w:pPr>
              <w:snapToGrid w:val="0"/>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279" w:type="dxa"/>
            <w:tcBorders>
              <w:left w:val="single" w:color="000000" w:sz="4" w:space="0"/>
              <w:bottom w:val="single" w:color="000000" w:sz="4" w:space="0"/>
            </w:tcBorders>
            <w:vAlign w:val="center"/>
          </w:tcPr>
          <w:p>
            <w:pPr>
              <w:widowControl/>
              <w:snapToGrid w:val="0"/>
              <w:ind w:right="105"/>
              <w:jc w:val="right"/>
              <w:textAlignment w:val="center"/>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071"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736"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53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665"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8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137" w:type="dxa"/>
            <w:tcBorders>
              <w:left w:val="single" w:color="000000" w:sz="4" w:space="0"/>
              <w:bottom w:val="single" w:color="000000" w:sz="4" w:space="0"/>
              <w:right w:val="single" w:color="000000" w:sz="4" w:space="0"/>
            </w:tcBorders>
            <w:vAlign w:val="center"/>
          </w:tcPr>
          <w:p>
            <w:pPr>
              <w:snapToGrid w:val="0"/>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2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071"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736"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53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665"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8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137" w:type="dxa"/>
            <w:tcBorders>
              <w:left w:val="single" w:color="000000" w:sz="4" w:space="0"/>
              <w:bottom w:val="single" w:color="000000" w:sz="4" w:space="0"/>
              <w:right w:val="single" w:color="000000" w:sz="4" w:space="0"/>
            </w:tcBorders>
            <w:vAlign w:val="center"/>
          </w:tcPr>
          <w:p>
            <w:pPr>
              <w:snapToGrid w:val="0"/>
              <w:jc w:val="right"/>
              <w:rPr>
                <w:rFonts w:ascii="方正书宋_GBK" w:hAnsi="方正书宋_GBK" w:eastAsia="方正书宋_GBK" w:cs="方正书宋_GBK"/>
                <w:color w:val="000000"/>
                <w:szCs w:val="21"/>
              </w:rPr>
            </w:pPr>
          </w:p>
        </w:tc>
      </w:tr>
      <w:tr>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2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1071"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736" w:type="dxa"/>
            <w:tcBorders>
              <w:left w:val="single" w:color="000000" w:sz="4" w:space="0"/>
              <w:bottom w:val="single" w:color="000000" w:sz="4" w:space="0"/>
            </w:tcBorders>
            <w:vAlign w:val="center"/>
          </w:tcPr>
          <w:p>
            <w:pPr>
              <w:widowControl/>
              <w:snapToGrid w:val="0"/>
              <w:jc w:val="left"/>
              <w:textAlignment w:val="center"/>
              <w:rPr>
                <w:rFonts w:ascii="方正书宋_GBK" w:hAnsi="方正书宋_GBK" w:eastAsia="方正书宋_GBK" w:cs="方正书宋_GBK"/>
                <w:color w:val="000000"/>
                <w:szCs w:val="21"/>
              </w:rPr>
            </w:pPr>
          </w:p>
        </w:tc>
        <w:tc>
          <w:tcPr>
            <w:tcW w:w="53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665"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87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0" w:type="dxa"/>
            <w:tcBorders>
              <w:left w:val="single" w:color="000000" w:sz="4" w:space="0"/>
              <w:bottom w:val="single" w:color="000000" w:sz="4" w:space="0"/>
            </w:tcBorders>
            <w:vAlign w:val="center"/>
          </w:tcPr>
          <w:p>
            <w:pPr>
              <w:widowControl/>
              <w:snapToGrid w:val="0"/>
              <w:jc w:val="right"/>
              <w:textAlignment w:val="center"/>
              <w:rPr>
                <w:rFonts w:ascii="方正书宋_GBK" w:hAnsi="方正书宋_GBK" w:eastAsia="方正书宋_GBK" w:cs="方正书宋_GBK"/>
                <w:color w:val="000000"/>
                <w:szCs w:val="21"/>
              </w:rPr>
            </w:pPr>
          </w:p>
        </w:tc>
        <w:tc>
          <w:tcPr>
            <w:tcW w:w="1069"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057" w:type="dxa"/>
            <w:tcBorders>
              <w:left w:val="single" w:color="000000" w:sz="4" w:space="0"/>
              <w:bottom w:val="single" w:color="000000" w:sz="4" w:space="0"/>
            </w:tcBorders>
            <w:vAlign w:val="center"/>
          </w:tcPr>
          <w:p>
            <w:pPr>
              <w:snapToGrid w:val="0"/>
              <w:jc w:val="right"/>
              <w:rPr>
                <w:rFonts w:ascii="方正书宋_GBK" w:hAnsi="方正书宋_GBK" w:eastAsia="方正书宋_GBK" w:cs="方正书宋_GBK"/>
                <w:color w:val="000000"/>
                <w:szCs w:val="21"/>
              </w:rPr>
            </w:pPr>
          </w:p>
        </w:tc>
        <w:tc>
          <w:tcPr>
            <w:tcW w:w="1137" w:type="dxa"/>
            <w:tcBorders>
              <w:left w:val="single" w:color="000000" w:sz="4" w:space="0"/>
              <w:bottom w:val="single" w:color="000000" w:sz="4" w:space="0"/>
              <w:right w:val="single" w:color="000000" w:sz="4" w:space="0"/>
            </w:tcBorders>
            <w:vAlign w:val="center"/>
          </w:tcPr>
          <w:p>
            <w:pPr>
              <w:snapToGrid w:val="0"/>
              <w:jc w:val="right"/>
              <w:rPr>
                <w:rFonts w:ascii="方正书宋_GBK" w:hAnsi="方正书宋_GBK" w:eastAsia="方正书宋_GBK" w:cs="方正书宋_GBK"/>
                <w:color w:val="000000"/>
                <w:szCs w:val="21"/>
              </w:rPr>
            </w:pPr>
          </w:p>
        </w:tc>
      </w:tr>
    </w:tbl>
    <w:p>
      <w:pPr>
        <w:spacing w:line="300" w:lineRule="exact"/>
        <w:jc w:val="left"/>
        <w:rPr>
          <w:rFonts w:hint="eastAsia" w:eastAsia="宋体"/>
          <w:lang w:eastAsia="zh-CN"/>
        </w:rPr>
        <w:sectPr>
          <w:headerReference r:id="rId6" w:type="first"/>
          <w:footerReference r:id="rId9" w:type="first"/>
          <w:headerReference r:id="rId4" w:type="default"/>
          <w:footerReference r:id="rId7" w:type="default"/>
          <w:headerReference r:id="rId5" w:type="even"/>
          <w:footerReference r:id="rId8" w:type="even"/>
          <w:pgSz w:w="16838" w:h="11906" w:orient="landscape"/>
          <w:pgMar w:top="1077" w:right="1440" w:bottom="1077" w:left="1440" w:header="851" w:footer="992" w:gutter="0"/>
          <w:cols w:space="720" w:num="1"/>
          <w:docGrid w:type="lines" w:linePitch="312" w:charSpace="0"/>
        </w:sectPr>
      </w:pPr>
      <w:r>
        <w:rPr>
          <w:rFonts w:hint="eastAsia"/>
          <w:lang w:val="en-US" w:eastAsia="zh-CN"/>
        </w:rPr>
        <w:t>2019</w:t>
      </w:r>
      <w:r>
        <w:rPr>
          <w:rFonts w:hint="eastAsia"/>
        </w:rPr>
        <w:t>年，本部门安排政府采购预算0万元，无政府采购相关计划，空表列示</w:t>
      </w:r>
      <w:r>
        <w:rPr>
          <w:rFonts w:hint="eastAsia"/>
          <w:lang w:eastAsia="zh-CN"/>
        </w:rPr>
        <w:t>。</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rPr>
          <w:rFonts w:hint="eastAsia" w:ascii="仿宋" w:hAnsi="仿宋" w:eastAsia="仿宋" w:cs="宋体"/>
          <w:sz w:val="32"/>
          <w:szCs w:val="32"/>
        </w:rPr>
      </w:pPr>
      <w:r>
        <w:rPr>
          <w:rFonts w:hint="eastAsia" w:ascii="仿宋" w:hAnsi="仿宋" w:eastAsia="仿宋" w:cs="宋体"/>
          <w:sz w:val="32"/>
          <w:szCs w:val="32"/>
        </w:rPr>
        <w:t>石家庄市鹿泉区科学技术协会</w:t>
      </w:r>
      <w:r>
        <w:rPr>
          <w:rFonts w:hint="eastAsia" w:ascii="仿宋" w:hAnsi="仿宋" w:eastAsia="仿宋" w:cs="宋体"/>
          <w:sz w:val="32"/>
          <w:szCs w:val="32"/>
          <w:lang w:val="en-US" w:eastAsia="zh-CN"/>
        </w:rPr>
        <w:t>上</w:t>
      </w:r>
      <w:r>
        <w:rPr>
          <w:rFonts w:hint="eastAsia" w:ascii="仿宋" w:hAnsi="仿宋" w:eastAsia="仿宋" w:cs="宋体"/>
          <w:sz w:val="32"/>
          <w:szCs w:val="32"/>
        </w:rPr>
        <w:t>年末固定资产金额为</w:t>
      </w:r>
      <w:r>
        <w:rPr>
          <w:rFonts w:hint="eastAsia" w:ascii="仿宋" w:hAnsi="仿宋" w:eastAsia="仿宋" w:cs="宋体"/>
          <w:sz w:val="32"/>
          <w:szCs w:val="32"/>
          <w:lang w:val="en-US" w:eastAsia="zh-CN"/>
        </w:rPr>
        <w:t>21.40</w:t>
      </w:r>
      <w:r>
        <w:rPr>
          <w:rFonts w:hint="eastAsia" w:ascii="仿宋" w:hAnsi="仿宋" w:eastAsia="仿宋" w:cs="宋体"/>
          <w:sz w:val="32"/>
          <w:szCs w:val="32"/>
        </w:rPr>
        <w:t>万元（详见下表），本年度拟购置固定资产总额为0万元。</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cs="宋体"/>
                <w:kern w:val="0"/>
                <w:sz w:val="22"/>
              </w:rPr>
            </w:pPr>
          </w:p>
        </w:tc>
        <w:tc>
          <w:tcPr>
            <w:tcW w:w="5103"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2018</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21.4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0</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1</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16.5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sz w:val="22"/>
              </w:rPr>
            </w:pPr>
            <w:r>
              <w:rPr>
                <w:rFonts w:ascii="Times New Roman" w:hAnsi="Times New Roman"/>
                <w:sz w:val="22"/>
              </w:rPr>
              <w:t>4.9</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 PAGE </w:instrText>
    </w:r>
    <w:r>
      <w:fldChar w:fldCharType="separate"/>
    </w:r>
    <w:r>
      <w:t>8</w:t>
    </w:r>
    <w:r>
      <w:fldChar w:fldCharType="end"/>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7"/>
      </w:pPr>
      <w:r>
        <w:rPr>
          <w:rStyle w:val="13"/>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1"/>
      <w:numFmt w:val="decimal"/>
      <w:suff w:val="nothing"/>
      <w:lvlText w:val="%1、"/>
      <w:lvlJc w:val="left"/>
      <w:pPr>
        <w:tabs>
          <w:tab w:val="left" w:pos="0"/>
        </w:tabs>
      </w:pPr>
      <w:rPr>
        <w:rFonts w:hint="eastAsia" w:ascii="仿宋" w:hAnsi="仿宋" w:eastAsia="仿宋" w:cs="宋体"/>
        <w:kern w:val="1"/>
        <w:sz w:val="32"/>
        <w:szCs w:val="3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6032"/>
    <w:rsid w:val="00034786"/>
    <w:rsid w:val="00037AF6"/>
    <w:rsid w:val="00042F57"/>
    <w:rsid w:val="0006483E"/>
    <w:rsid w:val="000677AA"/>
    <w:rsid w:val="00075D5F"/>
    <w:rsid w:val="0008102F"/>
    <w:rsid w:val="000B529B"/>
    <w:rsid w:val="000C3A19"/>
    <w:rsid w:val="000D73CD"/>
    <w:rsid w:val="001111A0"/>
    <w:rsid w:val="001245BB"/>
    <w:rsid w:val="001251A3"/>
    <w:rsid w:val="00165294"/>
    <w:rsid w:val="0017501C"/>
    <w:rsid w:val="001B4EF3"/>
    <w:rsid w:val="001F7873"/>
    <w:rsid w:val="00241FD4"/>
    <w:rsid w:val="00251B12"/>
    <w:rsid w:val="00296113"/>
    <w:rsid w:val="002A673A"/>
    <w:rsid w:val="002C07BE"/>
    <w:rsid w:val="002C5E13"/>
    <w:rsid w:val="002C62BC"/>
    <w:rsid w:val="002E0EB8"/>
    <w:rsid w:val="002E6276"/>
    <w:rsid w:val="002F3E58"/>
    <w:rsid w:val="0030542C"/>
    <w:rsid w:val="00311B7A"/>
    <w:rsid w:val="00312323"/>
    <w:rsid w:val="00372FA3"/>
    <w:rsid w:val="003D417F"/>
    <w:rsid w:val="003F60E9"/>
    <w:rsid w:val="0041371D"/>
    <w:rsid w:val="004248B8"/>
    <w:rsid w:val="00424943"/>
    <w:rsid w:val="00424AA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23B42"/>
    <w:rsid w:val="00643AA7"/>
    <w:rsid w:val="00656882"/>
    <w:rsid w:val="00673D76"/>
    <w:rsid w:val="00674CD7"/>
    <w:rsid w:val="006854F0"/>
    <w:rsid w:val="006B1C4A"/>
    <w:rsid w:val="006B4296"/>
    <w:rsid w:val="006B610D"/>
    <w:rsid w:val="006E49F5"/>
    <w:rsid w:val="007013C8"/>
    <w:rsid w:val="00717B1E"/>
    <w:rsid w:val="00753836"/>
    <w:rsid w:val="0075393C"/>
    <w:rsid w:val="00754592"/>
    <w:rsid w:val="00776C08"/>
    <w:rsid w:val="007A4F19"/>
    <w:rsid w:val="007B1557"/>
    <w:rsid w:val="007C219A"/>
    <w:rsid w:val="007D63DA"/>
    <w:rsid w:val="007E1A2D"/>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D1F16"/>
    <w:rsid w:val="008E1EF7"/>
    <w:rsid w:val="008E4261"/>
    <w:rsid w:val="008F4662"/>
    <w:rsid w:val="00905D08"/>
    <w:rsid w:val="00922AEB"/>
    <w:rsid w:val="00925753"/>
    <w:rsid w:val="009425F4"/>
    <w:rsid w:val="00966C5C"/>
    <w:rsid w:val="00973104"/>
    <w:rsid w:val="00995BF0"/>
    <w:rsid w:val="009A16D5"/>
    <w:rsid w:val="009A353D"/>
    <w:rsid w:val="009B0B77"/>
    <w:rsid w:val="009B511E"/>
    <w:rsid w:val="00A017A7"/>
    <w:rsid w:val="00A44E3D"/>
    <w:rsid w:val="00A67F1A"/>
    <w:rsid w:val="00A72D2E"/>
    <w:rsid w:val="00A74447"/>
    <w:rsid w:val="00A74CE5"/>
    <w:rsid w:val="00A86639"/>
    <w:rsid w:val="00A911E7"/>
    <w:rsid w:val="00A939D9"/>
    <w:rsid w:val="00AF05A6"/>
    <w:rsid w:val="00B0595B"/>
    <w:rsid w:val="00B07D9E"/>
    <w:rsid w:val="00B20712"/>
    <w:rsid w:val="00B43238"/>
    <w:rsid w:val="00B45DD3"/>
    <w:rsid w:val="00B52632"/>
    <w:rsid w:val="00B61069"/>
    <w:rsid w:val="00B652DF"/>
    <w:rsid w:val="00B727A9"/>
    <w:rsid w:val="00B75216"/>
    <w:rsid w:val="00B91D52"/>
    <w:rsid w:val="00B9490F"/>
    <w:rsid w:val="00BA1ACD"/>
    <w:rsid w:val="00BD09F8"/>
    <w:rsid w:val="00C17E90"/>
    <w:rsid w:val="00C91FEA"/>
    <w:rsid w:val="00CA7176"/>
    <w:rsid w:val="00CB3D48"/>
    <w:rsid w:val="00CB4665"/>
    <w:rsid w:val="00CC75B0"/>
    <w:rsid w:val="00CD2773"/>
    <w:rsid w:val="00CE143B"/>
    <w:rsid w:val="00D0024A"/>
    <w:rsid w:val="00D013B3"/>
    <w:rsid w:val="00D07CB4"/>
    <w:rsid w:val="00D14240"/>
    <w:rsid w:val="00D27003"/>
    <w:rsid w:val="00DB4A9B"/>
    <w:rsid w:val="00DD47C5"/>
    <w:rsid w:val="00E1069F"/>
    <w:rsid w:val="00E167C7"/>
    <w:rsid w:val="00E2482E"/>
    <w:rsid w:val="00E60095"/>
    <w:rsid w:val="00E73D47"/>
    <w:rsid w:val="00EB1684"/>
    <w:rsid w:val="00EC47F6"/>
    <w:rsid w:val="00EE156D"/>
    <w:rsid w:val="00EE65B8"/>
    <w:rsid w:val="00F149E2"/>
    <w:rsid w:val="00F66032"/>
    <w:rsid w:val="00F870D9"/>
    <w:rsid w:val="00F87C1E"/>
    <w:rsid w:val="00F958C2"/>
    <w:rsid w:val="0BB77C55"/>
    <w:rsid w:val="2E9A7224"/>
    <w:rsid w:val="36801CC7"/>
    <w:rsid w:val="412035CD"/>
    <w:rsid w:val="45AB36C5"/>
    <w:rsid w:val="4C264A69"/>
    <w:rsid w:val="543241A7"/>
    <w:rsid w:val="5A643A7E"/>
    <w:rsid w:val="66911C4E"/>
    <w:rsid w:val="6E5E1F6B"/>
    <w:rsid w:val="70A8732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iPriority w:val="99"/>
  </w:style>
  <w:style w:type="table" w:default="1" w:styleId="9">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alloon Text"/>
    <w:basedOn w:val="1"/>
    <w:link w:val="14"/>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rFonts w:ascii="Times New Roman" w:hAnsi="Times New Roman"/>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6">
    <w:name w:val="toc 1"/>
    <w:basedOn w:val="1"/>
    <w:next w:val="1"/>
    <w:qFormat/>
    <w:uiPriority w:val="99"/>
    <w:rPr>
      <w:rFonts w:ascii="Times New Roman" w:hAnsi="Times New Roman"/>
      <w:szCs w:val="24"/>
    </w:rPr>
  </w:style>
  <w:style w:type="paragraph" w:styleId="7">
    <w:name w:val="footnote text"/>
    <w:basedOn w:val="1"/>
    <w:link w:val="17"/>
    <w:qFormat/>
    <w:uiPriority w:val="99"/>
    <w:pPr>
      <w:snapToGrid w:val="0"/>
      <w:jc w:val="left"/>
    </w:pPr>
    <w:rPr>
      <w:sz w:val="18"/>
      <w:szCs w:val="18"/>
    </w:rPr>
  </w:style>
  <w:style w:type="paragraph" w:styleId="8">
    <w:name w:val="toc 2"/>
    <w:basedOn w:val="1"/>
    <w:next w:val="1"/>
    <w:qFormat/>
    <w:uiPriority w:val="99"/>
    <w:pPr>
      <w:ind w:left="420" w:leftChars="200"/>
    </w:pPr>
    <w:rPr>
      <w:rFonts w:ascii="Times New Roman" w:hAnsi="Times New Roman"/>
      <w:szCs w:val="24"/>
    </w:rPr>
  </w:style>
  <w:style w:type="character" w:styleId="11">
    <w:name w:val="page number"/>
    <w:basedOn w:val="10"/>
    <w:qFormat/>
    <w:uiPriority w:val="99"/>
    <w:rPr>
      <w:rFonts w:cs="Times New Roman"/>
    </w:rPr>
  </w:style>
  <w:style w:type="character" w:styleId="12">
    <w:name w:val="Hyperlink"/>
    <w:basedOn w:val="10"/>
    <w:qFormat/>
    <w:uiPriority w:val="99"/>
    <w:rPr>
      <w:rFonts w:cs="Times New Roman"/>
      <w:color w:val="0000FF"/>
      <w:u w:val="single"/>
    </w:rPr>
  </w:style>
  <w:style w:type="character" w:styleId="13">
    <w:name w:val="footnote reference"/>
    <w:basedOn w:val="10"/>
    <w:qFormat/>
    <w:uiPriority w:val="99"/>
    <w:rPr>
      <w:rFonts w:cs="Times New Roman"/>
      <w:vertAlign w:val="superscript"/>
    </w:rPr>
  </w:style>
  <w:style w:type="character" w:customStyle="1" w:styleId="14">
    <w:name w:val="Balloon Text Char"/>
    <w:basedOn w:val="10"/>
    <w:link w:val="3"/>
    <w:semiHidden/>
    <w:qFormat/>
    <w:locked/>
    <w:uiPriority w:val="99"/>
    <w:rPr>
      <w:rFonts w:cs="Times New Roman"/>
      <w:sz w:val="18"/>
      <w:szCs w:val="18"/>
    </w:rPr>
  </w:style>
  <w:style w:type="character" w:customStyle="1" w:styleId="15">
    <w:name w:val="Footer Char"/>
    <w:basedOn w:val="10"/>
    <w:link w:val="4"/>
    <w:qFormat/>
    <w:locked/>
    <w:uiPriority w:val="99"/>
    <w:rPr>
      <w:rFonts w:ascii="Times New Roman" w:hAnsi="Times New Roman" w:eastAsia="宋体" w:cs="Times New Roman"/>
      <w:sz w:val="18"/>
      <w:szCs w:val="18"/>
    </w:rPr>
  </w:style>
  <w:style w:type="character" w:customStyle="1" w:styleId="16">
    <w:name w:val="Header Char"/>
    <w:basedOn w:val="10"/>
    <w:link w:val="5"/>
    <w:qFormat/>
    <w:locked/>
    <w:uiPriority w:val="99"/>
    <w:rPr>
      <w:rFonts w:ascii="Times New Roman" w:hAnsi="Times New Roman" w:eastAsia="宋体" w:cs="Times New Roman"/>
      <w:sz w:val="18"/>
      <w:szCs w:val="18"/>
    </w:rPr>
  </w:style>
  <w:style w:type="character" w:customStyle="1" w:styleId="17">
    <w:name w:val="Footnote Text Char"/>
    <w:basedOn w:val="10"/>
    <w:link w:val="7"/>
    <w:semiHidden/>
    <w:qFormat/>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19">
    <w:name w:val="Char Char2"/>
    <w:basedOn w:val="10"/>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10</Pages>
  <Words>533</Words>
  <Characters>3044</Characters>
  <Lines>0</Lines>
  <Paragraphs>0</Paragraphs>
  <TotalTime>11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2024-01-15T02:12:42Z</dcterms:modified>
  <dc:title>河北省财政厅2019年部门预算信息公开情况说明</dc:title>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