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880" w:firstLineChars="200"/>
        <w:jc w:val="center"/>
        <w:rPr>
          <w:rFonts w:ascii="Times New Roman" w:hAnsi="Times New Roman" w:eastAsia="方正小标宋_GBK" w:cs="Times New Roman"/>
          <w:sz w:val="44"/>
          <w:szCs w:val="44"/>
        </w:rPr>
      </w:pPr>
      <w:r>
        <w:rPr>
          <w:rFonts w:hint="eastAsia" w:ascii="Times New Roman" w:hAnsi="Times New Roman" w:eastAsia="方正小标宋_GBK" w:cs="Times New Roman"/>
          <w:sz w:val="44"/>
          <w:szCs w:val="44"/>
          <w:lang w:eastAsia="zh-CN"/>
        </w:rPr>
        <w:t>鹿泉区妇联</w:t>
      </w:r>
      <w:r>
        <w:rPr>
          <w:rFonts w:ascii="Times New Roman" w:hAnsi="Times New Roman" w:eastAsia="方正小标宋_GBK" w:cs="Times New Roman"/>
          <w:sz w:val="44"/>
          <w:szCs w:val="44"/>
        </w:rPr>
        <w:t>201</w:t>
      </w:r>
      <w:r>
        <w:rPr>
          <w:rFonts w:hint="eastAsia" w:ascii="Times New Roman" w:hAnsi="Times New Roman" w:eastAsia="方正小标宋_GBK" w:cs="Times New Roman"/>
          <w:sz w:val="44"/>
          <w:szCs w:val="44"/>
        </w:rPr>
        <w:t>9</w:t>
      </w:r>
      <w:r>
        <w:rPr>
          <w:rFonts w:ascii="Times New Roman" w:hAnsi="Times New Roman" w:eastAsia="方正小标宋_GBK" w:cs="Times New Roman"/>
          <w:sz w:val="44"/>
          <w:szCs w:val="44"/>
        </w:rPr>
        <w:t>年部门预算信息公开</w:t>
      </w:r>
      <w:r>
        <w:rPr>
          <w:rFonts w:hint="eastAsia" w:ascii="Times New Roman" w:hAnsi="Times New Roman" w:eastAsia="方正小标宋_GBK" w:cs="Times New Roman"/>
          <w:sz w:val="44"/>
          <w:szCs w:val="44"/>
        </w:rPr>
        <w:t>情况说明</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按照《中华人民共和国预算法》、《地方预决算公开操作规程》和《河北省省级预算公开办法》规定，现将</w:t>
      </w:r>
      <w:r>
        <w:rPr>
          <w:rFonts w:hint="eastAsia" w:ascii="仿宋" w:hAnsi="仿宋" w:eastAsia="仿宋" w:cs="仿宋"/>
          <w:sz w:val="32"/>
          <w:szCs w:val="32"/>
          <w:lang w:eastAsia="zh-CN"/>
        </w:rPr>
        <w:t>鹿泉区妇联</w:t>
      </w:r>
      <w:r>
        <w:rPr>
          <w:rFonts w:hint="eastAsia" w:ascii="仿宋" w:hAnsi="仿宋" w:eastAsia="仿宋" w:cs="仿宋"/>
          <w:sz w:val="32"/>
          <w:szCs w:val="32"/>
        </w:rPr>
        <w:t>2019年部门预算公开如下：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ind w:firstLine="640" w:firstLineChars="200"/>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部门</w:t>
      </w:r>
      <w:r>
        <w:rPr>
          <w:rFonts w:ascii="Times New Roman" w:hAnsi="Times New Roman" w:eastAsia="方正仿宋_GBK" w:cs="Times New Roman"/>
          <w:b/>
          <w:sz w:val="32"/>
          <w:szCs w:val="32"/>
        </w:rPr>
        <w:t>职责：</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1、团结动员妇女参加</w:t>
      </w:r>
      <w:bookmarkStart w:id="3" w:name="_GoBack"/>
      <w:bookmarkEnd w:id="3"/>
      <w:r>
        <w:rPr>
          <w:rFonts w:hint="eastAsia" w:ascii="仿宋" w:hAnsi="仿宋" w:eastAsia="仿宋" w:cs="仿宋"/>
          <w:sz w:val="32"/>
          <w:szCs w:val="32"/>
        </w:rPr>
        <w:t>经济社会建设。完成区委区政府交办的工作任务，全区妇女精神面貌有较大改观，创业就业能力逐步增强，素质得到全面提升。基层组织各项建设得到加强，农村“两委”中女性成员比例提高，妇联干部工作能力和水平提高；提高妇女科技素质和农业经营管理能力，促进妇女创业就业。</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2、维护妇女儿童合法权益促进妇女儿童发展。帮助权益受到侵害的妇女儿童解决困难和问题，提高广大妇女儿童的维权意识和维权能力，有效维护妇女儿童合法权益；规范妇女信访秩序，促进社会和谐稳定。</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3、服务广大妇女儿童。为社会广大妇女儿童服务，关爱儿童健康、教育、生活、平安。</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 xml:space="preserve">4、强化妇联干部队伍素质培训。继续深化实施素质提升培训计划围绕本地实际开展妇联干部轮训，实现多层次、多领域、多方位的教育培训，不断提升妇联干部主动适应新常态、创新发展妇联工作的能力和水平。     </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5、注重从源头上推动解决妇女儿童权益重点难点问题。深入研究农村改革中农村妇女权益保障问题, 及时提出意见建议,在农村土地确权登记颁证工作中维护好农村妇女权益；认真研究实施全面两孩政策带来的新情况, 推动解决妇女就业等方面出现的新问题，为妇女更好平衡工作和家庭关系创造有利条件。积极推进妇女儿童两个规划实施，做好中期监测评估，迎接上级妇儿委对我区中期评估督导；加大协调推进力度，争取在新生儿出生缺陷干预等重难点指标上实现突破，推动将普惠妇女儿童的实事项目纳入政府民生工程。</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 xml:space="preserve">    6、注重法治宣传教育和服务。大力宣传反家庭暴力法，让学法、守法、尊法、用法成为妇女的自觉行动。持续开展“建设法治中国·巾帼在行动”活动, 扎实做好普法宣传、矛盾排查、心理疏导、纠纷调解、信访代理、法律帮助、困难帮扶等服务, 进一步探索承接政府转移出来的涉及妇女儿童和家庭的公共服务, 加大对年轻女性、老龄妇女、困境儿童等群体的帮扶力度。</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 xml:space="preserve">    二、实现年度发展规划目标的保障措施</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（一）做好白内障免费筛查工作。牵手省直医院对全区农村贫困家庭白内障患者进行免费筛查，为患者安排免费手术。</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二）开展“两癌”免费筛查。会同卫计局联合发文，组织妇女干部职工进行“两癌”筛查,通过早检查、早发现、早治疗等手段，努力降低妇女“两癌”疾病的发病率、死亡率，提高妇女健康水平和生活质量，促进我区经济社会和谐发展。</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三）开展各类贫困儿童、留守儿童慰问活动。联合社会各界爱心人士，对全区贫困儿童进行慰问，为孩子们送去书包、衣服、文具等用品；组织“爱心代理妈妈”与留守儿童进行对接，定期对留守儿童慰问，给孩子送去温暖。</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四）充分利用儿童友好家园场所，开展各类活动。全面提升儿童友好家园的管理运水平和运行能力，积极争取上级资金，在我区8个市级儿童友好家园开展48场高质量的儿童活动，充分发挥儿童友好家园的各项功能。今年在我区宜安镇孟岭村再打造一个市级儿童友好家园。</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五）积极参加市妇联特色手工艺品大赛。以弘扬和传承中华传统手工文化为依托，发现一批具有创意能力、创新思想且心灵手巧的“巧姐”、推出一批手工艺产品原创品牌、参加石家庄市妇联的手工大赛，通过展示、宣传我区特色手工艺品产品，带动更多妇女实现灵活就业、脱贫致富。</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六）组织妇女进行文明礼仪培训。区妇联将在全区范围内招募志愿者开展文明礼仪方面的培训，通过培训对志愿者进行考核，考核合格后，志愿者入村为农村妇女提供文明礼仪培训，为提高农村妇女素质，宣传推介鹿泉，展现鹿泉新形象。</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(七）汇集全市妇女手工作品，开办“巧手坊”。打造“巧手坊”，汇集全市手工作品，在旅发大会进行宣传、展示，为妇女手工作品提高知名度、扩大销路，提高鹿泉影响力。</w:t>
      </w:r>
    </w:p>
    <w:p>
      <w:pPr>
        <w:ind w:firstLine="640" w:firstLineChars="200"/>
        <w:rPr>
          <w:rFonts w:ascii="方正仿宋_GBK" w:hAnsi="Times New Roman" w:eastAsia="方正仿宋_GBK" w:cs="Times New Roman"/>
          <w:b/>
          <w:sz w:val="32"/>
          <w:szCs w:val="32"/>
        </w:rPr>
      </w:pPr>
      <w:r>
        <w:rPr>
          <w:rFonts w:hint="eastAsia" w:ascii="仿宋" w:hAnsi="仿宋" w:eastAsia="仿宋" w:cs="仿宋"/>
          <w:sz w:val="32"/>
          <w:szCs w:val="32"/>
        </w:rPr>
        <w:t>（八）围绕旅发大会，搞好美丽庭院创建。继续开展“美丽庭院”创建工作，通过开展“晒晒我的美丽庭院”、“每月一课集中讲授课堂”等活动，扩大知晓率，提高创建积极性，评出美丽庭院示范户并挂牌。同时打造“美丽庭院”讲师团，在旅发大会重点片区进行授课，宣讲美丽庭院创建相关知识，发动广大妇女积极行动，发挥女主人的优势，带动家人以及更多的人加入到美丽庭院创建工作中来。</w:t>
      </w:r>
    </w:p>
    <w:p>
      <w:pPr>
        <w:autoSpaceDE w:val="0"/>
        <w:autoSpaceDN w:val="0"/>
        <w:adjustRightInd w:val="0"/>
        <w:ind w:left="198" w:firstLine="640" w:firstLineChars="200"/>
        <w:jc w:val="left"/>
        <w:rPr>
          <w:rFonts w:ascii="方正仿宋_GBK" w:hAnsi="Times New Roman" w:eastAsia="方正仿宋_GBK" w:cs="Times New Roman"/>
          <w:b/>
          <w:sz w:val="32"/>
          <w:szCs w:val="32"/>
        </w:rPr>
      </w:pPr>
      <w:r>
        <w:rPr>
          <w:rFonts w:hint="eastAsia" w:ascii="方正仿宋_GBK" w:hAnsi="Times New Roman" w:eastAsia="方正仿宋_GBK" w:cs="Times New Roman"/>
          <w:b/>
          <w:sz w:val="32"/>
          <w:szCs w:val="32"/>
        </w:rPr>
        <w:t>机构设置：</w:t>
      </w:r>
    </w:p>
    <w:p>
      <w:pPr>
        <w:numPr>
          <w:ilvl w:val="0"/>
          <w:numId w:val="1"/>
        </w:numPr>
        <w:rPr>
          <w:rFonts w:hint="eastAsia" w:ascii="仿宋_GB2312" w:hAnsi="宋体" w:eastAsia="仿宋_GB2312"/>
          <w:b/>
          <w:kern w:val="0"/>
          <w:sz w:val="32"/>
          <w:szCs w:val="32"/>
        </w:rPr>
      </w:pPr>
      <w:r>
        <w:rPr>
          <w:rFonts w:hint="eastAsia" w:ascii="仿宋_GB2312" w:hAnsi="宋体" w:eastAsia="仿宋_GB2312" w:cs="宋体"/>
          <w:b/>
          <w:kern w:val="0"/>
          <w:sz w:val="32"/>
          <w:szCs w:val="32"/>
        </w:rPr>
        <w:t>机构设置</w:t>
      </w:r>
      <w:r>
        <w:rPr>
          <w:rFonts w:hint="eastAsia" w:ascii="仿宋_GB2312" w:hAnsi="宋体" w:eastAsia="仿宋_GB2312"/>
          <w:b/>
          <w:kern w:val="0"/>
          <w:sz w:val="32"/>
          <w:szCs w:val="32"/>
        </w:rPr>
        <w:t xml:space="preserve"> </w:t>
      </w:r>
    </w:p>
    <w:p>
      <w:pPr>
        <w:ind w:firstLine="640" w:firstLineChars="200"/>
        <w:rPr>
          <w:rFonts w:hint="eastAsia" w:ascii="仿宋_GB2312" w:eastAsia="仿宋_GB2312"/>
          <w:sz w:val="32"/>
          <w:szCs w:val="32"/>
        </w:rPr>
      </w:pPr>
      <w:r>
        <w:rPr>
          <w:rFonts w:hint="eastAsia" w:ascii="仿宋_GB2312" w:eastAsia="仿宋_GB2312"/>
          <w:sz w:val="32"/>
          <w:szCs w:val="32"/>
        </w:rPr>
        <w:t>根据上述职责，</w:t>
      </w:r>
      <w:r>
        <w:rPr>
          <w:rFonts w:hint="eastAsia" w:ascii="仿宋_GB2312" w:eastAsia="仿宋_GB2312"/>
          <w:sz w:val="32"/>
          <w:szCs w:val="32"/>
          <w:lang w:val="en-US" w:eastAsia="zh-CN"/>
        </w:rPr>
        <w:t>妇联</w:t>
      </w:r>
      <w:r>
        <w:rPr>
          <w:rFonts w:hint="eastAsia" w:ascii="仿宋_GB2312" w:eastAsia="仿宋_GB2312"/>
          <w:sz w:val="32"/>
          <w:szCs w:val="32"/>
        </w:rPr>
        <w:t>设办公室</w:t>
      </w:r>
      <w:r>
        <w:rPr>
          <w:rFonts w:hint="eastAsia" w:ascii="仿宋_GB2312" w:eastAsia="仿宋_GB2312"/>
          <w:sz w:val="32"/>
          <w:szCs w:val="32"/>
          <w:lang w:val="en-US" w:eastAsia="zh-CN"/>
        </w:rPr>
        <w:t>一</w:t>
      </w:r>
      <w:r>
        <w:rPr>
          <w:rFonts w:hint="eastAsia" w:ascii="仿宋_GB2312" w:eastAsia="仿宋_GB2312"/>
          <w:sz w:val="32"/>
          <w:szCs w:val="32"/>
        </w:rPr>
        <w:t>个内设机构。负责</w:t>
      </w:r>
      <w:r>
        <w:rPr>
          <w:rFonts w:hint="eastAsia" w:ascii="仿宋_GB2312" w:eastAsia="仿宋_GB2312"/>
          <w:sz w:val="32"/>
          <w:szCs w:val="32"/>
          <w:lang w:val="en-US" w:eastAsia="zh-CN"/>
        </w:rPr>
        <w:t>统筹妇联各项工作。</w:t>
      </w:r>
    </w:p>
    <w:p>
      <w:pPr>
        <w:numPr>
          <w:ilvl w:val="0"/>
          <w:numId w:val="0"/>
        </w:numPr>
        <w:rPr>
          <w:rFonts w:hint="eastAsia" w:ascii="仿宋_GB2312" w:hAnsi="宋体" w:eastAsia="仿宋_GB2312"/>
          <w:b/>
          <w:kern w:val="0"/>
          <w:sz w:val="32"/>
          <w:szCs w:val="32"/>
        </w:rPr>
      </w:pPr>
    </w:p>
    <w:tbl>
      <w:tblPr>
        <w:tblStyle w:val="8"/>
        <w:tblW w:w="13921"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4291"/>
        <w:gridCol w:w="1224"/>
        <w:gridCol w:w="421"/>
        <w:gridCol w:w="599"/>
        <w:gridCol w:w="960"/>
        <w:gridCol w:w="1032"/>
        <w:gridCol w:w="228"/>
        <w:gridCol w:w="1152"/>
        <w:gridCol w:w="1020"/>
        <w:gridCol w:w="936"/>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tblHeader/>
        </w:trPr>
        <w:tc>
          <w:tcPr>
            <w:tcW w:w="1134" w:type="dxa"/>
            <w:vAlign w:val="center"/>
          </w:tcPr>
          <w:p>
            <w:pPr>
              <w:jc w:val="center"/>
              <w:rPr>
                <w:rFonts w:ascii="黑体" w:hAnsi="黑体" w:eastAsia="黑体"/>
                <w:b/>
                <w:sz w:val="18"/>
              </w:rPr>
            </w:pPr>
            <w:r>
              <w:rPr>
                <w:rFonts w:hint="eastAsia" w:ascii="黑体" w:hAnsi="黑体" w:eastAsia="黑体"/>
                <w:b/>
                <w:sz w:val="18"/>
              </w:rPr>
              <w:t>单位编码</w:t>
            </w:r>
          </w:p>
        </w:tc>
        <w:tc>
          <w:tcPr>
            <w:tcW w:w="4291" w:type="dxa"/>
            <w:vAlign w:val="center"/>
          </w:tcPr>
          <w:p>
            <w:pPr>
              <w:jc w:val="center"/>
              <w:rPr>
                <w:rFonts w:ascii="黑体" w:hAnsi="黑体" w:eastAsia="黑体"/>
                <w:b/>
                <w:sz w:val="18"/>
              </w:rPr>
            </w:pPr>
            <w:r>
              <w:rPr>
                <w:rFonts w:hint="eastAsia" w:ascii="黑体" w:hAnsi="黑体" w:eastAsia="黑体"/>
                <w:b/>
                <w:sz w:val="18"/>
              </w:rPr>
              <w:t>单位名称</w:t>
            </w:r>
          </w:p>
        </w:tc>
        <w:tc>
          <w:tcPr>
            <w:tcW w:w="1645" w:type="dxa"/>
            <w:gridSpan w:val="2"/>
            <w:vAlign w:val="center"/>
          </w:tcPr>
          <w:p>
            <w:pPr>
              <w:jc w:val="center"/>
              <w:rPr>
                <w:rFonts w:ascii="黑体" w:hAnsi="黑体" w:eastAsia="黑体"/>
                <w:b/>
                <w:sz w:val="18"/>
              </w:rPr>
            </w:pPr>
            <w:r>
              <w:rPr>
                <w:rFonts w:ascii="黑体" w:hAnsi="黑体" w:eastAsia="黑体"/>
                <w:b/>
                <w:sz w:val="18"/>
              </w:rPr>
              <w:t>单位规格</w:t>
            </w:r>
          </w:p>
        </w:tc>
        <w:tc>
          <w:tcPr>
            <w:tcW w:w="2819" w:type="dxa"/>
            <w:gridSpan w:val="4"/>
            <w:vAlign w:val="center"/>
          </w:tcPr>
          <w:p>
            <w:pPr>
              <w:jc w:val="center"/>
              <w:rPr>
                <w:rFonts w:ascii="黑体" w:hAnsi="黑体" w:eastAsia="黑体"/>
                <w:b/>
                <w:sz w:val="18"/>
              </w:rPr>
            </w:pPr>
            <w:r>
              <w:rPr>
                <w:rFonts w:hint="eastAsia" w:ascii="黑体" w:hAnsi="黑体" w:eastAsia="黑体"/>
                <w:b/>
                <w:sz w:val="18"/>
              </w:rPr>
              <w:t>单位性质</w:t>
            </w:r>
          </w:p>
        </w:tc>
        <w:tc>
          <w:tcPr>
            <w:tcW w:w="4032" w:type="dxa"/>
            <w:gridSpan w:val="4"/>
            <w:vAlign w:val="center"/>
          </w:tcPr>
          <w:p>
            <w:pPr>
              <w:jc w:val="center"/>
              <w:rPr>
                <w:rFonts w:ascii="黑体" w:hAnsi="黑体" w:eastAsia="黑体"/>
                <w:b/>
                <w:sz w:val="18"/>
              </w:rPr>
            </w:pPr>
            <w:r>
              <w:rPr>
                <w:rFonts w:hint="eastAsia" w:ascii="黑体" w:hAnsi="黑体" w:eastAsia="黑体"/>
                <w:b/>
                <w:sz w:val="18"/>
              </w:rPr>
              <w:t>财政供给政策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trPr>
        <w:tc>
          <w:tcPr>
            <w:tcW w:w="1134" w:type="dxa"/>
            <w:vAlign w:val="top"/>
          </w:tcPr>
          <w:p>
            <w:pPr>
              <w:jc w:val="left"/>
              <w:rPr>
                <w:rFonts w:hint="eastAsia" w:ascii="宋体" w:hAnsi="宋体"/>
                <w:sz w:val="18"/>
              </w:rPr>
            </w:pPr>
            <w:r>
              <w:rPr>
                <w:rFonts w:hint="eastAsia" w:ascii="宋体" w:hAnsi="宋体"/>
                <w:sz w:val="18"/>
              </w:rPr>
              <w:t>713002</w:t>
            </w:r>
          </w:p>
        </w:tc>
        <w:tc>
          <w:tcPr>
            <w:tcW w:w="4291" w:type="dxa"/>
            <w:vAlign w:val="top"/>
          </w:tcPr>
          <w:p>
            <w:pPr>
              <w:jc w:val="left"/>
              <w:rPr>
                <w:rFonts w:hint="eastAsia" w:ascii="宋体" w:hAnsi="宋体"/>
                <w:sz w:val="18"/>
              </w:rPr>
            </w:pPr>
            <w:r>
              <w:rPr>
                <w:rFonts w:hint="eastAsia" w:ascii="宋体" w:hAnsi="宋体"/>
                <w:sz w:val="18"/>
              </w:rPr>
              <w:t>石家庄市鹿泉区妇女联合会</w:t>
            </w:r>
          </w:p>
        </w:tc>
        <w:tc>
          <w:tcPr>
            <w:tcW w:w="1645" w:type="dxa"/>
            <w:gridSpan w:val="2"/>
            <w:vAlign w:val="top"/>
          </w:tcPr>
          <w:p>
            <w:pPr>
              <w:jc w:val="left"/>
              <w:rPr>
                <w:rFonts w:hint="eastAsia" w:ascii="宋体" w:hAnsi="宋体"/>
                <w:sz w:val="18"/>
              </w:rPr>
            </w:pPr>
            <w:r>
              <w:rPr>
                <w:rFonts w:hint="eastAsia" w:ascii="宋体" w:hAnsi="宋体"/>
                <w:sz w:val="18"/>
              </w:rPr>
              <w:t>正科级</w:t>
            </w:r>
          </w:p>
        </w:tc>
        <w:tc>
          <w:tcPr>
            <w:tcW w:w="2819" w:type="dxa"/>
            <w:gridSpan w:val="4"/>
            <w:vAlign w:val="top"/>
          </w:tcPr>
          <w:p>
            <w:pPr>
              <w:jc w:val="center"/>
              <w:rPr>
                <w:rFonts w:hint="eastAsia" w:ascii="宋体" w:hAnsi="宋体" w:eastAsia="宋体"/>
                <w:sz w:val="18"/>
                <w:lang w:eastAsia="zh-CN"/>
              </w:rPr>
            </w:pPr>
            <w:r>
              <w:rPr>
                <w:rFonts w:hint="eastAsia" w:ascii="宋体" w:hAnsi="宋体"/>
                <w:sz w:val="18"/>
                <w:lang w:val="en-US" w:eastAsia="zh-CN"/>
              </w:rPr>
              <w:t>行政</w:t>
            </w:r>
          </w:p>
        </w:tc>
        <w:tc>
          <w:tcPr>
            <w:tcW w:w="4032" w:type="dxa"/>
            <w:gridSpan w:val="4"/>
            <w:vAlign w:val="top"/>
          </w:tcPr>
          <w:p>
            <w:pPr>
              <w:jc w:val="left"/>
              <w:rPr>
                <w:rFonts w:hint="eastAsia" w:ascii="宋体" w:hAnsi="宋体"/>
                <w:sz w:val="18"/>
              </w:rPr>
            </w:pPr>
            <w:r>
              <w:rPr>
                <w:rFonts w:hint="eastAsia" w:ascii="宋体" w:hAnsi="宋体"/>
                <w:sz w:val="18"/>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tblHeader/>
        </w:trPr>
        <w:tc>
          <w:tcPr>
            <w:tcW w:w="11041" w:type="dxa"/>
            <w:gridSpan w:val="9"/>
            <w:tcBorders>
              <w:top w:val="single" w:color="FFFFFF" w:sz="6" w:space="0"/>
              <w:left w:val="single" w:color="FFFFFF" w:sz="6" w:space="0"/>
              <w:bottom w:val="single" w:color="000000" w:sz="6" w:space="0"/>
              <w:right w:val="single" w:color="FFFFFF" w:sz="6" w:space="0"/>
            </w:tcBorders>
            <w:vAlign w:val="center"/>
          </w:tcPr>
          <w:p>
            <w:pPr>
              <w:jc w:val="left"/>
              <w:rPr>
                <w:rFonts w:ascii="黑体" w:hAnsi="黑体" w:eastAsia="黑体"/>
                <w:b/>
                <w:sz w:val="18"/>
              </w:rPr>
            </w:pPr>
          </w:p>
        </w:tc>
        <w:tc>
          <w:tcPr>
            <w:tcW w:w="2880" w:type="dxa"/>
            <w:gridSpan w:val="3"/>
            <w:tcBorders>
              <w:top w:val="single" w:color="FFFFFF" w:sz="6" w:space="0"/>
              <w:left w:val="single" w:color="FFFFFF" w:sz="6" w:space="0"/>
              <w:bottom w:val="single" w:color="000000" w:sz="6" w:space="0"/>
              <w:right w:val="single" w:color="FFFFFF" w:sz="6" w:space="0"/>
            </w:tcBorders>
            <w:vAlign w:val="center"/>
          </w:tcPr>
          <w:p>
            <w:pPr>
              <w:ind w:right="362"/>
              <w:jc w:val="right"/>
              <w:rPr>
                <w:rFonts w:ascii="黑体" w:hAnsi="黑体" w:eastAsia="黑体"/>
                <w:b/>
                <w:sz w:val="18"/>
              </w:rPr>
            </w:pPr>
            <w:r>
              <w:rPr>
                <w:rFonts w:hint="eastAsia" w:ascii="黑体" w:hAnsi="黑体" w:eastAsia="黑体"/>
                <w:b/>
                <w:sz w:val="18"/>
              </w:rPr>
              <w:t>单位：人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blHeader/>
        </w:trPr>
        <w:tc>
          <w:tcPr>
            <w:tcW w:w="5425" w:type="dxa"/>
            <w:gridSpan w:val="2"/>
            <w:vMerge w:val="restart"/>
            <w:tcBorders>
              <w:top w:val="single" w:color="000000" w:sz="6" w:space="0"/>
              <w:left w:val="single" w:color="000000" w:sz="6" w:space="0"/>
              <w:bottom w:val="single" w:color="000000" w:sz="6" w:space="0"/>
              <w:right w:val="single" w:color="000000" w:sz="6" w:space="0"/>
            </w:tcBorders>
            <w:vAlign w:val="center"/>
          </w:tcPr>
          <w:p>
            <w:pPr>
              <w:jc w:val="center"/>
              <w:rPr>
                <w:rFonts w:ascii="黑体" w:hAnsi="黑体" w:eastAsia="黑体"/>
                <w:b/>
                <w:sz w:val="18"/>
              </w:rPr>
            </w:pPr>
            <w:r>
              <w:rPr>
                <w:rFonts w:hint="eastAsia" w:ascii="黑体" w:hAnsi="黑体" w:eastAsia="黑体"/>
                <w:b/>
                <w:sz w:val="18"/>
              </w:rPr>
              <w:t>单位名称</w:t>
            </w:r>
          </w:p>
        </w:tc>
        <w:tc>
          <w:tcPr>
            <w:tcW w:w="2244" w:type="dxa"/>
            <w:gridSpan w:val="3"/>
            <w:tcBorders>
              <w:top w:val="single" w:color="000000" w:sz="6" w:space="0"/>
              <w:left w:val="single" w:color="000000" w:sz="6" w:space="0"/>
              <w:bottom w:val="single" w:color="000000" w:sz="6" w:space="0"/>
              <w:right w:val="single" w:color="000000" w:sz="6" w:space="0"/>
            </w:tcBorders>
            <w:vAlign w:val="center"/>
          </w:tcPr>
          <w:p>
            <w:pPr>
              <w:jc w:val="center"/>
              <w:rPr>
                <w:rFonts w:ascii="黑体" w:hAnsi="黑体" w:eastAsia="黑体"/>
                <w:b/>
                <w:sz w:val="18"/>
              </w:rPr>
            </w:pPr>
            <w:r>
              <w:rPr>
                <w:rFonts w:hint="eastAsia" w:ascii="黑体" w:hAnsi="黑体" w:eastAsia="黑体"/>
                <w:b/>
                <w:sz w:val="18"/>
              </w:rPr>
              <w:t>编制人数</w:t>
            </w:r>
          </w:p>
        </w:tc>
        <w:tc>
          <w:tcPr>
            <w:tcW w:w="1992" w:type="dxa"/>
            <w:gridSpan w:val="2"/>
            <w:tcBorders>
              <w:top w:val="single" w:color="000000" w:sz="6" w:space="0"/>
              <w:left w:val="single" w:color="000000" w:sz="6" w:space="0"/>
              <w:bottom w:val="single" w:color="000000" w:sz="6" w:space="0"/>
              <w:right w:val="single" w:color="000000" w:sz="6" w:space="0"/>
            </w:tcBorders>
            <w:vAlign w:val="center"/>
          </w:tcPr>
          <w:p>
            <w:pPr>
              <w:jc w:val="center"/>
              <w:rPr>
                <w:rFonts w:ascii="黑体" w:hAnsi="黑体" w:eastAsia="黑体"/>
                <w:b/>
                <w:sz w:val="18"/>
              </w:rPr>
            </w:pPr>
            <w:r>
              <w:rPr>
                <w:rFonts w:hint="eastAsia" w:ascii="黑体" w:hAnsi="黑体" w:eastAsia="黑体"/>
                <w:b/>
                <w:sz w:val="18"/>
              </w:rPr>
              <w:t>在职人数</w:t>
            </w:r>
          </w:p>
        </w:tc>
        <w:tc>
          <w:tcPr>
            <w:tcW w:w="1380" w:type="dxa"/>
            <w:gridSpan w:val="2"/>
            <w:vMerge w:val="restart"/>
            <w:tcBorders>
              <w:top w:val="single" w:color="000000" w:sz="6" w:space="0"/>
              <w:left w:val="single" w:color="000000" w:sz="6" w:space="0"/>
              <w:bottom w:val="single" w:color="000000" w:sz="6" w:space="0"/>
              <w:right w:val="single" w:color="000000" w:sz="6" w:space="0"/>
            </w:tcBorders>
            <w:vAlign w:val="center"/>
          </w:tcPr>
          <w:p>
            <w:pPr>
              <w:jc w:val="center"/>
              <w:rPr>
                <w:rFonts w:ascii="黑体" w:hAnsi="黑体" w:eastAsia="黑体"/>
                <w:b/>
                <w:sz w:val="18"/>
              </w:rPr>
            </w:pPr>
            <w:r>
              <w:rPr>
                <w:rFonts w:hint="eastAsia" w:ascii="黑体" w:hAnsi="黑体" w:eastAsia="黑体"/>
                <w:b/>
                <w:sz w:val="18"/>
              </w:rPr>
              <w:t>非在职人数</w:t>
            </w:r>
          </w:p>
        </w:tc>
        <w:tc>
          <w:tcPr>
            <w:tcW w:w="2880" w:type="dxa"/>
            <w:gridSpan w:val="3"/>
            <w:tcBorders>
              <w:top w:val="single" w:color="000000" w:sz="6" w:space="0"/>
              <w:left w:val="single" w:color="000000" w:sz="6" w:space="0"/>
              <w:bottom w:val="single" w:color="000000" w:sz="6" w:space="0"/>
              <w:right w:val="single" w:color="000000" w:sz="6" w:space="0"/>
            </w:tcBorders>
            <w:vAlign w:val="center"/>
          </w:tcPr>
          <w:p>
            <w:pPr>
              <w:jc w:val="center"/>
              <w:rPr>
                <w:rFonts w:ascii="黑体" w:hAnsi="黑体" w:eastAsia="黑体"/>
                <w:b/>
                <w:sz w:val="18"/>
              </w:rPr>
            </w:pPr>
            <w:r>
              <w:rPr>
                <w:rFonts w:hint="eastAsia" w:ascii="黑体" w:hAnsi="黑体" w:eastAsia="黑体"/>
                <w:b/>
                <w:sz w:val="18"/>
              </w:rPr>
              <w:t>离退人数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tblHeader/>
        </w:trPr>
        <w:tc>
          <w:tcPr>
            <w:tcW w:w="5425" w:type="dxa"/>
            <w:gridSpan w:val="2"/>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黑体" w:hAnsi="黑体" w:eastAsia="黑体"/>
                <w:b/>
                <w:sz w:val="18"/>
              </w:rPr>
            </w:pPr>
          </w:p>
        </w:tc>
        <w:tc>
          <w:tcPr>
            <w:tcW w:w="1224" w:type="dxa"/>
            <w:tcBorders>
              <w:top w:val="single" w:color="000000" w:sz="6" w:space="0"/>
              <w:left w:val="single" w:color="000000" w:sz="6" w:space="0"/>
              <w:bottom w:val="single" w:color="000000" w:sz="6" w:space="0"/>
              <w:right w:val="single" w:color="000000" w:sz="6" w:space="0"/>
            </w:tcBorders>
            <w:vAlign w:val="center"/>
          </w:tcPr>
          <w:p>
            <w:pPr>
              <w:jc w:val="center"/>
              <w:rPr>
                <w:rFonts w:ascii="黑体" w:hAnsi="黑体" w:eastAsia="黑体"/>
                <w:b/>
                <w:sz w:val="18"/>
              </w:rPr>
            </w:pPr>
            <w:r>
              <w:rPr>
                <w:rFonts w:hint="eastAsia" w:ascii="黑体" w:hAnsi="黑体" w:eastAsia="黑体"/>
                <w:b/>
                <w:sz w:val="18"/>
              </w:rPr>
              <w:t>行政</w:t>
            </w:r>
          </w:p>
        </w:tc>
        <w:tc>
          <w:tcPr>
            <w:tcW w:w="1020" w:type="dxa"/>
            <w:gridSpan w:val="2"/>
            <w:tcBorders>
              <w:top w:val="single" w:color="000000" w:sz="6" w:space="0"/>
              <w:left w:val="single" w:color="000000" w:sz="6" w:space="0"/>
              <w:bottom w:val="single" w:color="000000" w:sz="6" w:space="0"/>
              <w:right w:val="single" w:color="000000" w:sz="6" w:space="0"/>
            </w:tcBorders>
            <w:vAlign w:val="center"/>
          </w:tcPr>
          <w:p>
            <w:pPr>
              <w:jc w:val="center"/>
              <w:rPr>
                <w:rFonts w:ascii="黑体" w:hAnsi="黑体" w:eastAsia="黑体"/>
                <w:b/>
                <w:sz w:val="18"/>
              </w:rPr>
            </w:pPr>
            <w:r>
              <w:rPr>
                <w:rFonts w:hint="eastAsia" w:ascii="黑体" w:hAnsi="黑体" w:eastAsia="黑体"/>
                <w:b/>
                <w:sz w:val="18"/>
              </w:rPr>
              <w:t>事业</w:t>
            </w:r>
          </w:p>
        </w:tc>
        <w:tc>
          <w:tcPr>
            <w:tcW w:w="960" w:type="dxa"/>
            <w:tcBorders>
              <w:top w:val="single" w:color="000000" w:sz="6" w:space="0"/>
              <w:left w:val="single" w:color="000000" w:sz="6" w:space="0"/>
              <w:bottom w:val="single" w:color="000000" w:sz="6" w:space="0"/>
              <w:right w:val="single" w:color="000000" w:sz="6" w:space="0"/>
            </w:tcBorders>
            <w:vAlign w:val="center"/>
          </w:tcPr>
          <w:p>
            <w:pPr>
              <w:jc w:val="center"/>
              <w:rPr>
                <w:rFonts w:ascii="黑体" w:hAnsi="黑体" w:eastAsia="黑体"/>
                <w:b/>
                <w:sz w:val="18"/>
              </w:rPr>
            </w:pPr>
            <w:r>
              <w:rPr>
                <w:rFonts w:hint="eastAsia" w:ascii="黑体" w:hAnsi="黑体" w:eastAsia="黑体"/>
                <w:b/>
                <w:sz w:val="18"/>
              </w:rPr>
              <w:t>行政</w:t>
            </w:r>
          </w:p>
        </w:tc>
        <w:tc>
          <w:tcPr>
            <w:tcW w:w="1032" w:type="dxa"/>
            <w:tcBorders>
              <w:top w:val="single" w:color="000000" w:sz="6" w:space="0"/>
              <w:left w:val="single" w:color="000000" w:sz="6" w:space="0"/>
              <w:bottom w:val="single" w:color="000000" w:sz="6" w:space="0"/>
              <w:right w:val="single" w:color="000000" w:sz="6" w:space="0"/>
            </w:tcBorders>
            <w:vAlign w:val="center"/>
          </w:tcPr>
          <w:p>
            <w:pPr>
              <w:jc w:val="center"/>
              <w:rPr>
                <w:rFonts w:ascii="黑体" w:hAnsi="黑体" w:eastAsia="黑体"/>
                <w:b/>
                <w:sz w:val="18"/>
              </w:rPr>
            </w:pPr>
            <w:r>
              <w:rPr>
                <w:rFonts w:hint="eastAsia" w:ascii="黑体" w:hAnsi="黑体" w:eastAsia="黑体"/>
                <w:b/>
                <w:sz w:val="18"/>
              </w:rPr>
              <w:t>事业</w:t>
            </w:r>
          </w:p>
        </w:tc>
        <w:tc>
          <w:tcPr>
            <w:tcW w:w="1380" w:type="dxa"/>
            <w:gridSpan w:val="2"/>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黑体" w:hAnsi="黑体" w:eastAsia="黑体"/>
                <w:b/>
                <w:sz w:val="18"/>
              </w:rPr>
            </w:pPr>
          </w:p>
        </w:tc>
        <w:tc>
          <w:tcPr>
            <w:tcW w:w="1020" w:type="dxa"/>
            <w:tcBorders>
              <w:top w:val="single" w:color="000000" w:sz="6" w:space="0"/>
              <w:left w:val="single" w:color="000000" w:sz="6" w:space="0"/>
              <w:bottom w:val="single" w:color="000000" w:sz="6" w:space="0"/>
              <w:right w:val="single" w:color="000000" w:sz="6" w:space="0"/>
            </w:tcBorders>
            <w:vAlign w:val="center"/>
          </w:tcPr>
          <w:p>
            <w:pPr>
              <w:jc w:val="center"/>
              <w:rPr>
                <w:rFonts w:ascii="黑体" w:hAnsi="黑体" w:eastAsia="黑体"/>
                <w:b/>
                <w:sz w:val="18"/>
              </w:rPr>
            </w:pPr>
            <w:r>
              <w:rPr>
                <w:rFonts w:hint="eastAsia" w:ascii="黑体" w:hAnsi="黑体" w:eastAsia="黑体"/>
                <w:b/>
                <w:sz w:val="18"/>
              </w:rPr>
              <w:t>离休</w:t>
            </w:r>
          </w:p>
        </w:tc>
        <w:tc>
          <w:tcPr>
            <w:tcW w:w="936" w:type="dxa"/>
            <w:tcBorders>
              <w:top w:val="single" w:color="000000" w:sz="6" w:space="0"/>
              <w:left w:val="single" w:color="000000" w:sz="6" w:space="0"/>
              <w:bottom w:val="single" w:color="000000" w:sz="6" w:space="0"/>
              <w:right w:val="single" w:color="000000" w:sz="6" w:space="0"/>
            </w:tcBorders>
            <w:vAlign w:val="center"/>
          </w:tcPr>
          <w:p>
            <w:pPr>
              <w:jc w:val="center"/>
              <w:rPr>
                <w:rFonts w:ascii="黑体" w:hAnsi="黑体" w:eastAsia="黑体"/>
                <w:b/>
                <w:sz w:val="18"/>
              </w:rPr>
            </w:pPr>
            <w:r>
              <w:rPr>
                <w:rFonts w:hint="eastAsia" w:ascii="黑体" w:hAnsi="黑体" w:eastAsia="黑体"/>
                <w:b/>
                <w:sz w:val="18"/>
              </w:rPr>
              <w:t>退休</w:t>
            </w:r>
          </w:p>
        </w:tc>
        <w:tc>
          <w:tcPr>
            <w:tcW w:w="924" w:type="dxa"/>
            <w:tcBorders>
              <w:top w:val="single" w:color="000000" w:sz="6" w:space="0"/>
              <w:left w:val="single" w:color="000000" w:sz="6" w:space="0"/>
              <w:bottom w:val="single" w:color="000000" w:sz="6" w:space="0"/>
              <w:right w:val="single" w:color="000000" w:sz="6" w:space="0"/>
            </w:tcBorders>
            <w:vAlign w:val="center"/>
          </w:tcPr>
          <w:p>
            <w:pPr>
              <w:jc w:val="center"/>
              <w:rPr>
                <w:rFonts w:ascii="黑体" w:hAnsi="黑体" w:eastAsia="黑体"/>
                <w:b/>
                <w:sz w:val="18"/>
              </w:rPr>
            </w:pPr>
            <w:r>
              <w:rPr>
                <w:rFonts w:hint="eastAsia" w:ascii="黑体" w:hAnsi="黑体" w:eastAsia="黑体"/>
                <w:b/>
                <w:sz w:val="18"/>
              </w:rPr>
              <w:t>退职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trPr>
        <w:tc>
          <w:tcPr>
            <w:tcW w:w="5425" w:type="dxa"/>
            <w:gridSpan w:val="2"/>
            <w:tcBorders>
              <w:top w:val="single" w:color="000000" w:sz="6" w:space="0"/>
              <w:left w:val="single" w:color="000000" w:sz="6" w:space="0"/>
              <w:bottom w:val="single" w:color="000000" w:sz="6" w:space="0"/>
              <w:right w:val="single" w:color="000000" w:sz="6" w:space="0"/>
            </w:tcBorders>
            <w:vAlign w:val="top"/>
          </w:tcPr>
          <w:p>
            <w:pPr>
              <w:jc w:val="center"/>
              <w:rPr>
                <w:rFonts w:ascii="宋体" w:hAnsi="宋体"/>
                <w:b/>
                <w:sz w:val="18"/>
              </w:rPr>
            </w:pPr>
            <w:r>
              <w:rPr>
                <w:rFonts w:hint="eastAsia" w:ascii="宋体" w:hAnsi="宋体"/>
                <w:b/>
                <w:sz w:val="18"/>
              </w:rPr>
              <w:t>合 计</w:t>
            </w:r>
          </w:p>
        </w:tc>
        <w:tc>
          <w:tcPr>
            <w:tcW w:w="1224" w:type="dxa"/>
            <w:tcBorders>
              <w:top w:val="single" w:color="000000" w:sz="6" w:space="0"/>
              <w:left w:val="single" w:color="000000" w:sz="6" w:space="0"/>
              <w:bottom w:val="single" w:color="000000" w:sz="6" w:space="0"/>
              <w:right w:val="single" w:color="000000" w:sz="6" w:space="0"/>
            </w:tcBorders>
            <w:vAlign w:val="top"/>
          </w:tcPr>
          <w:p>
            <w:pPr>
              <w:jc w:val="right"/>
              <w:rPr>
                <w:rFonts w:hint="eastAsia" w:ascii="宋体" w:hAnsi="宋体"/>
                <w:b/>
                <w:sz w:val="18"/>
              </w:rPr>
            </w:pPr>
          </w:p>
        </w:tc>
        <w:tc>
          <w:tcPr>
            <w:tcW w:w="1020" w:type="dxa"/>
            <w:gridSpan w:val="2"/>
            <w:tcBorders>
              <w:top w:val="single" w:color="000000" w:sz="6" w:space="0"/>
              <w:left w:val="single" w:color="000000" w:sz="6" w:space="0"/>
              <w:bottom w:val="single" w:color="000000" w:sz="6" w:space="0"/>
              <w:right w:val="single" w:color="000000" w:sz="6" w:space="0"/>
            </w:tcBorders>
            <w:vAlign w:val="top"/>
          </w:tcPr>
          <w:p>
            <w:pPr>
              <w:jc w:val="right"/>
              <w:rPr>
                <w:rFonts w:hint="eastAsia" w:ascii="宋体" w:hAnsi="宋体"/>
                <w:b/>
                <w:sz w:val="18"/>
              </w:rPr>
            </w:pPr>
          </w:p>
        </w:tc>
        <w:tc>
          <w:tcPr>
            <w:tcW w:w="960" w:type="dxa"/>
            <w:tcBorders>
              <w:top w:val="single" w:color="000000" w:sz="6" w:space="0"/>
              <w:left w:val="single" w:color="000000" w:sz="6" w:space="0"/>
              <w:bottom w:val="single" w:color="000000" w:sz="6" w:space="0"/>
              <w:right w:val="single" w:color="000000" w:sz="6" w:space="0"/>
            </w:tcBorders>
            <w:vAlign w:val="top"/>
          </w:tcPr>
          <w:p>
            <w:pPr>
              <w:jc w:val="right"/>
              <w:rPr>
                <w:rFonts w:hint="eastAsia" w:ascii="宋体" w:hAnsi="宋体"/>
                <w:b/>
                <w:sz w:val="18"/>
              </w:rPr>
            </w:pPr>
          </w:p>
        </w:tc>
        <w:tc>
          <w:tcPr>
            <w:tcW w:w="1032" w:type="dxa"/>
            <w:tcBorders>
              <w:top w:val="single" w:color="000000" w:sz="6" w:space="0"/>
              <w:left w:val="single" w:color="000000" w:sz="6" w:space="0"/>
              <w:bottom w:val="single" w:color="000000" w:sz="6" w:space="0"/>
              <w:right w:val="single" w:color="000000" w:sz="6" w:space="0"/>
            </w:tcBorders>
            <w:vAlign w:val="top"/>
          </w:tcPr>
          <w:p>
            <w:pPr>
              <w:jc w:val="right"/>
              <w:rPr>
                <w:rFonts w:hint="eastAsia" w:ascii="宋体" w:hAnsi="宋体"/>
                <w:b/>
                <w:sz w:val="18"/>
              </w:rPr>
            </w:pPr>
          </w:p>
        </w:tc>
        <w:tc>
          <w:tcPr>
            <w:tcW w:w="1380" w:type="dxa"/>
            <w:gridSpan w:val="2"/>
            <w:tcBorders>
              <w:top w:val="single" w:color="000000" w:sz="6" w:space="0"/>
              <w:left w:val="single" w:color="000000" w:sz="6" w:space="0"/>
              <w:bottom w:val="single" w:color="000000" w:sz="6" w:space="0"/>
              <w:right w:val="single" w:color="000000" w:sz="6" w:space="0"/>
            </w:tcBorders>
            <w:vAlign w:val="top"/>
          </w:tcPr>
          <w:p>
            <w:pPr>
              <w:jc w:val="right"/>
              <w:rPr>
                <w:rFonts w:ascii="宋体" w:hAnsi="宋体"/>
                <w:b/>
                <w:sz w:val="18"/>
              </w:rPr>
            </w:pPr>
          </w:p>
        </w:tc>
        <w:tc>
          <w:tcPr>
            <w:tcW w:w="1020" w:type="dxa"/>
            <w:tcBorders>
              <w:top w:val="single" w:color="000000" w:sz="6" w:space="0"/>
              <w:left w:val="single" w:color="000000" w:sz="6" w:space="0"/>
              <w:bottom w:val="single" w:color="000000" w:sz="6" w:space="0"/>
              <w:right w:val="single" w:color="000000" w:sz="6" w:space="0"/>
            </w:tcBorders>
            <w:vAlign w:val="top"/>
          </w:tcPr>
          <w:p>
            <w:pPr>
              <w:jc w:val="right"/>
              <w:rPr>
                <w:rFonts w:ascii="宋体" w:hAnsi="宋体"/>
                <w:b/>
                <w:sz w:val="18"/>
              </w:rPr>
            </w:pPr>
          </w:p>
        </w:tc>
        <w:tc>
          <w:tcPr>
            <w:tcW w:w="936" w:type="dxa"/>
            <w:tcBorders>
              <w:top w:val="single" w:color="000000" w:sz="6" w:space="0"/>
              <w:left w:val="single" w:color="000000" w:sz="6" w:space="0"/>
              <w:bottom w:val="single" w:color="000000" w:sz="6" w:space="0"/>
              <w:right w:val="single" w:color="000000" w:sz="6" w:space="0"/>
            </w:tcBorders>
            <w:vAlign w:val="top"/>
          </w:tcPr>
          <w:p>
            <w:pPr>
              <w:jc w:val="right"/>
              <w:rPr>
                <w:rFonts w:hint="eastAsia" w:ascii="宋体" w:hAnsi="宋体"/>
                <w:b/>
                <w:sz w:val="18"/>
              </w:rPr>
            </w:pPr>
          </w:p>
        </w:tc>
        <w:tc>
          <w:tcPr>
            <w:tcW w:w="924" w:type="dxa"/>
            <w:tcBorders>
              <w:top w:val="single" w:color="000000" w:sz="6" w:space="0"/>
              <w:left w:val="single" w:color="000000" w:sz="6" w:space="0"/>
              <w:bottom w:val="single" w:color="000000" w:sz="6" w:space="0"/>
              <w:right w:val="single" w:color="000000" w:sz="6" w:space="0"/>
            </w:tcBorders>
            <w:vAlign w:val="top"/>
          </w:tcPr>
          <w:p>
            <w:pPr>
              <w:jc w:val="right"/>
              <w:rPr>
                <w:rFonts w:ascii="宋体" w:hAnsi="宋体"/>
                <w:b/>
                <w:sz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trPr>
        <w:tc>
          <w:tcPr>
            <w:tcW w:w="5425" w:type="dxa"/>
            <w:gridSpan w:val="2"/>
            <w:tcBorders>
              <w:top w:val="single" w:color="000000" w:sz="6" w:space="0"/>
              <w:left w:val="single" w:color="000000" w:sz="6" w:space="0"/>
              <w:bottom w:val="single" w:color="000000" w:sz="6" w:space="0"/>
              <w:right w:val="single" w:color="000000" w:sz="6" w:space="0"/>
            </w:tcBorders>
            <w:vAlign w:val="top"/>
          </w:tcPr>
          <w:p>
            <w:pPr>
              <w:jc w:val="left"/>
              <w:rPr>
                <w:rFonts w:hint="eastAsia" w:ascii="宋体" w:hAnsi="宋体"/>
                <w:sz w:val="18"/>
              </w:rPr>
            </w:pPr>
            <w:r>
              <w:rPr>
                <w:rFonts w:hint="eastAsia" w:ascii="宋体" w:hAnsi="宋体"/>
                <w:sz w:val="18"/>
              </w:rPr>
              <w:t>石家庄市鹿泉区妇女联合会</w:t>
            </w:r>
          </w:p>
        </w:tc>
        <w:tc>
          <w:tcPr>
            <w:tcW w:w="1224" w:type="dxa"/>
            <w:tcBorders>
              <w:top w:val="single" w:color="000000" w:sz="6" w:space="0"/>
              <w:left w:val="single" w:color="000000" w:sz="6" w:space="0"/>
              <w:bottom w:val="single" w:color="000000" w:sz="6" w:space="0"/>
              <w:right w:val="single" w:color="000000" w:sz="6" w:space="0"/>
            </w:tcBorders>
            <w:vAlign w:val="top"/>
          </w:tcPr>
          <w:p>
            <w:pPr>
              <w:jc w:val="right"/>
              <w:rPr>
                <w:rFonts w:hint="eastAsia" w:ascii="宋体" w:hAnsi="宋体"/>
                <w:sz w:val="18"/>
              </w:rPr>
            </w:pPr>
            <w:r>
              <w:rPr>
                <w:rFonts w:hint="eastAsia" w:ascii="宋体" w:hAnsi="宋体"/>
                <w:sz w:val="18"/>
              </w:rPr>
              <w:t>6</w:t>
            </w:r>
          </w:p>
        </w:tc>
        <w:tc>
          <w:tcPr>
            <w:tcW w:w="1020" w:type="dxa"/>
            <w:gridSpan w:val="2"/>
            <w:tcBorders>
              <w:top w:val="single" w:color="000000" w:sz="6" w:space="0"/>
              <w:left w:val="single" w:color="000000" w:sz="6" w:space="0"/>
              <w:bottom w:val="single" w:color="000000" w:sz="6" w:space="0"/>
              <w:right w:val="single" w:color="000000" w:sz="6" w:space="0"/>
            </w:tcBorders>
            <w:vAlign w:val="top"/>
          </w:tcPr>
          <w:p>
            <w:pPr>
              <w:jc w:val="right"/>
              <w:rPr>
                <w:rFonts w:hint="eastAsia" w:ascii="宋体" w:hAnsi="宋体"/>
                <w:sz w:val="18"/>
              </w:rPr>
            </w:pPr>
          </w:p>
        </w:tc>
        <w:tc>
          <w:tcPr>
            <w:tcW w:w="960" w:type="dxa"/>
            <w:tcBorders>
              <w:top w:val="single" w:color="000000" w:sz="6" w:space="0"/>
              <w:left w:val="single" w:color="000000" w:sz="6" w:space="0"/>
              <w:bottom w:val="single" w:color="000000" w:sz="6" w:space="0"/>
              <w:right w:val="single" w:color="000000" w:sz="6" w:space="0"/>
            </w:tcBorders>
            <w:vAlign w:val="top"/>
          </w:tcPr>
          <w:p>
            <w:pPr>
              <w:jc w:val="right"/>
              <w:rPr>
                <w:rFonts w:hint="eastAsia" w:ascii="宋体" w:hAnsi="宋体"/>
                <w:sz w:val="18"/>
              </w:rPr>
            </w:pPr>
            <w:r>
              <w:rPr>
                <w:rFonts w:hint="eastAsia" w:ascii="宋体" w:hAnsi="宋体"/>
                <w:sz w:val="18"/>
              </w:rPr>
              <w:t>6</w:t>
            </w:r>
          </w:p>
        </w:tc>
        <w:tc>
          <w:tcPr>
            <w:tcW w:w="1032" w:type="dxa"/>
            <w:tcBorders>
              <w:top w:val="single" w:color="000000" w:sz="6" w:space="0"/>
              <w:left w:val="single" w:color="000000" w:sz="6" w:space="0"/>
              <w:bottom w:val="single" w:color="000000" w:sz="6" w:space="0"/>
              <w:right w:val="single" w:color="000000" w:sz="6" w:space="0"/>
            </w:tcBorders>
            <w:vAlign w:val="top"/>
          </w:tcPr>
          <w:p>
            <w:pPr>
              <w:jc w:val="right"/>
              <w:rPr>
                <w:rFonts w:hint="eastAsia" w:ascii="宋体" w:hAnsi="宋体"/>
                <w:sz w:val="18"/>
              </w:rPr>
            </w:pPr>
          </w:p>
        </w:tc>
        <w:tc>
          <w:tcPr>
            <w:tcW w:w="1380" w:type="dxa"/>
            <w:gridSpan w:val="2"/>
            <w:tcBorders>
              <w:top w:val="single" w:color="000000" w:sz="6" w:space="0"/>
              <w:left w:val="single" w:color="000000" w:sz="6" w:space="0"/>
              <w:bottom w:val="single" w:color="000000" w:sz="6" w:space="0"/>
              <w:right w:val="single" w:color="000000" w:sz="6" w:space="0"/>
            </w:tcBorders>
            <w:vAlign w:val="top"/>
          </w:tcPr>
          <w:p>
            <w:pPr>
              <w:jc w:val="right"/>
              <w:rPr>
                <w:rFonts w:ascii="宋体" w:hAnsi="宋体"/>
                <w:sz w:val="18"/>
              </w:rPr>
            </w:pPr>
          </w:p>
        </w:tc>
        <w:tc>
          <w:tcPr>
            <w:tcW w:w="1020" w:type="dxa"/>
            <w:tcBorders>
              <w:top w:val="single" w:color="000000" w:sz="6" w:space="0"/>
              <w:left w:val="single" w:color="000000" w:sz="6" w:space="0"/>
              <w:bottom w:val="single" w:color="000000" w:sz="6" w:space="0"/>
              <w:right w:val="single" w:color="000000" w:sz="6" w:space="0"/>
            </w:tcBorders>
            <w:vAlign w:val="top"/>
          </w:tcPr>
          <w:p>
            <w:pPr>
              <w:jc w:val="right"/>
              <w:rPr>
                <w:rFonts w:ascii="宋体" w:hAnsi="宋体"/>
                <w:sz w:val="18"/>
              </w:rPr>
            </w:pPr>
          </w:p>
        </w:tc>
        <w:tc>
          <w:tcPr>
            <w:tcW w:w="936" w:type="dxa"/>
            <w:tcBorders>
              <w:top w:val="single" w:color="000000" w:sz="6" w:space="0"/>
              <w:left w:val="single" w:color="000000" w:sz="6" w:space="0"/>
              <w:bottom w:val="single" w:color="000000" w:sz="6" w:space="0"/>
              <w:right w:val="single" w:color="000000" w:sz="6" w:space="0"/>
            </w:tcBorders>
            <w:vAlign w:val="top"/>
          </w:tcPr>
          <w:p>
            <w:pPr>
              <w:jc w:val="right"/>
              <w:rPr>
                <w:rFonts w:hint="eastAsia" w:ascii="宋体" w:hAnsi="宋体"/>
                <w:sz w:val="18"/>
              </w:rPr>
            </w:pPr>
            <w:r>
              <w:rPr>
                <w:rFonts w:hint="eastAsia" w:ascii="宋体" w:hAnsi="宋体"/>
                <w:sz w:val="18"/>
              </w:rPr>
              <w:t>2</w:t>
            </w:r>
          </w:p>
        </w:tc>
        <w:tc>
          <w:tcPr>
            <w:tcW w:w="924" w:type="dxa"/>
            <w:tcBorders>
              <w:top w:val="single" w:color="000000" w:sz="6" w:space="0"/>
              <w:left w:val="single" w:color="000000" w:sz="6" w:space="0"/>
              <w:bottom w:val="single" w:color="000000" w:sz="6" w:space="0"/>
              <w:right w:val="single" w:color="000000" w:sz="6" w:space="0"/>
            </w:tcBorders>
            <w:vAlign w:val="top"/>
          </w:tcPr>
          <w:p>
            <w:pPr>
              <w:jc w:val="right"/>
              <w:rPr>
                <w:rFonts w:ascii="宋体" w:hAnsi="宋体"/>
                <w:sz w:val="18"/>
              </w:rPr>
            </w:pPr>
          </w:p>
        </w:tc>
      </w:tr>
    </w:tbl>
    <w:p>
      <w:pPr>
        <w:jc w:val="center"/>
        <w:outlineLvl w:val="0"/>
        <w:rPr>
          <w:rFonts w:hint="eastAsia" w:ascii="Times New Roman" w:hAnsi="Times New Roman" w:eastAsia="方正小标宋_GBK" w:cs="Times New Roman"/>
          <w:sz w:val="32"/>
          <w:szCs w:val="24"/>
        </w:rPr>
      </w:pPr>
    </w:p>
    <w:p>
      <w:pPr>
        <w:jc w:val="center"/>
        <w:outlineLvl w:val="0"/>
        <w:rPr>
          <w:rFonts w:hint="eastAsia" w:ascii="Times New Roman" w:hAnsi="Times New Roman" w:eastAsia="方正小标宋_GBK" w:cs="Times New Roman"/>
          <w:sz w:val="32"/>
          <w:szCs w:val="24"/>
        </w:rPr>
      </w:pPr>
    </w:p>
    <w:p>
      <w:pPr>
        <w:jc w:val="center"/>
        <w:outlineLvl w:val="0"/>
        <w:rPr>
          <w:rFonts w:hint="eastAsia" w:ascii="Times New Roman" w:hAnsi="Times New Roman" w:eastAsia="方正小标宋_GBK" w:cs="Times New Roman"/>
          <w:sz w:val="32"/>
          <w:szCs w:val="24"/>
        </w:rPr>
      </w:pPr>
    </w:p>
    <w:p>
      <w:pPr>
        <w:jc w:val="center"/>
        <w:outlineLvl w:val="0"/>
        <w:rPr>
          <w:rFonts w:hint="eastAsia" w:ascii="Times New Roman" w:hAnsi="Times New Roman" w:eastAsia="方正小标宋_GBK" w:cs="Times New Roman"/>
          <w:sz w:val="32"/>
          <w:szCs w:val="24"/>
        </w:rPr>
      </w:pPr>
    </w:p>
    <w:p>
      <w:pPr>
        <w:jc w:val="center"/>
        <w:outlineLvl w:val="0"/>
        <w:rPr>
          <w:rFonts w:hint="eastAsia" w:ascii="Times New Roman" w:hAnsi="Times New Roman" w:eastAsia="方正小标宋_GBK" w:cs="Times New Roman"/>
          <w:sz w:val="32"/>
          <w:szCs w:val="24"/>
        </w:rPr>
      </w:pPr>
    </w:p>
    <w:p>
      <w:pPr>
        <w:jc w:val="center"/>
        <w:outlineLvl w:val="0"/>
        <w:rPr>
          <w:rFonts w:hint="eastAsia" w:ascii="Times New Roman" w:hAnsi="Times New Roman" w:eastAsia="方正小标宋_GBK" w:cs="Times New Roman"/>
          <w:sz w:val="32"/>
          <w:szCs w:val="24"/>
        </w:rPr>
      </w:pPr>
    </w:p>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按照预算管理有关规定，目前我省部门预算的编制实行综合预算管理，即全部收入和支出都反映在预算中。河北省财政厅机关及所属事业单位的收支包含在部门预算中。</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1、收入说明</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反映本部门当年全部收入。2019年预算收入</w:t>
      </w:r>
      <w:r>
        <w:rPr>
          <w:rFonts w:hint="eastAsia" w:ascii="仿宋" w:hAnsi="仿宋" w:eastAsia="仿宋" w:cs="仿宋"/>
          <w:sz w:val="32"/>
          <w:szCs w:val="32"/>
          <w:lang w:val="en-US" w:eastAsia="zh-CN"/>
        </w:rPr>
        <w:t>196.39</w:t>
      </w:r>
      <w:r>
        <w:rPr>
          <w:rFonts w:hint="eastAsia" w:ascii="仿宋" w:hAnsi="仿宋" w:eastAsia="仿宋" w:cs="仿宋"/>
          <w:sz w:val="32"/>
          <w:szCs w:val="32"/>
        </w:rPr>
        <w:t>万元，其中：一般公共预算收入</w:t>
      </w:r>
      <w:r>
        <w:rPr>
          <w:rFonts w:hint="eastAsia" w:ascii="仿宋" w:hAnsi="仿宋" w:eastAsia="仿宋" w:cs="仿宋"/>
          <w:sz w:val="32"/>
          <w:szCs w:val="32"/>
          <w:lang w:val="en-US" w:eastAsia="zh-CN"/>
        </w:rPr>
        <w:t>196.39</w:t>
      </w:r>
      <w:r>
        <w:rPr>
          <w:rFonts w:hint="eastAsia" w:ascii="仿宋" w:hAnsi="仿宋" w:eastAsia="仿宋" w:cs="仿宋"/>
          <w:sz w:val="32"/>
          <w:szCs w:val="32"/>
        </w:rPr>
        <w:t>万元，基金预算收入0万元，财政专户核拨收入0万元，其他来源收入</w:t>
      </w:r>
      <w:r>
        <w:rPr>
          <w:rFonts w:hint="eastAsia" w:ascii="仿宋" w:hAnsi="仿宋" w:eastAsia="仿宋" w:cs="仿宋"/>
          <w:sz w:val="32"/>
          <w:szCs w:val="32"/>
          <w:lang w:val="en-US" w:eastAsia="zh-CN"/>
        </w:rPr>
        <w:t>0</w:t>
      </w:r>
      <w:r>
        <w:rPr>
          <w:rFonts w:hint="eastAsia" w:ascii="仿宋" w:hAnsi="仿宋" w:eastAsia="仿宋" w:cs="仿宋"/>
          <w:sz w:val="32"/>
          <w:szCs w:val="32"/>
        </w:rPr>
        <w:t>万元。</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2、支出说明</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2019年支出预算</w:t>
      </w:r>
      <w:r>
        <w:rPr>
          <w:rFonts w:hint="eastAsia" w:ascii="仿宋" w:hAnsi="仿宋" w:eastAsia="仿宋" w:cs="仿宋"/>
          <w:sz w:val="32"/>
          <w:szCs w:val="32"/>
          <w:lang w:val="en-US" w:eastAsia="zh-CN"/>
        </w:rPr>
        <w:t>196.39</w:t>
      </w:r>
      <w:r>
        <w:rPr>
          <w:rFonts w:hint="eastAsia" w:ascii="仿宋" w:hAnsi="仿宋" w:eastAsia="仿宋" w:cs="仿宋"/>
          <w:sz w:val="32"/>
          <w:szCs w:val="32"/>
        </w:rPr>
        <w:t>万元，其中基本支出</w:t>
      </w:r>
      <w:r>
        <w:rPr>
          <w:rFonts w:hint="eastAsia" w:ascii="仿宋" w:hAnsi="仿宋" w:eastAsia="仿宋" w:cs="仿宋"/>
          <w:sz w:val="32"/>
          <w:szCs w:val="32"/>
          <w:lang w:val="en-US" w:eastAsia="zh-CN"/>
        </w:rPr>
        <w:t>128.99</w:t>
      </w:r>
      <w:r>
        <w:rPr>
          <w:rFonts w:hint="eastAsia" w:ascii="仿宋" w:hAnsi="仿宋" w:eastAsia="仿宋" w:cs="仿宋"/>
          <w:sz w:val="32"/>
          <w:szCs w:val="32"/>
        </w:rPr>
        <w:t>万元，包括人员经费</w:t>
      </w:r>
      <w:r>
        <w:rPr>
          <w:rFonts w:hint="eastAsia" w:ascii="仿宋" w:hAnsi="仿宋" w:eastAsia="仿宋" w:cs="仿宋"/>
          <w:sz w:val="32"/>
          <w:szCs w:val="32"/>
          <w:lang w:val="en-US" w:eastAsia="zh-CN"/>
        </w:rPr>
        <w:t>105.07</w:t>
      </w:r>
      <w:r>
        <w:rPr>
          <w:rFonts w:hint="eastAsia" w:ascii="仿宋" w:hAnsi="仿宋" w:eastAsia="仿宋" w:cs="仿宋"/>
          <w:sz w:val="32"/>
          <w:szCs w:val="32"/>
        </w:rPr>
        <w:t>万元和日常公用经费</w:t>
      </w:r>
      <w:r>
        <w:rPr>
          <w:rFonts w:hint="eastAsia" w:ascii="仿宋" w:hAnsi="仿宋" w:eastAsia="仿宋" w:cs="仿宋"/>
          <w:sz w:val="32"/>
          <w:szCs w:val="32"/>
          <w:lang w:val="en-US" w:eastAsia="zh-CN"/>
        </w:rPr>
        <w:t>23.92</w:t>
      </w:r>
      <w:r>
        <w:rPr>
          <w:rFonts w:hint="eastAsia" w:ascii="仿宋" w:hAnsi="仿宋" w:eastAsia="仿宋" w:cs="仿宋"/>
          <w:sz w:val="32"/>
          <w:szCs w:val="32"/>
        </w:rPr>
        <w:t>万元；项目支出</w:t>
      </w:r>
      <w:r>
        <w:rPr>
          <w:rFonts w:hint="eastAsia" w:ascii="仿宋" w:hAnsi="仿宋" w:eastAsia="仿宋" w:cs="仿宋"/>
          <w:sz w:val="32"/>
          <w:szCs w:val="32"/>
          <w:lang w:val="en-US" w:eastAsia="zh-CN"/>
        </w:rPr>
        <w:t>67.40</w:t>
      </w:r>
      <w:r>
        <w:rPr>
          <w:rFonts w:hint="eastAsia" w:ascii="仿宋" w:hAnsi="仿宋" w:eastAsia="仿宋" w:cs="仿宋"/>
          <w:sz w:val="32"/>
          <w:szCs w:val="32"/>
        </w:rPr>
        <w:t>万元，包括本级支出</w:t>
      </w:r>
      <w:r>
        <w:rPr>
          <w:rFonts w:hint="eastAsia" w:ascii="仿宋" w:hAnsi="仿宋" w:eastAsia="仿宋" w:cs="仿宋"/>
          <w:sz w:val="32"/>
          <w:szCs w:val="32"/>
          <w:lang w:val="en-US" w:eastAsia="zh-CN"/>
        </w:rPr>
        <w:t>67.40万元</w:t>
      </w:r>
      <w:r>
        <w:rPr>
          <w:rFonts w:hint="eastAsia" w:ascii="仿宋" w:hAnsi="仿宋" w:eastAsia="仿宋" w:cs="仿宋"/>
          <w:sz w:val="32"/>
          <w:szCs w:val="32"/>
        </w:rPr>
        <w:t>，主要为</w:t>
      </w:r>
      <w:r>
        <w:rPr>
          <w:rFonts w:hint="eastAsia" w:ascii="仿宋" w:hAnsi="仿宋" w:eastAsia="仿宋" w:cs="仿宋"/>
          <w:sz w:val="32"/>
          <w:szCs w:val="32"/>
          <w:lang w:eastAsia="zh-CN"/>
        </w:rPr>
        <w:t>承办区委、区政府交办的有关工作、坚持为妇女儿童服务、为基层服务</w:t>
      </w:r>
      <w:r>
        <w:rPr>
          <w:rFonts w:hint="eastAsia" w:ascii="仿宋" w:hAnsi="仿宋" w:eastAsia="仿宋" w:cs="仿宋"/>
          <w:sz w:val="32"/>
          <w:szCs w:val="32"/>
        </w:rPr>
        <w:t>等；</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3、比上年增减情况</w:t>
      </w:r>
    </w:p>
    <w:p>
      <w:pPr>
        <w:ind w:firstLine="640" w:firstLineChars="200"/>
        <w:rPr>
          <w:rFonts w:hint="eastAsia" w:ascii="仿宋" w:hAnsi="仿宋" w:eastAsia="仿宋" w:cs="仿宋"/>
          <w:color w:val="FF0000"/>
          <w:sz w:val="32"/>
          <w:szCs w:val="32"/>
        </w:rPr>
      </w:pPr>
      <w:r>
        <w:rPr>
          <w:rFonts w:hint="eastAsia" w:ascii="仿宋" w:hAnsi="仿宋" w:eastAsia="仿宋" w:cs="仿宋"/>
          <w:sz w:val="32"/>
          <w:szCs w:val="32"/>
        </w:rPr>
        <w:t>2019年预算收支安排</w:t>
      </w:r>
      <w:r>
        <w:rPr>
          <w:rFonts w:hint="eastAsia" w:ascii="仿宋" w:hAnsi="仿宋" w:eastAsia="仿宋" w:cs="仿宋"/>
          <w:sz w:val="32"/>
          <w:szCs w:val="32"/>
          <w:lang w:val="en-US" w:eastAsia="zh-CN"/>
        </w:rPr>
        <w:t>196.39</w:t>
      </w:r>
      <w:r>
        <w:rPr>
          <w:rFonts w:hint="eastAsia" w:ascii="仿宋" w:hAnsi="仿宋" w:eastAsia="仿宋" w:cs="仿宋"/>
          <w:sz w:val="32"/>
          <w:szCs w:val="32"/>
        </w:rPr>
        <w:t>万元，较2018年预算减少</w:t>
      </w:r>
      <w:r>
        <w:rPr>
          <w:rFonts w:hint="eastAsia" w:ascii="仿宋" w:hAnsi="仿宋" w:eastAsia="仿宋" w:cs="仿宋"/>
          <w:sz w:val="32"/>
          <w:szCs w:val="32"/>
          <w:lang w:val="en-US" w:eastAsia="zh-CN"/>
        </w:rPr>
        <w:t>66.08</w:t>
      </w:r>
      <w:r>
        <w:rPr>
          <w:rFonts w:hint="eastAsia" w:ascii="仿宋" w:hAnsi="仿宋" w:eastAsia="仿宋" w:cs="仿宋"/>
          <w:sz w:val="32"/>
          <w:szCs w:val="32"/>
        </w:rPr>
        <w:t>万元，</w:t>
      </w:r>
      <w:r>
        <w:rPr>
          <w:rFonts w:hint="eastAsia" w:ascii="仿宋" w:hAnsi="仿宋" w:eastAsia="仿宋" w:cs="仿宋"/>
          <w:color w:val="auto"/>
          <w:sz w:val="32"/>
          <w:szCs w:val="32"/>
        </w:rPr>
        <w:t>其中：基本支出</w:t>
      </w:r>
      <w:r>
        <w:rPr>
          <w:rFonts w:hint="eastAsia" w:ascii="仿宋" w:hAnsi="仿宋" w:eastAsia="仿宋" w:cs="仿宋"/>
          <w:color w:val="auto"/>
          <w:sz w:val="32"/>
          <w:szCs w:val="32"/>
          <w:lang w:eastAsia="zh-CN"/>
        </w:rPr>
        <w:t>增加</w:t>
      </w:r>
      <w:r>
        <w:rPr>
          <w:rFonts w:hint="eastAsia" w:ascii="仿宋" w:hAnsi="仿宋" w:eastAsia="仿宋" w:cs="仿宋"/>
          <w:color w:val="auto"/>
          <w:sz w:val="32"/>
          <w:szCs w:val="32"/>
          <w:lang w:val="en-US" w:eastAsia="zh-CN"/>
        </w:rPr>
        <w:t>16.82</w:t>
      </w:r>
      <w:r>
        <w:rPr>
          <w:rFonts w:hint="eastAsia" w:ascii="仿宋" w:hAnsi="仿宋" w:eastAsia="仿宋" w:cs="仿宋"/>
          <w:color w:val="auto"/>
          <w:sz w:val="32"/>
          <w:szCs w:val="32"/>
        </w:rPr>
        <w:t>万元，主要为人员</w:t>
      </w:r>
      <w:r>
        <w:rPr>
          <w:rFonts w:hint="eastAsia" w:ascii="仿宋" w:hAnsi="仿宋" w:eastAsia="仿宋" w:cs="仿宋"/>
          <w:color w:val="auto"/>
          <w:sz w:val="32"/>
          <w:szCs w:val="32"/>
          <w:lang w:eastAsia="zh-CN"/>
        </w:rPr>
        <w:t>工资</w:t>
      </w:r>
      <w:r>
        <w:rPr>
          <w:rFonts w:hint="eastAsia" w:ascii="仿宋" w:hAnsi="仿宋" w:eastAsia="仿宋" w:cs="仿宋"/>
          <w:color w:val="auto"/>
          <w:sz w:val="32"/>
          <w:szCs w:val="32"/>
        </w:rPr>
        <w:t>支出；项目支出减少</w:t>
      </w:r>
      <w:r>
        <w:rPr>
          <w:rFonts w:hint="eastAsia" w:ascii="仿宋" w:hAnsi="仿宋" w:eastAsia="仿宋" w:cs="仿宋"/>
          <w:color w:val="auto"/>
          <w:sz w:val="32"/>
          <w:szCs w:val="32"/>
          <w:lang w:val="en-US" w:eastAsia="zh-CN"/>
        </w:rPr>
        <w:t>82.7</w:t>
      </w:r>
      <w:r>
        <w:rPr>
          <w:rFonts w:hint="eastAsia" w:ascii="仿宋" w:hAnsi="仿宋" w:eastAsia="仿宋" w:cs="仿宋"/>
          <w:color w:val="auto"/>
          <w:sz w:val="32"/>
          <w:szCs w:val="32"/>
        </w:rPr>
        <w:t>万元，主要为减少</w:t>
      </w:r>
      <w:r>
        <w:rPr>
          <w:rFonts w:hint="eastAsia" w:ascii="仿宋" w:hAnsi="仿宋" w:eastAsia="仿宋" w:cs="仿宋"/>
          <w:color w:val="auto"/>
          <w:sz w:val="32"/>
          <w:szCs w:val="32"/>
          <w:lang w:eastAsia="zh-CN"/>
        </w:rPr>
        <w:t>美丽庭院奖补资金。</w:t>
      </w:r>
    </w:p>
    <w:p>
      <w:pPr>
        <w:autoSpaceDE w:val="0"/>
        <w:autoSpaceDN w:val="0"/>
        <w:adjustRightInd w:val="0"/>
        <w:ind w:left="198" w:firstLine="640" w:firstLineChars="200"/>
        <w:jc w:val="left"/>
        <w:rPr>
          <w:rFonts w:ascii="黑体" w:hAnsi="黑体" w:eastAsia="黑体" w:cs="Times New Roman"/>
          <w:color w:val="auto"/>
          <w:sz w:val="32"/>
          <w:szCs w:val="32"/>
        </w:rPr>
      </w:pPr>
      <w:r>
        <w:rPr>
          <w:rFonts w:hint="eastAsia" w:ascii="黑体" w:hAnsi="黑体" w:eastAsia="黑体" w:cs="Times New Roman"/>
          <w:color w:val="auto"/>
          <w:sz w:val="32"/>
          <w:szCs w:val="32"/>
        </w:rPr>
        <w:t>三、机关运行经费安排情况</w:t>
      </w:r>
    </w:p>
    <w:p>
      <w:pPr>
        <w:ind w:firstLine="640" w:firstLineChars="200"/>
        <w:jc w:val="left"/>
        <w:outlineLvl w:val="0"/>
        <w:rPr>
          <w:rFonts w:hint="eastAsia" w:ascii="仿宋_GB2312" w:hAnsi="宋体" w:eastAsia="仿宋_GB2312"/>
          <w:sz w:val="32"/>
          <w:szCs w:val="32"/>
        </w:rPr>
      </w:pPr>
      <w:r>
        <w:rPr>
          <w:rFonts w:hint="eastAsia" w:ascii="仿宋_GB2312" w:hAnsi="宋体" w:eastAsia="仿宋_GB2312"/>
          <w:sz w:val="32"/>
          <w:szCs w:val="32"/>
        </w:rPr>
        <w:t>石家庄市鹿泉区妇女联合会201</w:t>
      </w:r>
      <w:r>
        <w:rPr>
          <w:rFonts w:hint="eastAsia" w:ascii="仿宋_GB2312" w:hAnsi="宋体" w:eastAsia="仿宋_GB2312"/>
          <w:sz w:val="32"/>
          <w:szCs w:val="32"/>
          <w:lang w:val="en-US" w:eastAsia="zh-CN"/>
        </w:rPr>
        <w:t>9</w:t>
      </w:r>
      <w:r>
        <w:rPr>
          <w:rFonts w:hint="eastAsia" w:ascii="仿宋_GB2312" w:hAnsi="宋体" w:eastAsia="仿宋_GB2312"/>
          <w:sz w:val="32"/>
          <w:szCs w:val="32"/>
        </w:rPr>
        <w:t>年机关运行办公费</w:t>
      </w:r>
      <w:r>
        <w:rPr>
          <w:rFonts w:hint="eastAsia" w:ascii="仿宋_GB2312" w:hAnsi="宋体" w:eastAsia="仿宋_GB2312"/>
          <w:sz w:val="32"/>
          <w:szCs w:val="32"/>
          <w:lang w:val="en-US" w:eastAsia="zh-CN"/>
        </w:rPr>
        <w:t>3.6</w:t>
      </w:r>
      <w:r>
        <w:rPr>
          <w:rFonts w:hint="eastAsia" w:ascii="仿宋_GB2312" w:hAnsi="宋体" w:eastAsia="仿宋_GB2312"/>
          <w:sz w:val="32"/>
          <w:szCs w:val="32"/>
        </w:rPr>
        <w:t>万元，公务用车运行费2.7万元。</w:t>
      </w:r>
    </w:p>
    <w:p>
      <w:pPr>
        <w:autoSpaceDE w:val="0"/>
        <w:autoSpaceDN w:val="0"/>
        <w:adjustRightInd w:val="0"/>
        <w:ind w:left="198" w:firstLine="640" w:firstLineChars="200"/>
        <w:jc w:val="left"/>
        <w:rPr>
          <w:rFonts w:ascii="黑体" w:hAnsi="黑体" w:eastAsia="黑体" w:cs="Times New Roman"/>
          <w:color w:val="FF0000"/>
          <w:sz w:val="32"/>
          <w:szCs w:val="32"/>
        </w:rPr>
      </w:pPr>
      <w:r>
        <w:rPr>
          <w:rFonts w:hint="eastAsia" w:ascii="黑体" w:hAnsi="黑体" w:eastAsia="黑体" w:cs="Times New Roman"/>
          <w:color w:val="auto"/>
          <w:sz w:val="32"/>
          <w:szCs w:val="32"/>
        </w:rPr>
        <w:t>四、财政拨款</w:t>
      </w:r>
      <w:r>
        <w:rPr>
          <w:rFonts w:ascii="黑体" w:hAnsi="黑体" w:eastAsia="黑体" w:cs="Times New Roman"/>
          <w:color w:val="auto"/>
          <w:sz w:val="32"/>
          <w:szCs w:val="32"/>
        </w:rPr>
        <w:t>“</w:t>
      </w:r>
      <w:r>
        <w:rPr>
          <w:rFonts w:hint="eastAsia" w:ascii="黑体" w:hAnsi="黑体" w:eastAsia="黑体" w:cs="Times New Roman"/>
          <w:color w:val="auto"/>
          <w:sz w:val="32"/>
          <w:szCs w:val="32"/>
        </w:rPr>
        <w:t>三公</w:t>
      </w:r>
      <w:r>
        <w:rPr>
          <w:rFonts w:ascii="黑体" w:hAnsi="黑体" w:eastAsia="黑体" w:cs="Times New Roman"/>
          <w:color w:val="auto"/>
          <w:sz w:val="32"/>
          <w:szCs w:val="32"/>
        </w:rPr>
        <w:t>”</w:t>
      </w:r>
      <w:r>
        <w:rPr>
          <w:rFonts w:hint="eastAsia" w:ascii="黑体" w:hAnsi="黑体" w:eastAsia="黑体" w:cs="Times New Roman"/>
          <w:color w:val="auto"/>
          <w:sz w:val="32"/>
          <w:szCs w:val="32"/>
        </w:rPr>
        <w:t>经费预算情况及增减变化原因</w:t>
      </w:r>
    </w:p>
    <w:p>
      <w:pPr>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2019年，我厅财政拨款“三公”经费预算安排</w:t>
      </w:r>
      <w:r>
        <w:rPr>
          <w:rFonts w:hint="eastAsia" w:ascii="仿宋" w:hAnsi="仿宋" w:eastAsia="仿宋" w:cs="仿宋"/>
          <w:color w:val="auto"/>
          <w:sz w:val="32"/>
          <w:szCs w:val="32"/>
          <w:lang w:val="en-US" w:eastAsia="zh-CN"/>
        </w:rPr>
        <w:t>2.7</w:t>
      </w:r>
      <w:r>
        <w:rPr>
          <w:rFonts w:hint="eastAsia" w:ascii="仿宋" w:hAnsi="仿宋" w:eastAsia="仿宋" w:cs="仿宋"/>
          <w:color w:val="auto"/>
          <w:sz w:val="32"/>
          <w:szCs w:val="32"/>
        </w:rPr>
        <w:t>万元，其中因公出国（境）费</w:t>
      </w:r>
      <w:r>
        <w:rPr>
          <w:rFonts w:hint="eastAsia" w:ascii="仿宋" w:hAnsi="仿宋" w:eastAsia="仿宋" w:cs="仿宋"/>
          <w:color w:val="auto"/>
          <w:sz w:val="32"/>
          <w:szCs w:val="32"/>
          <w:lang w:val="en-US" w:eastAsia="zh-CN"/>
        </w:rPr>
        <w:t>0</w:t>
      </w:r>
      <w:r>
        <w:rPr>
          <w:rFonts w:hint="eastAsia" w:ascii="仿宋" w:hAnsi="仿宋" w:eastAsia="仿宋" w:cs="仿宋"/>
          <w:color w:val="auto"/>
          <w:sz w:val="32"/>
          <w:szCs w:val="32"/>
        </w:rPr>
        <w:t>万元；公务用车购置及运维费</w:t>
      </w:r>
      <w:r>
        <w:rPr>
          <w:rFonts w:hint="eastAsia" w:ascii="仿宋" w:hAnsi="仿宋" w:eastAsia="仿宋" w:cs="仿宋"/>
          <w:color w:val="auto"/>
          <w:sz w:val="32"/>
          <w:szCs w:val="32"/>
          <w:lang w:val="en-US" w:eastAsia="zh-CN"/>
        </w:rPr>
        <w:t>201</w:t>
      </w:r>
      <w:r>
        <w:rPr>
          <w:rFonts w:hint="eastAsia" w:ascii="仿宋" w:hAnsi="仿宋" w:eastAsia="仿宋" w:cs="仿宋"/>
          <w:color w:val="auto"/>
          <w:sz w:val="32"/>
          <w:szCs w:val="32"/>
        </w:rPr>
        <w:t>万元（其中：公务用车购置费为0万元，公务用车运维费</w:t>
      </w:r>
      <w:r>
        <w:rPr>
          <w:rFonts w:hint="eastAsia" w:ascii="仿宋" w:hAnsi="仿宋" w:eastAsia="仿宋" w:cs="仿宋"/>
          <w:color w:val="auto"/>
          <w:sz w:val="32"/>
          <w:szCs w:val="32"/>
          <w:lang w:val="en-US" w:eastAsia="zh-CN"/>
        </w:rPr>
        <w:t>207</w:t>
      </w:r>
      <w:r>
        <w:rPr>
          <w:rFonts w:hint="eastAsia" w:ascii="仿宋" w:hAnsi="仿宋" w:eastAsia="仿宋" w:cs="仿宋"/>
          <w:color w:val="auto"/>
          <w:sz w:val="32"/>
          <w:szCs w:val="32"/>
        </w:rPr>
        <w:t>万元)；公务接待费</w:t>
      </w:r>
      <w:r>
        <w:rPr>
          <w:rFonts w:hint="eastAsia" w:ascii="仿宋" w:hAnsi="仿宋" w:eastAsia="仿宋" w:cs="仿宋"/>
          <w:color w:val="auto"/>
          <w:sz w:val="32"/>
          <w:szCs w:val="32"/>
          <w:lang w:val="en-US" w:eastAsia="zh-CN"/>
        </w:rPr>
        <w:t>0</w:t>
      </w:r>
      <w:r>
        <w:rPr>
          <w:rFonts w:hint="eastAsia" w:ascii="仿宋" w:hAnsi="仿宋" w:eastAsia="仿宋" w:cs="仿宋"/>
          <w:color w:val="auto"/>
          <w:sz w:val="32"/>
          <w:szCs w:val="32"/>
        </w:rPr>
        <w:t>万元。与2018年相比</w:t>
      </w:r>
      <w:r>
        <w:rPr>
          <w:rFonts w:hint="eastAsia" w:ascii="仿宋" w:hAnsi="仿宋" w:eastAsia="仿宋" w:cs="仿宋"/>
          <w:color w:val="auto"/>
          <w:sz w:val="32"/>
          <w:szCs w:val="32"/>
          <w:lang w:eastAsia="zh-CN"/>
        </w:rPr>
        <w:t>无增减变化。</w:t>
      </w:r>
    </w:p>
    <w:p>
      <w:pPr>
        <w:ind w:firstLine="640"/>
        <w:rPr>
          <w:rFonts w:ascii="黑体" w:hAnsi="黑体" w:eastAsia="黑体" w:cs="Times New Roman"/>
          <w:sz w:val="32"/>
          <w:szCs w:val="32"/>
        </w:rPr>
      </w:pPr>
      <w:r>
        <w:rPr>
          <w:rFonts w:hint="eastAsia" w:ascii="黑体" w:hAnsi="黑体" w:eastAsia="黑体" w:cs="Times New Roman"/>
          <w:sz w:val="32"/>
          <w:szCs w:val="32"/>
        </w:rPr>
        <w:t>五、绩效预算信息</w:t>
      </w:r>
    </w:p>
    <w:p>
      <w:pPr>
        <w:ind w:firstLine="640" w:firstLineChars="200"/>
        <w:jc w:val="left"/>
        <w:rPr>
          <w:rFonts w:ascii="Times New Roman" w:hAnsi="Times New Roman" w:eastAsia="方正仿宋_GBK" w:cs="Times New Roman"/>
          <w:b/>
          <w:sz w:val="32"/>
          <w:szCs w:val="32"/>
        </w:rPr>
      </w:pPr>
      <w:bookmarkStart w:id="0" w:name="_Toc471398463"/>
      <w:r>
        <w:rPr>
          <w:rFonts w:ascii="Times New Roman" w:hAnsi="Times New Roman" w:eastAsia="方正仿宋_GBK" w:cs="Times New Roman"/>
          <w:b/>
          <w:sz w:val="32"/>
          <w:szCs w:val="32"/>
        </w:rPr>
        <w:t>总体绩效目标：</w:t>
      </w:r>
    </w:p>
    <w:p>
      <w:pPr>
        <w:ind w:firstLine="560"/>
        <w:rPr>
          <w:rFonts w:hint="eastAsia" w:ascii="仿宋" w:hAnsi="仿宋" w:eastAsia="仿宋" w:cs="仿宋"/>
          <w:sz w:val="32"/>
          <w:szCs w:val="32"/>
        </w:rPr>
      </w:pPr>
      <w:r>
        <w:rPr>
          <w:rFonts w:hint="eastAsia" w:ascii="仿宋" w:hAnsi="仿宋" w:eastAsia="仿宋" w:cs="仿宋"/>
          <w:sz w:val="32"/>
          <w:szCs w:val="32"/>
        </w:rPr>
        <w:t>1、团结动员妇女参加经济社会建设。完成区委区政府交办的工作任务，全区妇女精神面貌有较大改观，创业就业能力逐步增强，素质得到全面提升。基层组织各项建设得到加强，农村“两委”中女性成员比例提高，妇联干部工作能力和水平提高；提高妇女科技素质和农业经营管理能力，促进妇女创业就业。</w:t>
      </w:r>
    </w:p>
    <w:p>
      <w:pPr>
        <w:ind w:firstLine="560"/>
        <w:rPr>
          <w:rFonts w:hint="eastAsia" w:ascii="仿宋" w:hAnsi="仿宋" w:eastAsia="仿宋" w:cs="仿宋"/>
          <w:sz w:val="32"/>
          <w:szCs w:val="32"/>
        </w:rPr>
      </w:pPr>
      <w:r>
        <w:rPr>
          <w:rFonts w:hint="eastAsia" w:ascii="仿宋" w:hAnsi="仿宋" w:eastAsia="仿宋" w:cs="仿宋"/>
          <w:sz w:val="32"/>
          <w:szCs w:val="32"/>
        </w:rPr>
        <w:t>2、维护妇女儿童合法权益促进妇女儿童发展。帮助权益受到侵害的妇女儿童解决困难和问题，提高广大妇女儿童的维权意识和维权能力，有效维护妇女儿童合法权益；规范妇女信访秩序，促进社会和谐稳定。</w:t>
      </w:r>
    </w:p>
    <w:p>
      <w:pPr>
        <w:ind w:firstLine="560"/>
        <w:rPr>
          <w:rFonts w:hint="eastAsia" w:ascii="仿宋" w:hAnsi="仿宋" w:eastAsia="仿宋" w:cs="仿宋"/>
          <w:sz w:val="32"/>
          <w:szCs w:val="32"/>
        </w:rPr>
      </w:pPr>
      <w:r>
        <w:rPr>
          <w:rFonts w:hint="eastAsia" w:ascii="仿宋" w:hAnsi="仿宋" w:eastAsia="仿宋" w:cs="仿宋"/>
          <w:sz w:val="32"/>
          <w:szCs w:val="32"/>
        </w:rPr>
        <w:t>3、服务广大妇女儿童。为社会广大妇女儿童服务，关爱儿童健康、教育、生活、平安。</w:t>
      </w:r>
    </w:p>
    <w:p>
      <w:pPr>
        <w:ind w:firstLine="560"/>
        <w:rPr>
          <w:rFonts w:hint="eastAsia" w:ascii="仿宋" w:hAnsi="仿宋" w:eastAsia="仿宋" w:cs="仿宋"/>
          <w:sz w:val="32"/>
          <w:szCs w:val="32"/>
        </w:rPr>
      </w:pPr>
      <w:r>
        <w:rPr>
          <w:rFonts w:hint="eastAsia" w:ascii="仿宋" w:hAnsi="仿宋" w:eastAsia="仿宋" w:cs="仿宋"/>
          <w:sz w:val="32"/>
          <w:szCs w:val="32"/>
        </w:rPr>
        <w:t xml:space="preserve">4、强化妇联干部队伍素质培训。继续深化实施素质提升培训计划围绕本地实际开展妇联干部轮训，实现多层次、多领域、多方位的教育培训，不断提升妇联干部主动适应新常态、创新发展妇联工作的能力和水平。     </w:t>
      </w:r>
    </w:p>
    <w:p>
      <w:pPr>
        <w:ind w:firstLine="560"/>
        <w:rPr>
          <w:rFonts w:hint="eastAsia" w:ascii="仿宋" w:hAnsi="仿宋" w:eastAsia="仿宋" w:cs="仿宋"/>
          <w:sz w:val="32"/>
          <w:szCs w:val="32"/>
        </w:rPr>
      </w:pPr>
      <w:r>
        <w:rPr>
          <w:rFonts w:hint="eastAsia" w:ascii="仿宋" w:hAnsi="仿宋" w:eastAsia="仿宋" w:cs="仿宋"/>
          <w:sz w:val="32"/>
          <w:szCs w:val="32"/>
        </w:rPr>
        <w:t>5、注重从源头上推动解决妇女儿童权益重点难点问题。深入研究农村改革中农村妇女权益保障问题, 及时提出意见建议,在农村土地确权登记颁证工作中维护好农村妇女权益；认真研究实施全面两孩政策带来的新情况, 推动解决妇女就业等方面出现的新问题，为妇女更好平衡工作和家庭关系创造有利条件。积极推进妇女儿童两个规划实施，做好中期监测评估，迎接上级妇儿委对我区中期评估督导；加大协调推进力度，争取在新生儿出生缺陷干预等重难点指标上实现突破，推动将普惠妇女儿童的实事项目纳入政府民生工程。</w:t>
      </w:r>
    </w:p>
    <w:p>
      <w:pPr>
        <w:ind w:firstLine="560"/>
        <w:rPr>
          <w:rFonts w:hint="eastAsia" w:ascii="Times New Roman" w:hAnsi="Times New Roman" w:eastAsia="方正仿宋_GBK" w:cs="Times New Roman"/>
          <w:sz w:val="32"/>
          <w:szCs w:val="32"/>
        </w:rPr>
      </w:pPr>
      <w:r>
        <w:rPr>
          <w:rFonts w:hint="eastAsia" w:ascii="仿宋" w:hAnsi="仿宋" w:eastAsia="仿宋" w:cs="仿宋"/>
          <w:sz w:val="32"/>
          <w:szCs w:val="32"/>
        </w:rPr>
        <w:t xml:space="preserve"> 6、注重法治宣传教育和服务。大力宣传反家庭暴力法，让学法、守法、尊法、用法成为妇女的自觉行动。持续开展“建设法治中国·巾帼在行动”活动, 扎实做好普法宣传、矛盾排查、心理疏导、纠纷调解、信访代理、法律帮助、困难帮扶等服务, 进一步探索承接政府转移出来的涉及妇女儿童和家庭的公共服务, 加大对年轻女性、老龄妇女、困境儿童等群体的帮扶力度。</w:t>
      </w:r>
    </w:p>
    <w:p>
      <w:pPr>
        <w:ind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职责分类绩效目标：</w:t>
      </w:r>
    </w:p>
    <w:p>
      <w:pPr>
        <w:ind w:firstLine="560"/>
        <w:rPr>
          <w:rFonts w:hint="eastAsia" w:ascii="仿宋" w:hAnsi="仿宋" w:eastAsia="仿宋" w:cs="仿宋"/>
          <w:sz w:val="32"/>
          <w:szCs w:val="32"/>
        </w:rPr>
      </w:pPr>
      <w:r>
        <w:rPr>
          <w:rFonts w:hint="eastAsia" w:ascii="仿宋" w:hAnsi="仿宋" w:eastAsia="仿宋" w:cs="仿宋"/>
          <w:sz w:val="32"/>
          <w:szCs w:val="32"/>
        </w:rPr>
        <w:t>（一）做好白内障免费筛查工作。牵手省直医院对全区农村贫困家庭白内障患者进行免费筛查，为患者安排免费手术。</w:t>
      </w:r>
    </w:p>
    <w:p>
      <w:pPr>
        <w:ind w:firstLine="560"/>
        <w:rPr>
          <w:rFonts w:hint="eastAsia" w:ascii="仿宋" w:hAnsi="仿宋" w:eastAsia="仿宋" w:cs="仿宋"/>
          <w:sz w:val="32"/>
          <w:szCs w:val="32"/>
        </w:rPr>
      </w:pPr>
      <w:r>
        <w:rPr>
          <w:rFonts w:hint="eastAsia" w:ascii="仿宋" w:hAnsi="仿宋" w:eastAsia="仿宋" w:cs="仿宋"/>
          <w:sz w:val="32"/>
          <w:szCs w:val="32"/>
        </w:rPr>
        <w:t>（二）开展“两癌”免费筛查。会同卫计局联合发文，组织妇女干部职工进行“两癌”筛查,通过早检查、早发现、早治疗等手段，努力降低妇女“两癌”疾病的发病率、死亡率，提高妇女健康水平和生活质量，促进我区经济社会和谐发展。</w:t>
      </w:r>
    </w:p>
    <w:p>
      <w:pPr>
        <w:ind w:firstLine="560"/>
        <w:rPr>
          <w:rFonts w:hint="eastAsia" w:ascii="仿宋" w:hAnsi="仿宋" w:eastAsia="仿宋" w:cs="仿宋"/>
          <w:sz w:val="32"/>
          <w:szCs w:val="32"/>
        </w:rPr>
      </w:pPr>
      <w:r>
        <w:rPr>
          <w:rFonts w:hint="eastAsia" w:ascii="仿宋" w:hAnsi="仿宋" w:eastAsia="仿宋" w:cs="仿宋"/>
          <w:sz w:val="32"/>
          <w:szCs w:val="32"/>
        </w:rPr>
        <w:t>（三）开展各类贫困儿童、留守儿童慰问活动。联合社会各界爱心人士，对全区贫困儿童进行慰问，为孩子们送去书包、衣服、文具等用品；组织“爱心代理妈妈”与留守儿童进行对接，定期对留守儿童慰问，给孩子送去温暖。</w:t>
      </w:r>
    </w:p>
    <w:p>
      <w:pPr>
        <w:ind w:firstLine="560"/>
        <w:rPr>
          <w:rFonts w:hint="eastAsia" w:ascii="仿宋" w:hAnsi="仿宋" w:eastAsia="仿宋" w:cs="仿宋"/>
          <w:sz w:val="32"/>
          <w:szCs w:val="32"/>
        </w:rPr>
      </w:pPr>
      <w:r>
        <w:rPr>
          <w:rFonts w:hint="eastAsia" w:ascii="仿宋" w:hAnsi="仿宋" w:eastAsia="仿宋" w:cs="仿宋"/>
          <w:sz w:val="32"/>
          <w:szCs w:val="32"/>
        </w:rPr>
        <w:t>（四）充分利用儿童友好家园场所，开展各类活动。全面提升儿童友好家园的管理运水平和运行能力，积极争取上级资金，在我区8个市级儿童友好家园开展48场高质量的儿童活动，充分发挥儿童友好家园的各项功能。今年在我区宜安镇孟岭村再打造一个市级儿童友好家园。</w:t>
      </w:r>
    </w:p>
    <w:p>
      <w:pPr>
        <w:ind w:firstLine="560"/>
        <w:rPr>
          <w:rFonts w:hint="eastAsia" w:ascii="仿宋" w:hAnsi="仿宋" w:eastAsia="仿宋" w:cs="仿宋"/>
          <w:sz w:val="32"/>
          <w:szCs w:val="32"/>
        </w:rPr>
      </w:pPr>
      <w:r>
        <w:rPr>
          <w:rFonts w:hint="eastAsia" w:ascii="仿宋" w:hAnsi="仿宋" w:eastAsia="仿宋" w:cs="仿宋"/>
          <w:sz w:val="32"/>
          <w:szCs w:val="32"/>
        </w:rPr>
        <w:t>（五）积极参加市妇联特色手工艺品大赛。以弘扬和传承中华传统手工文化为依托，发现一批具有创意能力、创新思想且心灵手巧的“巧姐”、推出一批手工艺产品原创品牌、参加石家庄市妇联的手工大赛，通过展示、宣传我区特色手工艺品产品，带动更多妇女实现灵活就业、脱贫致富。</w:t>
      </w:r>
    </w:p>
    <w:p>
      <w:pPr>
        <w:ind w:firstLine="560"/>
        <w:rPr>
          <w:rFonts w:hint="eastAsia" w:ascii="仿宋" w:hAnsi="仿宋" w:eastAsia="仿宋" w:cs="仿宋"/>
          <w:sz w:val="32"/>
          <w:szCs w:val="32"/>
        </w:rPr>
      </w:pPr>
      <w:r>
        <w:rPr>
          <w:rFonts w:hint="eastAsia" w:ascii="仿宋" w:hAnsi="仿宋" w:eastAsia="仿宋" w:cs="仿宋"/>
          <w:sz w:val="32"/>
          <w:szCs w:val="32"/>
        </w:rPr>
        <w:t>（六）组织妇女进行文明礼仪培训。区妇联将在全区范围内招募志愿者开展文明礼仪方面的培训，通过培训对志愿者进行考核，考核合格后，志愿者入村为农村妇女提供文明礼仪培训，为提高农村妇女素质，宣传推介鹿泉，展现鹿泉新形象。</w:t>
      </w:r>
    </w:p>
    <w:p>
      <w:pPr>
        <w:ind w:firstLine="560"/>
        <w:rPr>
          <w:rFonts w:hint="eastAsia" w:ascii="仿宋" w:hAnsi="仿宋" w:eastAsia="仿宋" w:cs="仿宋"/>
          <w:sz w:val="32"/>
          <w:szCs w:val="32"/>
        </w:rPr>
      </w:pPr>
      <w:r>
        <w:rPr>
          <w:rFonts w:hint="eastAsia" w:ascii="仿宋" w:hAnsi="仿宋" w:eastAsia="仿宋" w:cs="仿宋"/>
          <w:sz w:val="32"/>
          <w:szCs w:val="32"/>
        </w:rPr>
        <w:t>(七）汇集全市妇女手工作品，开办“巧手坊”。打造“巧手坊”，汇集全市手工作品，在旅发大会进行宣传、展示，为妇女手工作品提高知名度、扩大销路，提高鹿泉影响力。</w:t>
      </w:r>
    </w:p>
    <w:p>
      <w:pPr>
        <w:ind w:firstLine="560"/>
        <w:rPr>
          <w:rFonts w:hint="eastAsia" w:ascii="仿宋" w:hAnsi="仿宋" w:eastAsia="仿宋" w:cs="仿宋"/>
          <w:sz w:val="32"/>
          <w:szCs w:val="32"/>
        </w:rPr>
      </w:pPr>
      <w:r>
        <w:rPr>
          <w:rFonts w:hint="eastAsia" w:ascii="仿宋" w:hAnsi="仿宋" w:eastAsia="仿宋" w:cs="仿宋"/>
          <w:sz w:val="32"/>
          <w:szCs w:val="32"/>
        </w:rPr>
        <w:t>（八）围绕旅发大会，搞好美丽庭院创建。继续开展“美丽庭院”创建工作，通过开展“晒晒我的美丽庭院”、“每月一课集中讲授课堂”等活动，扩大知晓率，提高创建积极性，评出美丽庭院示范户并挂牌。同时打造“美丽庭院”讲师团，在旅发大会重点片区进行授课，宣讲美丽庭院创建相关知识，发动广大妇女积极行动，发挥女主人的优势，带动家人以及更多的人加入到美丽庭院创建工作中来。</w:t>
      </w:r>
    </w:p>
    <w:p>
      <w:pPr>
        <w:ind w:firstLine="560"/>
        <w:rPr>
          <w:rFonts w:ascii="楷体_GB2312" w:hAnsi="Times New Roman" w:eastAsia="楷体_GB2312" w:cs="Times New Roman"/>
          <w:b/>
          <w:sz w:val="32"/>
          <w:szCs w:val="24"/>
        </w:rPr>
      </w:pPr>
      <w:r>
        <w:rPr>
          <w:rFonts w:hint="eastAsia" w:ascii="楷体_GB2312" w:hAnsi="黑体" w:eastAsia="楷体_GB2312" w:cs="Times New Roman"/>
          <w:b/>
          <w:sz w:val="32"/>
          <w:szCs w:val="32"/>
        </w:rPr>
        <w:t>部门职责及工作活动绩效目标指标：</w:t>
      </w:r>
    </w:p>
    <w:bookmarkEnd w:id="0"/>
    <w:p>
      <w:pPr>
        <w:jc w:val="center"/>
        <w:outlineLvl w:val="0"/>
        <w:rPr>
          <w:rFonts w:ascii="方正小标宋_GBK" w:eastAsia="方正小标宋_GBK"/>
          <w:color w:val="FFFFFF"/>
          <w:sz w:val="32"/>
        </w:rPr>
      </w:pPr>
      <w:bookmarkStart w:id="1" w:name="_Toc2522121"/>
      <w:r>
        <w:rPr>
          <w:rFonts w:hint="eastAsia" w:ascii="方正小标宋_GBK" w:eastAsia="方正小标宋_GBK"/>
          <w:sz w:val="32"/>
        </w:rPr>
        <w:t>部门职责-工作活动绩效目标</w:t>
      </w:r>
      <w:r>
        <w:rPr>
          <w:rStyle w:val="12"/>
          <w:rFonts w:ascii="方正小标宋_GBK" w:eastAsia="方正小标宋_GBK"/>
          <w:color w:val="FFFFFF"/>
          <w:sz w:val="32"/>
        </w:rPr>
        <w:footnoteReference w:id="0" w:customMarkFollows="1"/>
        <w:sym w:font="Symbol" w:char="F020"/>
      </w:r>
      <w:bookmarkEnd w:id="1"/>
    </w:p>
    <w:tbl>
      <w:tblPr>
        <w:tblStyle w:val="8"/>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713</w:t>
            </w:r>
            <w:r>
              <w:rPr>
                <w:rFonts w:hint="eastAsia" w:ascii="方正小标宋_GBK" w:eastAsia="方正小标宋_GBK"/>
                <w:sz w:val="24"/>
              </w:rPr>
              <w:t>石家庄市鹿泉区妇女联合会</w:t>
            </w:r>
          </w:p>
        </w:tc>
        <w:tc>
          <w:tcPr>
            <w:tcW w:w="2948" w:type="dxa"/>
            <w:gridSpan w:val="4"/>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职责活动</w:t>
            </w:r>
          </w:p>
        </w:tc>
        <w:tc>
          <w:tcPr>
            <w:tcW w:w="12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年度预算数</w:t>
            </w:r>
          </w:p>
        </w:tc>
        <w:tc>
          <w:tcPr>
            <w:tcW w:w="29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内容描述</w:t>
            </w:r>
          </w:p>
        </w:tc>
        <w:tc>
          <w:tcPr>
            <w:tcW w:w="29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1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w:t>
            </w:r>
          </w:p>
        </w:tc>
        <w:tc>
          <w:tcPr>
            <w:tcW w:w="2948" w:type="dxa"/>
            <w:gridSpan w:val="4"/>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shd w:val="clear" w:color="auto" w:fill="auto"/>
            <w:vAlign w:val="center"/>
          </w:tcPr>
          <w:p>
            <w:pPr>
              <w:spacing w:line="300" w:lineRule="exact"/>
              <w:jc w:val="left"/>
              <w:outlineLvl w:val="0"/>
            </w:pPr>
          </w:p>
        </w:tc>
        <w:tc>
          <w:tcPr>
            <w:tcW w:w="1276" w:type="dxa"/>
            <w:vMerge w:val="continue"/>
            <w:shd w:val="clear" w:color="auto" w:fill="auto"/>
            <w:vAlign w:val="center"/>
          </w:tcPr>
          <w:p>
            <w:pPr>
              <w:spacing w:line="300" w:lineRule="exact"/>
              <w:jc w:val="left"/>
              <w:outlineLvl w:val="0"/>
            </w:pPr>
          </w:p>
        </w:tc>
        <w:tc>
          <w:tcPr>
            <w:tcW w:w="2976" w:type="dxa"/>
            <w:vMerge w:val="continue"/>
            <w:shd w:val="clear" w:color="auto" w:fill="auto"/>
            <w:vAlign w:val="center"/>
          </w:tcPr>
          <w:p>
            <w:pPr>
              <w:spacing w:line="300" w:lineRule="exact"/>
              <w:jc w:val="left"/>
              <w:outlineLvl w:val="0"/>
            </w:pPr>
          </w:p>
        </w:tc>
        <w:tc>
          <w:tcPr>
            <w:tcW w:w="2976" w:type="dxa"/>
            <w:vMerge w:val="continue"/>
            <w:shd w:val="clear" w:color="auto" w:fill="auto"/>
            <w:vAlign w:val="center"/>
          </w:tcPr>
          <w:p>
            <w:pPr>
              <w:spacing w:line="300" w:lineRule="exact"/>
              <w:jc w:val="left"/>
              <w:outlineLvl w:val="0"/>
            </w:pPr>
          </w:p>
        </w:tc>
        <w:tc>
          <w:tcPr>
            <w:tcW w:w="1417" w:type="dxa"/>
            <w:vMerge w:val="continue"/>
            <w:shd w:val="clear" w:color="auto" w:fill="auto"/>
            <w:vAlign w:val="center"/>
          </w:tcPr>
          <w:p>
            <w:pPr>
              <w:spacing w:line="300" w:lineRule="exact"/>
              <w:jc w:val="left"/>
              <w:outlineLvl w:val="0"/>
            </w:pP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优</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良</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中</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一、团结动员妇女参加经济社会建设</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团结、教育全区妇女及各类妇女组织同党中央在思想上、政治上、行动上保持高度一致，全面提高妇女素质。</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把广大妇女紧密团结在党中央周围，围绕中央、区委区政府中心工作。</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、团结动员妇女参加经济社会建设</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团结、教育全区妇女及各类妇女组织同党中央在思想上、政治上、行动上保持高度一致，全面提高妇女素质。</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注册巾帼志愿者人数（人）</w:t>
            </w:r>
            <w:r>
              <w:rPr>
                <w:rFonts w:ascii="方正书宋_GBK" w:eastAsia="方正书宋_GBK"/>
              </w:rPr>
              <w:t>;</w:t>
            </w:r>
            <w:r>
              <w:rPr>
                <w:rFonts w:hint="eastAsia" w:ascii="方正书宋_GBK" w:eastAsia="方正书宋_GBK"/>
              </w:rPr>
              <w:t>帮扶妇女创业人数（人）</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反映巾帼志愿者力量壮大情况</w:t>
            </w:r>
            <w:r>
              <w:rPr>
                <w:rFonts w:ascii="方正书宋_GBK" w:eastAsia="方正书宋_GBK"/>
              </w:rPr>
              <w:t>;</w:t>
            </w:r>
            <w:r>
              <w:rPr>
                <w:rFonts w:hint="eastAsia" w:ascii="方正书宋_GBK" w:eastAsia="方正书宋_GBK"/>
              </w:rPr>
              <w:t>反映帮助妇女创业情况</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参照年初工作计划，注册巾帼志愿者</w:t>
            </w:r>
            <w:r>
              <w:rPr>
                <w:rFonts w:ascii="方正书宋_GBK" w:eastAsia="方正书宋_GBK"/>
              </w:rPr>
              <w:t>90%</w:t>
            </w:r>
            <w:r>
              <w:rPr>
                <w:rFonts w:hint="eastAsia" w:ascii="方正书宋_GBK" w:eastAsia="方正书宋_GBK"/>
              </w:rPr>
              <w:t>；妇女之家建设</w:t>
            </w:r>
            <w:r>
              <w:rPr>
                <w:rFonts w:ascii="方正书宋_GBK" w:eastAsia="方正书宋_GBK"/>
              </w:rPr>
              <w:t>90%</w:t>
            </w:r>
            <w:r>
              <w:rPr>
                <w:rFonts w:hint="eastAsia" w:ascii="方正书宋_GBK" w:eastAsia="方正书宋_GBK"/>
              </w:rPr>
              <w:t>；美丽庭院建设</w:t>
            </w:r>
            <w:r>
              <w:rPr>
                <w:rFonts w:ascii="方正书宋_GBK" w:eastAsia="方正书宋_GBK"/>
              </w:rPr>
              <w:t>90%</w:t>
            </w:r>
            <w:r>
              <w:rPr>
                <w:rFonts w:hint="eastAsia" w:ascii="方正书宋_GBK" w:eastAsia="方正书宋_GBK"/>
              </w:rPr>
              <w:t>；最美家庭活动</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参照年初工作计划，注册巾帼志愿者</w:t>
            </w:r>
            <w:r>
              <w:rPr>
                <w:rFonts w:ascii="方正书宋_GBK" w:eastAsia="方正书宋_GBK"/>
              </w:rPr>
              <w:t>80%</w:t>
            </w:r>
            <w:r>
              <w:rPr>
                <w:rFonts w:hint="eastAsia" w:ascii="方正书宋_GBK" w:eastAsia="方正书宋_GBK"/>
              </w:rPr>
              <w:t>；妇女之家建设</w:t>
            </w:r>
            <w:r>
              <w:rPr>
                <w:rFonts w:ascii="方正书宋_GBK" w:eastAsia="方正书宋_GBK"/>
              </w:rPr>
              <w:t>80%</w:t>
            </w:r>
            <w:r>
              <w:rPr>
                <w:rFonts w:hint="eastAsia" w:ascii="方正书宋_GBK" w:eastAsia="方正书宋_GBK"/>
              </w:rPr>
              <w:t>；美丽庭院建设</w:t>
            </w:r>
            <w:r>
              <w:rPr>
                <w:rFonts w:ascii="方正书宋_GBK" w:eastAsia="方正书宋_GBK"/>
              </w:rPr>
              <w:t>85%</w:t>
            </w:r>
            <w:r>
              <w:rPr>
                <w:rFonts w:hint="eastAsia" w:ascii="方正书宋_GBK" w:eastAsia="方正书宋_GBK"/>
              </w:rPr>
              <w:t>；最美家庭活动</w:t>
            </w:r>
            <w:r>
              <w:rPr>
                <w:rFonts w:ascii="方正书宋_GBK" w:eastAsia="方正书宋_GBK"/>
              </w:rPr>
              <w:t>85%.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参照年初工作计划，注册巾帼志愿者</w:t>
            </w:r>
            <w:r>
              <w:rPr>
                <w:rFonts w:ascii="方正书宋_GBK" w:eastAsia="方正书宋_GBK"/>
              </w:rPr>
              <w:t>70%</w:t>
            </w:r>
            <w:r>
              <w:rPr>
                <w:rFonts w:hint="eastAsia" w:ascii="方正书宋_GBK" w:eastAsia="方正书宋_GBK"/>
              </w:rPr>
              <w:t>；妇女之家建设</w:t>
            </w:r>
            <w:r>
              <w:rPr>
                <w:rFonts w:ascii="方正书宋_GBK" w:eastAsia="方正书宋_GBK"/>
              </w:rPr>
              <w:t>75%</w:t>
            </w:r>
            <w:r>
              <w:rPr>
                <w:rFonts w:hint="eastAsia" w:ascii="方正书宋_GBK" w:eastAsia="方正书宋_GBK"/>
              </w:rPr>
              <w:t>；美丽庭院建设</w:t>
            </w:r>
            <w:r>
              <w:rPr>
                <w:rFonts w:ascii="方正书宋_GBK" w:eastAsia="方正书宋_GBK"/>
              </w:rPr>
              <w:t>75%</w:t>
            </w:r>
            <w:r>
              <w:rPr>
                <w:rFonts w:hint="eastAsia" w:ascii="方正书宋_GBK" w:eastAsia="方正书宋_GBK"/>
              </w:rPr>
              <w:t>；最美家庭活动</w:t>
            </w:r>
            <w:r>
              <w:rPr>
                <w:rFonts w:ascii="方正书宋_GBK" w:eastAsia="方正书宋_GBK"/>
              </w:rPr>
              <w:t>75%.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参照年初工作计划，注册巾帼志愿者</w:t>
            </w:r>
            <w:r>
              <w:rPr>
                <w:rFonts w:ascii="方正书宋_GBK" w:eastAsia="方正书宋_GBK"/>
              </w:rPr>
              <w:t>70%</w:t>
            </w:r>
            <w:r>
              <w:rPr>
                <w:rFonts w:hint="eastAsia" w:ascii="方正书宋_GBK" w:eastAsia="方正书宋_GBK"/>
              </w:rPr>
              <w:t>以下；妇女之家建设</w:t>
            </w:r>
            <w:r>
              <w:rPr>
                <w:rFonts w:ascii="方正书宋_GBK" w:eastAsia="方正书宋_GBK"/>
              </w:rPr>
              <w:t>70%</w:t>
            </w:r>
            <w:r>
              <w:rPr>
                <w:rFonts w:hint="eastAsia" w:ascii="方正书宋_GBK" w:eastAsia="方正书宋_GBK"/>
              </w:rPr>
              <w:t>；美丽庭院建设</w:t>
            </w:r>
            <w:r>
              <w:rPr>
                <w:rFonts w:ascii="方正书宋_GBK" w:eastAsia="方正书宋_GBK"/>
              </w:rPr>
              <w:t>70%</w:t>
            </w:r>
            <w:r>
              <w:rPr>
                <w:rFonts w:hint="eastAsia" w:ascii="方正书宋_GBK" w:eastAsia="方正书宋_GBK"/>
              </w:rPr>
              <w:t>以下；最美家庭活动</w:t>
            </w:r>
            <w:r>
              <w:rPr>
                <w:rFonts w:ascii="方正书宋_GBK" w:eastAsia="方正书宋_GBK"/>
              </w:rPr>
              <w:t>70%</w:t>
            </w:r>
            <w:r>
              <w:rPr>
                <w:rFonts w:hint="eastAsia" w:ascii="方正书宋_GBK" w:eastAsia="方正书宋_GBK"/>
              </w:rPr>
              <w:t>以下</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二、维护妇女儿童合法权益促进妇女儿童发展</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关注并加强研究涉及妇女切身利益的热点、难点问题，及时向区委和区政府反映社情民意，提出对策建议。</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妇女综合素质和发展能力有较大提升。妇女儿童合法权益得到有效维护，男女平等基本国策宣传进一步深入人心。</w:t>
            </w:r>
          </w:p>
        </w:tc>
        <w:tc>
          <w:tcPr>
            <w:tcW w:w="1417" w:type="dxa"/>
            <w:shd w:val="clear" w:color="auto" w:fill="auto"/>
            <w:vAlign w:val="center"/>
          </w:tcPr>
          <w:p>
            <w:pPr>
              <w:spacing w:line="300" w:lineRule="exact"/>
              <w:jc w:val="left"/>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、维护妇女儿童合法权益促进妇女儿童发展</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关注并加强研究涉及妇女切身利益的热点、难点问题，及时向区委和区政府反映社情民意，提出对策建议。</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维护妇女合法权益</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法律援助妇女侵权案件率</w:t>
            </w:r>
          </w:p>
        </w:tc>
        <w:tc>
          <w:tcPr>
            <w:tcW w:w="737" w:type="dxa"/>
            <w:shd w:val="clear" w:color="auto" w:fill="auto"/>
            <w:vAlign w:val="center"/>
          </w:tcPr>
          <w:p>
            <w:pPr>
              <w:spacing w:line="300" w:lineRule="exact"/>
              <w:jc w:val="center"/>
              <w:rPr>
                <w:rFonts w:hint="eastAsia" w:ascii="方正书宋_GBK" w:eastAsia="方正书宋_GBK"/>
              </w:rPr>
            </w:pPr>
            <w:r>
              <w:rPr>
                <w:rFonts w:ascii="方正书宋_GBK" w:eastAsia="方正书宋_GBK"/>
              </w:rPr>
              <w:t>&gt;75%</w:t>
            </w:r>
          </w:p>
        </w:tc>
        <w:tc>
          <w:tcPr>
            <w:tcW w:w="737" w:type="dxa"/>
            <w:shd w:val="clear" w:color="auto" w:fill="auto"/>
            <w:vAlign w:val="center"/>
          </w:tcPr>
          <w:p>
            <w:pPr>
              <w:spacing w:line="300" w:lineRule="exact"/>
              <w:jc w:val="center"/>
              <w:rPr>
                <w:rFonts w:hint="eastAsia" w:ascii="方正书宋_GBK" w:eastAsia="方正书宋_GBK"/>
              </w:rPr>
            </w:pPr>
            <w:r>
              <w:rPr>
                <w:rFonts w:ascii="方正书宋_GBK" w:eastAsia="方正书宋_GBK"/>
              </w:rPr>
              <w:t>60%-74%</w:t>
            </w:r>
          </w:p>
        </w:tc>
        <w:tc>
          <w:tcPr>
            <w:tcW w:w="737" w:type="dxa"/>
            <w:shd w:val="clear" w:color="auto" w:fill="auto"/>
            <w:vAlign w:val="center"/>
          </w:tcPr>
          <w:p>
            <w:pPr>
              <w:spacing w:line="300" w:lineRule="exact"/>
              <w:jc w:val="center"/>
              <w:rPr>
                <w:rFonts w:hint="eastAsia" w:ascii="方正书宋_GBK" w:eastAsia="方正书宋_GBK"/>
              </w:rPr>
            </w:pPr>
            <w:r>
              <w:rPr>
                <w:rFonts w:ascii="方正书宋_GBK" w:eastAsia="方正书宋_GBK"/>
              </w:rPr>
              <w:t>50%-59%</w:t>
            </w:r>
          </w:p>
        </w:tc>
        <w:tc>
          <w:tcPr>
            <w:tcW w:w="737" w:type="dxa"/>
            <w:shd w:val="clear" w:color="auto" w:fill="auto"/>
            <w:vAlign w:val="center"/>
          </w:tcPr>
          <w:p>
            <w:pPr>
              <w:spacing w:line="300" w:lineRule="exact"/>
              <w:jc w:val="center"/>
              <w:rPr>
                <w:rFonts w:hint="eastAsia" w:ascii="方正书宋_GBK" w:eastAsia="方正书宋_GBK"/>
              </w:rPr>
            </w:pPr>
            <w:r>
              <w:rPr>
                <w:rFonts w:ascii="方正书宋_GBK" w:eastAsia="方正书宋_GBK"/>
              </w:rPr>
              <w:t>&lt;49%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三、维权服务</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关注并加强研究涉及妇女切身利益的热点、难点问题，及时向区委和区政府反映社情民意，提出对策建议。</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帮助权益受到侵害的妇女儿童解决困难和问题，提高广大妇女儿童的维权意识和维权能力，维护妇女儿童合法权益；规范妇女信访秩序，促进社会和谐稳定。</w:t>
            </w:r>
          </w:p>
        </w:tc>
        <w:tc>
          <w:tcPr>
            <w:tcW w:w="1417" w:type="dxa"/>
            <w:shd w:val="clear" w:color="auto" w:fill="auto"/>
            <w:vAlign w:val="center"/>
          </w:tcPr>
          <w:p>
            <w:pPr>
              <w:spacing w:line="300" w:lineRule="exact"/>
              <w:jc w:val="left"/>
              <w:rPr>
                <w:rFonts w:hint="eastAsia"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、维权服务</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关注并加强研究涉及妇女切身利益的热点、难点问题，及时向区委和区政府反映社情民意，提出对策建议。</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维护妇女合法权益</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妇女信访代理工作覆盖率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妇女信访代理工作</w:t>
            </w:r>
            <w:r>
              <w:rPr>
                <w:rFonts w:ascii="方正书宋_GBK" w:eastAsia="方正书宋_GBK"/>
              </w:rPr>
              <w:t>85%</w:t>
            </w:r>
            <w:r>
              <w:rPr>
                <w:rFonts w:hint="eastAsia" w:ascii="方正书宋_GBK" w:eastAsia="方正书宋_GBK"/>
              </w:rPr>
              <w:t>；答复来电来访妇女</w:t>
            </w:r>
            <w:r>
              <w:rPr>
                <w:rFonts w:ascii="方正书宋_GBK" w:eastAsia="方正书宋_GBK"/>
              </w:rPr>
              <w:t>85%</w:t>
            </w:r>
            <w:r>
              <w:rPr>
                <w:rFonts w:hint="eastAsia" w:ascii="方正书宋_GBK" w:eastAsia="方正书宋_GBK"/>
              </w:rPr>
              <w:t>；平安家庭创建工作</w:t>
            </w:r>
            <w:r>
              <w:rPr>
                <w:rFonts w:ascii="方正书宋_GBK" w:eastAsia="方正书宋_GBK"/>
              </w:rPr>
              <w:t>85%</w:t>
            </w:r>
            <w:r>
              <w:rPr>
                <w:rFonts w:hint="eastAsia" w:ascii="方正书宋_GBK" w:eastAsia="方正书宋_GBK"/>
              </w:rPr>
              <w:t>；加强基层维权站建设</w:t>
            </w:r>
            <w:r>
              <w:rPr>
                <w:rFonts w:ascii="方正书宋_GBK" w:eastAsia="方正书宋_GBK"/>
              </w:rPr>
              <w:t>85%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妇女信访代理工作</w:t>
            </w:r>
            <w:r>
              <w:rPr>
                <w:rFonts w:ascii="方正书宋_GBK" w:eastAsia="方正书宋_GBK"/>
              </w:rPr>
              <w:t>70%</w:t>
            </w:r>
            <w:r>
              <w:rPr>
                <w:rFonts w:hint="eastAsia" w:ascii="方正书宋_GBK" w:eastAsia="方正书宋_GBK"/>
              </w:rPr>
              <w:t>；答复来电来访妇女</w:t>
            </w:r>
            <w:r>
              <w:rPr>
                <w:rFonts w:ascii="方正书宋_GBK" w:eastAsia="方正书宋_GBK"/>
              </w:rPr>
              <w:t>70%</w:t>
            </w:r>
            <w:r>
              <w:rPr>
                <w:rFonts w:hint="eastAsia" w:ascii="方正书宋_GBK" w:eastAsia="方正书宋_GBK"/>
              </w:rPr>
              <w:t>；平安家庭创建工作</w:t>
            </w:r>
            <w:r>
              <w:rPr>
                <w:rFonts w:ascii="方正书宋_GBK" w:eastAsia="方正书宋_GBK"/>
              </w:rPr>
              <w:t>70%</w:t>
            </w:r>
            <w:r>
              <w:rPr>
                <w:rFonts w:hint="eastAsia" w:ascii="方正书宋_GBK" w:eastAsia="方正书宋_GBK"/>
              </w:rPr>
              <w:t>；加强基层维权站建设</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妇女信访代理工作</w:t>
            </w:r>
            <w:r>
              <w:rPr>
                <w:rFonts w:ascii="方正书宋_GBK" w:eastAsia="方正书宋_GBK"/>
              </w:rPr>
              <w:t>60%</w:t>
            </w:r>
            <w:r>
              <w:rPr>
                <w:rFonts w:hint="eastAsia" w:ascii="方正书宋_GBK" w:eastAsia="方正书宋_GBK"/>
              </w:rPr>
              <w:t>；答复来电来访妇女</w:t>
            </w:r>
            <w:r>
              <w:rPr>
                <w:rFonts w:ascii="方正书宋_GBK" w:eastAsia="方正书宋_GBK"/>
              </w:rPr>
              <w:t>60%</w:t>
            </w:r>
            <w:r>
              <w:rPr>
                <w:rFonts w:hint="eastAsia" w:ascii="方正书宋_GBK" w:eastAsia="方正书宋_GBK"/>
              </w:rPr>
              <w:t>；平安家庭创建工作</w:t>
            </w:r>
            <w:r>
              <w:rPr>
                <w:rFonts w:ascii="方正书宋_GBK" w:eastAsia="方正书宋_GBK"/>
              </w:rPr>
              <w:t>60%</w:t>
            </w:r>
            <w:r>
              <w:rPr>
                <w:rFonts w:hint="eastAsia" w:ascii="方正书宋_GBK" w:eastAsia="方正书宋_GBK"/>
              </w:rPr>
              <w:t>；加强基层维权站建设</w:t>
            </w:r>
            <w:r>
              <w:rPr>
                <w:rFonts w:ascii="方正书宋_GBK" w:eastAsia="方正书宋_GBK"/>
              </w:rPr>
              <w:t>60%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妇女信访代理工作</w:t>
            </w:r>
            <w:r>
              <w:rPr>
                <w:rFonts w:ascii="方正书宋_GBK" w:eastAsia="方正书宋_GBK"/>
              </w:rPr>
              <w:t>50%</w:t>
            </w:r>
            <w:r>
              <w:rPr>
                <w:rFonts w:hint="eastAsia" w:ascii="方正书宋_GBK" w:eastAsia="方正书宋_GBK"/>
              </w:rPr>
              <w:t>；答复来电来访妇女</w:t>
            </w:r>
            <w:r>
              <w:rPr>
                <w:rFonts w:ascii="方正书宋_GBK" w:eastAsia="方正书宋_GBK"/>
              </w:rPr>
              <w:t>50%</w:t>
            </w:r>
            <w:r>
              <w:rPr>
                <w:rFonts w:hint="eastAsia" w:ascii="方正书宋_GBK" w:eastAsia="方正书宋_GBK"/>
              </w:rPr>
              <w:t>；平安家庭创建工作</w:t>
            </w:r>
            <w:r>
              <w:rPr>
                <w:rFonts w:ascii="方正书宋_GBK" w:eastAsia="方正书宋_GBK"/>
              </w:rPr>
              <w:t>50%</w:t>
            </w:r>
            <w:r>
              <w:rPr>
                <w:rFonts w:hint="eastAsia" w:ascii="方正书宋_GBK" w:eastAsia="方正书宋_GBK"/>
              </w:rPr>
              <w:t>；加强基层维权站建设</w:t>
            </w:r>
            <w:r>
              <w:rPr>
                <w:rFonts w:ascii="方正书宋_GBK" w:eastAsia="方正书宋_GBK"/>
              </w:rPr>
              <w:t>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四、教育培训与事业发展</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积极推动和开展对妇女的科技文化及生产劳动技能教育。</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提高妇女科技素质和农业经营管理能力，促进妇女创业就业。</w:t>
            </w:r>
          </w:p>
        </w:tc>
        <w:tc>
          <w:tcPr>
            <w:tcW w:w="1417" w:type="dxa"/>
            <w:shd w:val="clear" w:color="auto" w:fill="auto"/>
            <w:vAlign w:val="center"/>
          </w:tcPr>
          <w:p>
            <w:pPr>
              <w:spacing w:line="300" w:lineRule="exact"/>
              <w:jc w:val="left"/>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、教育培训与事业发展</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积极推动和开展对妇女的科技文化及生产劳动技能教育。培训妇女人数（万人）；培养妇女致富带头人数；帮扶妇女创业人数</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带动妇女就业创业</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培养妇女致富带头人人数</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培养妇女致富带头人</w:t>
            </w:r>
            <w:r>
              <w:rPr>
                <w:rFonts w:ascii="方正书宋_GBK" w:eastAsia="方正书宋_GBK"/>
              </w:rPr>
              <w:t>50</w:t>
            </w:r>
            <w:r>
              <w:rPr>
                <w:rFonts w:hint="eastAsia" w:ascii="方正书宋_GBK" w:eastAsia="方正书宋_GBK"/>
              </w:rPr>
              <w:t>以上</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培养妇女致富带头人</w:t>
            </w:r>
            <w:r>
              <w:rPr>
                <w:rFonts w:ascii="方正书宋_GBK" w:eastAsia="方正书宋_GBK"/>
              </w:rPr>
              <w:t>40-49</w:t>
            </w:r>
            <w:r>
              <w:rPr>
                <w:rFonts w:hint="eastAsia" w:ascii="方正书宋_GBK" w:eastAsia="方正书宋_GBK"/>
              </w:rPr>
              <w:t>人</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培养妇女致富带头人</w:t>
            </w:r>
            <w:r>
              <w:rPr>
                <w:rFonts w:ascii="方正书宋_GBK" w:eastAsia="方正书宋_GBK"/>
              </w:rPr>
              <w:t>30-39</w:t>
            </w:r>
            <w:r>
              <w:rPr>
                <w:rFonts w:hint="eastAsia" w:ascii="方正书宋_GBK" w:eastAsia="方正书宋_GBK"/>
              </w:rPr>
              <w:t>人</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培养妇女致富带头人</w:t>
            </w:r>
            <w:r>
              <w:rPr>
                <w:rFonts w:ascii="方正书宋_GBK" w:eastAsia="方正书宋_GBK"/>
              </w:rPr>
              <w:t>30</w:t>
            </w:r>
            <w:r>
              <w:rPr>
                <w:rFonts w:hint="eastAsia" w:ascii="方正书宋_GBK" w:eastAsia="方正书宋_GBK"/>
              </w:rPr>
              <w:t>人以下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五、妇联综合业务管理</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加强妇联基层组织建设，加强机关党的建设，做好机关基础设施建设与维护，推进机关信息化建设，做好区政府妇女儿童委员会办公室工作，为妇女儿童事业发展提供有力保障。</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不断加强妇联组织自身建设，提升妇联干部服务妇女的能力和水平，保障妇女维权、妇女发展工作正常有序开展。</w:t>
            </w:r>
          </w:p>
        </w:tc>
        <w:tc>
          <w:tcPr>
            <w:tcW w:w="1417" w:type="dxa"/>
            <w:shd w:val="clear" w:color="auto" w:fill="auto"/>
            <w:vAlign w:val="center"/>
          </w:tcPr>
          <w:p>
            <w:pPr>
              <w:spacing w:line="300" w:lineRule="exact"/>
              <w:jc w:val="left"/>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、妇联综合业务管理</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加强妇联基层组织建设，加强机关党的建设，做好机关基础设施建设与维护，推进机关信息化建设，做好区政府妇女儿童委员会办公室工作，为妇女儿童事业发展提供有力保障。</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加强妇联基层组织建设</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创建示范基层组织数</w:t>
            </w:r>
            <w:r>
              <w:rPr>
                <w:rFonts w:ascii="方正书宋_GBK" w:eastAsia="方正书宋_GBK"/>
              </w:rPr>
              <w:t>;</w:t>
            </w:r>
            <w:r>
              <w:rPr>
                <w:rFonts w:hint="eastAsia" w:ascii="方正书宋_GBK" w:eastAsia="方正书宋_GBK"/>
              </w:rPr>
              <w:t>创建示范妇女之家数（家）</w:t>
            </w:r>
            <w:r>
              <w:rPr>
                <w:rFonts w:ascii="方正书宋_GBK" w:eastAsia="方正书宋_GBK"/>
              </w:rPr>
              <w:t>;</w:t>
            </w:r>
            <w:r>
              <w:rPr>
                <w:rFonts w:hint="eastAsia" w:ascii="方正书宋_GBK" w:eastAsia="方正书宋_GBK"/>
              </w:rPr>
              <w:t>建设示范儿童之家数量</w:t>
            </w:r>
            <w:r>
              <w:rPr>
                <w:rFonts w:ascii="方正书宋_GBK" w:eastAsia="方正书宋_GBK"/>
              </w:rPr>
              <w:t>(</w:t>
            </w:r>
            <w:r>
              <w:rPr>
                <w:rFonts w:hint="eastAsia" w:ascii="方正书宋_GBK" w:eastAsia="方正书宋_GBK"/>
              </w:rPr>
              <w:t>个）</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建设</w:t>
            </w:r>
            <w:r>
              <w:rPr>
                <w:rFonts w:ascii="方正书宋_GBK" w:eastAsia="方正书宋_GBK"/>
              </w:rPr>
              <w:t>2</w:t>
            </w:r>
            <w:r>
              <w:rPr>
                <w:rFonts w:hint="eastAsia" w:ascii="方正书宋_GBK" w:eastAsia="方正书宋_GBK"/>
              </w:rPr>
              <w:t>个及以上阵地</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建设</w:t>
            </w:r>
            <w:r>
              <w:rPr>
                <w:rFonts w:ascii="方正书宋_GBK" w:eastAsia="方正书宋_GBK"/>
              </w:rPr>
              <w:t>1</w:t>
            </w:r>
            <w:r>
              <w:rPr>
                <w:rFonts w:hint="eastAsia" w:ascii="方正书宋_GBK" w:eastAsia="方正书宋_GBK"/>
              </w:rPr>
              <w:t>个</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建设</w:t>
            </w:r>
            <w:r>
              <w:rPr>
                <w:rFonts w:ascii="方正书宋_GBK" w:eastAsia="方正书宋_GBK"/>
              </w:rPr>
              <w:t>1</w:t>
            </w:r>
            <w:r>
              <w:rPr>
                <w:rFonts w:hint="eastAsia" w:ascii="方正书宋_GBK" w:eastAsia="方正书宋_GBK"/>
              </w:rPr>
              <w:t>个</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建设</w:t>
            </w:r>
            <w:r>
              <w:rPr>
                <w:rFonts w:ascii="方正书宋_GBK" w:eastAsia="方正书宋_GBK"/>
              </w:rPr>
              <w:t>0</w:t>
            </w:r>
            <w:r>
              <w:rPr>
                <w:rFonts w:hint="eastAsia" w:ascii="方正书宋_GBK" w:eastAsia="方正书宋_GBK"/>
              </w:rPr>
              <w:t>个</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六、综合业务管理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67.40</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坚持为妇女儿童服务、为基层服务，加强与社会各界的联系，协调推动全社会为妇女儿童办实事、办好事；指导基层妇联开展妇女儿童工作；联系团体会员并给予工作指导；促进妇女儿童事业发展；承担区妇女儿童工作委员会办公室的工作；承办区委、区政府交办的有关工作。</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承担区妇女儿童工作委员会办公室的工作</w:t>
            </w:r>
          </w:p>
        </w:tc>
        <w:tc>
          <w:tcPr>
            <w:tcW w:w="1417" w:type="dxa"/>
            <w:shd w:val="clear" w:color="auto" w:fill="auto"/>
            <w:vAlign w:val="center"/>
          </w:tcPr>
          <w:p>
            <w:pPr>
              <w:spacing w:line="300" w:lineRule="exact"/>
              <w:jc w:val="left"/>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、综合业务管理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67.40</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坚持为妇女儿童服务、为基层服务，加强与社会各界的联系，协调推动全社会为妇女儿童办实事、办好事；指导基层妇联开展妇女儿童工作；联系团体会员并给予工作指导；促进妇女儿童事业发展；承担区妇女儿童工作委员会办公室的工作；承办区委、区政府交办的有关工作。</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坚持为妇女儿童服务、为基层服务</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组织妇女参加培训</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培训基层妇联干部</w:t>
            </w:r>
            <w:r>
              <w:rPr>
                <w:rFonts w:ascii="方正书宋_GBK" w:eastAsia="方正书宋_GBK"/>
              </w:rPr>
              <w:t>90%</w:t>
            </w:r>
            <w:r>
              <w:rPr>
                <w:rFonts w:hint="eastAsia" w:ascii="方正书宋_GBK" w:eastAsia="方正书宋_GBK"/>
              </w:rPr>
              <w:t>；妇联系统素质培训</w:t>
            </w:r>
            <w:r>
              <w:rPr>
                <w:rFonts w:ascii="方正书宋_GBK" w:eastAsia="方正书宋_GBK"/>
              </w:rPr>
              <w:t>90%</w:t>
            </w:r>
            <w:r>
              <w:rPr>
                <w:rFonts w:hint="eastAsia" w:ascii="方正书宋_GBK" w:eastAsia="方正书宋_GBK"/>
              </w:rPr>
              <w:t>；社会各界妇女活动</w:t>
            </w:r>
            <w:r>
              <w:rPr>
                <w:rFonts w:ascii="方正书宋_GBK" w:eastAsia="方正书宋_GBK"/>
              </w:rPr>
              <w:t>5</w:t>
            </w:r>
            <w:r>
              <w:rPr>
                <w:rFonts w:hint="eastAsia" w:ascii="方正书宋_GBK" w:eastAsia="方正书宋_GBK"/>
              </w:rPr>
              <w:t>场及以上</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培训基层妇联干部</w:t>
            </w:r>
            <w:r>
              <w:rPr>
                <w:rFonts w:ascii="方正书宋_GBK" w:eastAsia="方正书宋_GBK"/>
              </w:rPr>
              <w:t>85%</w:t>
            </w:r>
            <w:r>
              <w:rPr>
                <w:rFonts w:hint="eastAsia" w:ascii="方正书宋_GBK" w:eastAsia="方正书宋_GBK"/>
              </w:rPr>
              <w:t>；妇联系统素质培训</w:t>
            </w:r>
            <w:r>
              <w:rPr>
                <w:rFonts w:ascii="方正书宋_GBK" w:eastAsia="方正书宋_GBK"/>
              </w:rPr>
              <w:t>85%</w:t>
            </w:r>
            <w:r>
              <w:rPr>
                <w:rFonts w:hint="eastAsia" w:ascii="方正书宋_GBK" w:eastAsia="方正书宋_GBK"/>
              </w:rPr>
              <w:t>；社会各界妇女活动</w:t>
            </w:r>
            <w:r>
              <w:rPr>
                <w:rFonts w:ascii="方正书宋_GBK" w:eastAsia="方正书宋_GBK"/>
              </w:rPr>
              <w:t>4</w:t>
            </w:r>
            <w:r>
              <w:rPr>
                <w:rFonts w:hint="eastAsia" w:ascii="方正书宋_GBK" w:eastAsia="方正书宋_GBK"/>
              </w:rPr>
              <w:t>场</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培训基层妇联干部</w:t>
            </w:r>
            <w:r>
              <w:rPr>
                <w:rFonts w:ascii="方正书宋_GBK" w:eastAsia="方正书宋_GBK"/>
              </w:rPr>
              <w:t>75%</w:t>
            </w:r>
            <w:r>
              <w:rPr>
                <w:rFonts w:hint="eastAsia" w:ascii="方正书宋_GBK" w:eastAsia="方正书宋_GBK"/>
              </w:rPr>
              <w:t>；妇联系统素质培训</w:t>
            </w:r>
            <w:r>
              <w:rPr>
                <w:rFonts w:ascii="方正书宋_GBK" w:eastAsia="方正书宋_GBK"/>
              </w:rPr>
              <w:t>75%</w:t>
            </w:r>
            <w:r>
              <w:rPr>
                <w:rFonts w:hint="eastAsia" w:ascii="方正书宋_GBK" w:eastAsia="方正书宋_GBK"/>
              </w:rPr>
              <w:t>；社会各界妇女活动</w:t>
            </w:r>
            <w:r>
              <w:rPr>
                <w:rFonts w:ascii="方正书宋_GBK" w:eastAsia="方正书宋_GBK"/>
              </w:rPr>
              <w:t>3</w:t>
            </w:r>
            <w:r>
              <w:rPr>
                <w:rFonts w:hint="eastAsia" w:ascii="方正书宋_GBK" w:eastAsia="方正书宋_GBK"/>
              </w:rPr>
              <w:t>场</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培训基层妇联干部</w:t>
            </w:r>
            <w:r>
              <w:rPr>
                <w:rFonts w:ascii="方正书宋_GBK" w:eastAsia="方正书宋_GBK"/>
              </w:rPr>
              <w:t>70%</w:t>
            </w:r>
            <w:r>
              <w:rPr>
                <w:rFonts w:hint="eastAsia" w:ascii="方正书宋_GBK" w:eastAsia="方正书宋_GBK"/>
              </w:rPr>
              <w:t>；妇联系统素质培训</w:t>
            </w:r>
            <w:r>
              <w:rPr>
                <w:rFonts w:ascii="方正书宋_GBK" w:eastAsia="方正书宋_GBK"/>
              </w:rPr>
              <w:t>70%</w:t>
            </w:r>
            <w:r>
              <w:rPr>
                <w:rFonts w:hint="eastAsia" w:ascii="方正书宋_GBK" w:eastAsia="方正书宋_GBK"/>
              </w:rPr>
              <w:t>；社会各界妇女活动少于</w:t>
            </w:r>
            <w:r>
              <w:rPr>
                <w:rFonts w:ascii="方正书宋_GBK" w:eastAsia="方正书宋_GBK"/>
              </w:rPr>
              <w:t>2</w:t>
            </w:r>
            <w:r>
              <w:rPr>
                <w:rFonts w:hint="eastAsia" w:ascii="方正书宋_GBK" w:eastAsia="方正书宋_GBK"/>
              </w:rPr>
              <w:t>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七、服务广大妇女儿童</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坚持为妇女儿童服务、为基层服务，加强与社会各界联系，协调推动全社会为儿童办实事、办好事</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为社会广大妇女儿童服务，关爱儿童健康、教育、生活、平安等</w:t>
            </w:r>
          </w:p>
        </w:tc>
        <w:tc>
          <w:tcPr>
            <w:tcW w:w="1417" w:type="dxa"/>
            <w:shd w:val="clear" w:color="auto" w:fill="auto"/>
            <w:vAlign w:val="center"/>
          </w:tcPr>
          <w:p>
            <w:pPr>
              <w:spacing w:line="300" w:lineRule="exact"/>
              <w:jc w:val="left"/>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、服务广大妇女儿童</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坚持为妇女儿童服务、为基层服务，加强与社会各界联系，协调推动全社会为儿童办实事、办好事</w:t>
            </w:r>
            <w:r>
              <w:rPr>
                <w:rFonts w:ascii="方正书宋_GBK" w:eastAsia="方正书宋_GBK"/>
              </w:rPr>
              <w:t>.</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服务妇女儿童、服务基层</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反映基层妇联工作阵地建设情况</w:t>
            </w:r>
          </w:p>
        </w:tc>
        <w:tc>
          <w:tcPr>
            <w:tcW w:w="737" w:type="dxa"/>
            <w:shd w:val="clear" w:color="auto" w:fill="auto"/>
            <w:vAlign w:val="center"/>
          </w:tcPr>
          <w:p>
            <w:pPr>
              <w:spacing w:line="300" w:lineRule="exact"/>
              <w:jc w:val="center"/>
              <w:rPr>
                <w:rFonts w:hint="eastAsia" w:ascii="方正书宋_GBK" w:eastAsia="方正书宋_GBK"/>
              </w:rPr>
            </w:pPr>
            <w:r>
              <w:rPr>
                <w:rFonts w:ascii="方正书宋_GBK" w:eastAsia="方正书宋_GBK"/>
              </w:rPr>
              <w:t>&gt;5</w:t>
            </w:r>
            <w:r>
              <w:rPr>
                <w:rFonts w:hint="eastAsia" w:ascii="方正书宋_GBK" w:eastAsia="方正书宋_GBK"/>
              </w:rPr>
              <w:t>次</w:t>
            </w:r>
          </w:p>
        </w:tc>
        <w:tc>
          <w:tcPr>
            <w:tcW w:w="737" w:type="dxa"/>
            <w:shd w:val="clear" w:color="auto" w:fill="auto"/>
            <w:vAlign w:val="center"/>
          </w:tcPr>
          <w:p>
            <w:pPr>
              <w:spacing w:line="300" w:lineRule="exact"/>
              <w:jc w:val="center"/>
              <w:rPr>
                <w:rFonts w:hint="eastAsia" w:ascii="方正书宋_GBK" w:eastAsia="方正书宋_GBK"/>
              </w:rPr>
            </w:pPr>
            <w:r>
              <w:rPr>
                <w:rFonts w:ascii="方正书宋_GBK" w:eastAsia="方正书宋_GBK"/>
              </w:rPr>
              <w:t>3</w:t>
            </w:r>
            <w:r>
              <w:rPr>
                <w:rFonts w:hint="eastAsia" w:ascii="方正书宋_GBK" w:eastAsia="方正书宋_GBK"/>
              </w:rPr>
              <w:t>次</w:t>
            </w:r>
            <w:r>
              <w:rPr>
                <w:rFonts w:ascii="方正书宋_GBK" w:eastAsia="方正书宋_GBK"/>
              </w:rPr>
              <w:t>-4</w:t>
            </w:r>
            <w:r>
              <w:rPr>
                <w:rFonts w:hint="eastAsia" w:ascii="方正书宋_GBK" w:eastAsia="方正书宋_GBK"/>
              </w:rPr>
              <w:t>次</w:t>
            </w:r>
          </w:p>
        </w:tc>
        <w:tc>
          <w:tcPr>
            <w:tcW w:w="737" w:type="dxa"/>
            <w:shd w:val="clear" w:color="auto" w:fill="auto"/>
            <w:vAlign w:val="center"/>
          </w:tcPr>
          <w:p>
            <w:pPr>
              <w:spacing w:line="300" w:lineRule="exact"/>
              <w:jc w:val="center"/>
              <w:rPr>
                <w:rFonts w:hint="eastAsia" w:ascii="方正书宋_GBK" w:eastAsia="方正书宋_GBK"/>
              </w:rPr>
            </w:pPr>
            <w:r>
              <w:rPr>
                <w:rFonts w:ascii="方正书宋_GBK" w:eastAsia="方正书宋_GBK"/>
              </w:rPr>
              <w:t>1</w:t>
            </w:r>
            <w:r>
              <w:rPr>
                <w:rFonts w:hint="eastAsia" w:ascii="方正书宋_GBK" w:eastAsia="方正书宋_GBK"/>
              </w:rPr>
              <w:t>次</w:t>
            </w:r>
            <w:r>
              <w:rPr>
                <w:rFonts w:ascii="方正书宋_GBK" w:eastAsia="方正书宋_GBK"/>
              </w:rPr>
              <w:t>-2</w:t>
            </w:r>
            <w:r>
              <w:rPr>
                <w:rFonts w:hint="eastAsia" w:ascii="方正书宋_GBK" w:eastAsia="方正书宋_GBK"/>
              </w:rPr>
              <w:t>次</w:t>
            </w:r>
          </w:p>
        </w:tc>
        <w:tc>
          <w:tcPr>
            <w:tcW w:w="737" w:type="dxa"/>
            <w:shd w:val="clear" w:color="auto" w:fill="auto"/>
            <w:vAlign w:val="center"/>
          </w:tcPr>
          <w:p>
            <w:pPr>
              <w:spacing w:line="300" w:lineRule="exact"/>
              <w:jc w:val="center"/>
              <w:rPr>
                <w:rFonts w:hint="eastAsia" w:ascii="方正书宋_GBK" w:eastAsia="方正书宋_GBK"/>
              </w:rPr>
            </w:pPr>
            <w:r>
              <w:rPr>
                <w:rFonts w:ascii="方正书宋_GBK" w:eastAsia="方正书宋_GBK"/>
              </w:rPr>
              <w:t>0</w:t>
            </w:r>
            <w:r>
              <w:rPr>
                <w:rFonts w:hint="eastAsia" w:ascii="方正书宋_GBK" w:eastAsia="方正书宋_GBK"/>
              </w:rPr>
              <w:t>次</w:t>
            </w:r>
          </w:p>
        </w:tc>
      </w:tr>
    </w:tbl>
    <w:p>
      <w:pPr>
        <w:autoSpaceDE w:val="0"/>
        <w:autoSpaceDN w:val="0"/>
        <w:adjustRightInd w:val="0"/>
        <w:jc w:val="left"/>
        <w:rPr>
          <w:rFonts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outlineLvl w:val="0"/>
        <w:rPr>
          <w:rFonts w:hint="eastAsia" w:ascii="仿宋" w:hAnsi="仿宋" w:eastAsia="仿宋" w:cs="仿宋"/>
          <w:sz w:val="32"/>
          <w:szCs w:val="32"/>
        </w:rPr>
      </w:pPr>
      <w:bookmarkStart w:id="2" w:name="_Toc471398468"/>
      <w:r>
        <w:rPr>
          <w:rFonts w:ascii="Times New Roman" w:hAnsi="Times New Roman" w:eastAsia="方正仿宋_GBK" w:cs="Times New Roman"/>
          <w:sz w:val="32"/>
          <w:szCs w:val="24"/>
        </w:rPr>
        <w:t xml:space="preserve">   </w:t>
      </w:r>
      <w:r>
        <w:rPr>
          <w:rFonts w:hint="eastAsia" w:ascii="仿宋" w:hAnsi="仿宋" w:eastAsia="仿宋" w:cs="仿宋"/>
          <w:sz w:val="32"/>
          <w:szCs w:val="32"/>
        </w:rPr>
        <w:t>2019年，我</w:t>
      </w:r>
      <w:r>
        <w:rPr>
          <w:rFonts w:hint="eastAsia" w:ascii="仿宋" w:hAnsi="仿宋" w:eastAsia="仿宋" w:cs="仿宋"/>
          <w:sz w:val="32"/>
          <w:szCs w:val="32"/>
          <w:lang w:eastAsia="zh-CN"/>
        </w:rPr>
        <w:t>单位</w:t>
      </w:r>
      <w:r>
        <w:rPr>
          <w:rFonts w:hint="eastAsia" w:ascii="仿宋" w:hAnsi="仿宋" w:eastAsia="仿宋" w:cs="仿宋"/>
          <w:sz w:val="32"/>
          <w:szCs w:val="32"/>
        </w:rPr>
        <w:t>安排政府采购预算</w:t>
      </w:r>
      <w:r>
        <w:rPr>
          <w:rFonts w:hint="eastAsia" w:ascii="仿宋" w:hAnsi="仿宋" w:eastAsia="仿宋" w:cs="仿宋"/>
          <w:sz w:val="32"/>
          <w:szCs w:val="32"/>
          <w:lang w:val="en-US" w:eastAsia="zh-CN"/>
        </w:rPr>
        <w:t>0</w:t>
      </w:r>
      <w:r>
        <w:rPr>
          <w:rFonts w:hint="eastAsia" w:ascii="仿宋" w:hAnsi="仿宋" w:eastAsia="仿宋" w:cs="仿宋"/>
          <w:sz w:val="32"/>
          <w:szCs w:val="32"/>
        </w:rPr>
        <w:t>万元，无政府采购相关计划，空表列</w:t>
      </w:r>
      <w:r>
        <w:rPr>
          <w:rFonts w:hint="eastAsia" w:ascii="仿宋" w:hAnsi="仿宋" w:eastAsia="仿宋"/>
          <w:color w:val="auto"/>
          <w:sz w:val="32"/>
          <w:szCs w:val="32"/>
          <w:highlight w:val="none"/>
        </w:rPr>
        <w:t>示</w:t>
      </w:r>
      <w:r>
        <w:rPr>
          <w:rFonts w:hint="eastAsia" w:ascii="仿宋" w:hAnsi="仿宋" w:eastAsia="仿宋" w:cs="仿宋"/>
          <w:sz w:val="32"/>
          <w:szCs w:val="32"/>
        </w:rPr>
        <w:t>。</w:t>
      </w:r>
    </w:p>
    <w:p>
      <w:pPr>
        <w:jc w:val="center"/>
        <w:outlineLvl w:val="0"/>
        <w:rPr>
          <w:rFonts w:ascii="方正小标宋_GBK" w:hAnsi="Times New Roman" w:eastAsia="方正小标宋_GBK" w:cs="Times New Roman"/>
          <w:sz w:val="32"/>
          <w:szCs w:val="24"/>
        </w:rPr>
      </w:pPr>
      <w:r>
        <w:rPr>
          <w:rFonts w:hint="eastAsia" w:ascii="方正小标宋_GBK" w:hAnsi="Times New Roman" w:eastAsia="方正小标宋_GBK" w:cs="Times New Roman"/>
          <w:sz w:val="32"/>
          <w:szCs w:val="24"/>
        </w:rPr>
        <w:t>部门政府采购预算</w:t>
      </w:r>
    </w:p>
    <w:tbl>
      <w:tblPr>
        <w:tblStyle w:val="8"/>
        <w:tblW w:w="0" w:type="auto"/>
        <w:tblInd w:w="0" w:type="dxa"/>
        <w:tblLayout w:type="fixed"/>
        <w:tblCellMar>
          <w:top w:w="15" w:type="dxa"/>
          <w:left w:w="15" w:type="dxa"/>
          <w:bottom w:w="15" w:type="dxa"/>
          <w:right w:w="15" w:type="dxa"/>
        </w:tblCellMar>
      </w:tblPr>
      <w:tblGrid>
        <w:gridCol w:w="1282"/>
        <w:gridCol w:w="1279"/>
        <w:gridCol w:w="1057"/>
        <w:gridCol w:w="1071"/>
        <w:gridCol w:w="736"/>
        <w:gridCol w:w="530"/>
        <w:gridCol w:w="665"/>
        <w:gridCol w:w="879"/>
        <w:gridCol w:w="1069"/>
        <w:gridCol w:w="1060"/>
        <w:gridCol w:w="1069"/>
        <w:gridCol w:w="1057"/>
        <w:gridCol w:w="1057"/>
        <w:gridCol w:w="1057"/>
      </w:tblGrid>
      <w:tr>
        <w:tblPrEx>
          <w:tblCellMar>
            <w:top w:w="15" w:type="dxa"/>
            <w:left w:w="15" w:type="dxa"/>
            <w:bottom w:w="15" w:type="dxa"/>
            <w:right w:w="15" w:type="dxa"/>
          </w:tblCellMar>
        </w:tblPrEx>
        <w:trPr>
          <w:trHeight w:val="285" w:hRule="atLeast"/>
        </w:trPr>
        <w:tc>
          <w:tcPr>
            <w:tcW w:w="2561"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政府采购项目来源</w:t>
            </w:r>
          </w:p>
        </w:tc>
        <w:tc>
          <w:tcPr>
            <w:tcW w:w="1057" w:type="dxa"/>
            <w:vMerge w:val="restart"/>
            <w:tcBorders>
              <w:top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采购物品名称</w:t>
            </w:r>
          </w:p>
        </w:tc>
        <w:tc>
          <w:tcPr>
            <w:tcW w:w="1071" w:type="dxa"/>
            <w:vMerge w:val="restart"/>
            <w:tcBorders>
              <w:top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政府采购目录序号</w:t>
            </w:r>
          </w:p>
        </w:tc>
        <w:tc>
          <w:tcPr>
            <w:tcW w:w="736" w:type="dxa"/>
            <w:vMerge w:val="restart"/>
            <w:tcBorders>
              <w:top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数量  单位</w:t>
            </w:r>
          </w:p>
        </w:tc>
        <w:tc>
          <w:tcPr>
            <w:tcW w:w="530" w:type="dxa"/>
            <w:vMerge w:val="restart"/>
            <w:tcBorders>
              <w:top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数量</w:t>
            </w:r>
          </w:p>
        </w:tc>
        <w:tc>
          <w:tcPr>
            <w:tcW w:w="665" w:type="dxa"/>
            <w:vMerge w:val="restart"/>
            <w:tcBorders>
              <w:top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单价</w:t>
            </w:r>
          </w:p>
        </w:tc>
        <w:tc>
          <w:tcPr>
            <w:tcW w:w="7248" w:type="dxa"/>
            <w:gridSpan w:val="7"/>
            <w:tcBorders>
              <w:top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政府采购金额</w:t>
            </w:r>
          </w:p>
        </w:tc>
      </w:tr>
      <w:tr>
        <w:tblPrEx>
          <w:tblCellMar>
            <w:top w:w="15" w:type="dxa"/>
            <w:left w:w="15" w:type="dxa"/>
            <w:bottom w:w="15" w:type="dxa"/>
            <w:right w:w="15" w:type="dxa"/>
          </w:tblCellMar>
        </w:tblPrEx>
        <w:trPr>
          <w:trHeight w:val="285" w:hRule="atLeast"/>
        </w:trPr>
        <w:tc>
          <w:tcPr>
            <w:tcW w:w="1282" w:type="dxa"/>
            <w:vMerge w:val="restart"/>
            <w:tcBorders>
              <w:left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项目名称</w:t>
            </w:r>
          </w:p>
        </w:tc>
        <w:tc>
          <w:tcPr>
            <w:tcW w:w="1279" w:type="dxa"/>
            <w:vMerge w:val="restart"/>
            <w:tcBorders>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预算资金</w:t>
            </w:r>
          </w:p>
        </w:tc>
        <w:tc>
          <w:tcPr>
            <w:tcW w:w="1057" w:type="dxa"/>
            <w:vMerge w:val="continue"/>
            <w:tcBorders>
              <w:top w:val="single" w:color="000000" w:sz="4" w:space="0"/>
              <w:bottom w:val="single" w:color="000000" w:sz="4" w:space="0"/>
              <w:right w:val="single" w:color="000000" w:sz="4" w:space="0"/>
            </w:tcBorders>
            <w:vAlign w:val="center"/>
          </w:tcPr>
          <w:p>
            <w:pPr>
              <w:jc w:val="center"/>
              <w:rPr>
                <w:rFonts w:ascii="方正书宋_GBK" w:hAnsi="方正书宋_GBK" w:eastAsia="方正书宋_GBK" w:cs="方正书宋_GBK"/>
                <w:b/>
                <w:color w:val="000000"/>
                <w:szCs w:val="21"/>
              </w:rPr>
            </w:pPr>
          </w:p>
        </w:tc>
        <w:tc>
          <w:tcPr>
            <w:tcW w:w="1071" w:type="dxa"/>
            <w:vMerge w:val="continue"/>
            <w:tcBorders>
              <w:top w:val="single" w:color="000000" w:sz="4" w:space="0"/>
              <w:bottom w:val="single" w:color="000000" w:sz="4" w:space="0"/>
              <w:right w:val="single" w:color="000000" w:sz="4" w:space="0"/>
            </w:tcBorders>
            <w:vAlign w:val="center"/>
          </w:tcPr>
          <w:p>
            <w:pPr>
              <w:jc w:val="center"/>
              <w:rPr>
                <w:rFonts w:ascii="方正书宋_GBK" w:hAnsi="方正书宋_GBK" w:eastAsia="方正书宋_GBK" w:cs="方正书宋_GBK"/>
                <w:b/>
                <w:color w:val="000000"/>
                <w:szCs w:val="21"/>
              </w:rPr>
            </w:pPr>
          </w:p>
        </w:tc>
        <w:tc>
          <w:tcPr>
            <w:tcW w:w="736" w:type="dxa"/>
            <w:vMerge w:val="continue"/>
            <w:tcBorders>
              <w:top w:val="single" w:color="000000" w:sz="4" w:space="0"/>
              <w:bottom w:val="single" w:color="000000" w:sz="4" w:space="0"/>
              <w:right w:val="single" w:color="000000" w:sz="4" w:space="0"/>
            </w:tcBorders>
            <w:vAlign w:val="center"/>
          </w:tcPr>
          <w:p>
            <w:pPr>
              <w:jc w:val="center"/>
              <w:rPr>
                <w:rFonts w:ascii="方正书宋_GBK" w:hAnsi="方正书宋_GBK" w:eastAsia="方正书宋_GBK" w:cs="方正书宋_GBK"/>
                <w:b/>
                <w:color w:val="000000"/>
                <w:szCs w:val="21"/>
              </w:rPr>
            </w:pPr>
          </w:p>
        </w:tc>
        <w:tc>
          <w:tcPr>
            <w:tcW w:w="530" w:type="dxa"/>
            <w:vMerge w:val="continue"/>
            <w:tcBorders>
              <w:top w:val="single" w:color="000000" w:sz="4" w:space="0"/>
              <w:bottom w:val="single" w:color="000000" w:sz="4" w:space="0"/>
              <w:right w:val="single" w:color="000000" w:sz="4" w:space="0"/>
            </w:tcBorders>
            <w:vAlign w:val="center"/>
          </w:tcPr>
          <w:p>
            <w:pPr>
              <w:jc w:val="center"/>
              <w:rPr>
                <w:rFonts w:ascii="方正书宋_GBK" w:hAnsi="方正书宋_GBK" w:eastAsia="方正书宋_GBK" w:cs="方正书宋_GBK"/>
                <w:b/>
                <w:color w:val="000000"/>
                <w:szCs w:val="21"/>
              </w:rPr>
            </w:pPr>
          </w:p>
        </w:tc>
        <w:tc>
          <w:tcPr>
            <w:tcW w:w="665" w:type="dxa"/>
            <w:vMerge w:val="continue"/>
            <w:tcBorders>
              <w:top w:val="single" w:color="000000" w:sz="4" w:space="0"/>
              <w:bottom w:val="single" w:color="000000" w:sz="4" w:space="0"/>
              <w:right w:val="single" w:color="000000" w:sz="4" w:space="0"/>
            </w:tcBorders>
            <w:vAlign w:val="center"/>
          </w:tcPr>
          <w:p>
            <w:pPr>
              <w:jc w:val="center"/>
              <w:rPr>
                <w:rFonts w:ascii="方正书宋_GBK" w:hAnsi="方正书宋_GBK" w:eastAsia="方正书宋_GBK" w:cs="方正书宋_GBK"/>
                <w:b/>
                <w:color w:val="000000"/>
                <w:szCs w:val="21"/>
              </w:rPr>
            </w:pPr>
          </w:p>
        </w:tc>
        <w:tc>
          <w:tcPr>
            <w:tcW w:w="879" w:type="dxa"/>
            <w:vMerge w:val="restart"/>
            <w:tcBorders>
              <w:top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总计</w:t>
            </w:r>
          </w:p>
        </w:tc>
        <w:tc>
          <w:tcPr>
            <w:tcW w:w="5312" w:type="dxa"/>
            <w:gridSpan w:val="5"/>
            <w:tcBorders>
              <w:top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当年部门预算安排资金</w:t>
            </w:r>
          </w:p>
        </w:tc>
        <w:tc>
          <w:tcPr>
            <w:tcW w:w="1057" w:type="dxa"/>
            <w:vMerge w:val="restart"/>
            <w:tcBorders>
              <w:top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其他渠道资金</w:t>
            </w:r>
          </w:p>
        </w:tc>
      </w:tr>
      <w:tr>
        <w:tblPrEx>
          <w:tblCellMar>
            <w:top w:w="15" w:type="dxa"/>
            <w:left w:w="15" w:type="dxa"/>
            <w:bottom w:w="15" w:type="dxa"/>
            <w:right w:w="15" w:type="dxa"/>
          </w:tblCellMar>
        </w:tblPrEx>
        <w:trPr>
          <w:trHeight w:val="510" w:hRule="atLeast"/>
        </w:trPr>
        <w:tc>
          <w:tcPr>
            <w:tcW w:w="1282" w:type="dxa"/>
            <w:vMerge w:val="continue"/>
            <w:tcBorders>
              <w:left w:val="single" w:color="000000" w:sz="4" w:space="0"/>
              <w:bottom w:val="single" w:color="000000" w:sz="4" w:space="0"/>
              <w:right w:val="single" w:color="000000" w:sz="4" w:space="0"/>
            </w:tcBorders>
            <w:vAlign w:val="center"/>
          </w:tcPr>
          <w:p>
            <w:pPr>
              <w:jc w:val="center"/>
              <w:rPr>
                <w:rFonts w:ascii="方正书宋_GBK" w:hAnsi="方正书宋_GBK" w:eastAsia="方正书宋_GBK" w:cs="方正书宋_GBK"/>
                <w:b/>
                <w:color w:val="000000"/>
                <w:szCs w:val="21"/>
              </w:rPr>
            </w:pPr>
          </w:p>
        </w:tc>
        <w:tc>
          <w:tcPr>
            <w:tcW w:w="1279" w:type="dxa"/>
            <w:vMerge w:val="continue"/>
            <w:tcBorders>
              <w:bottom w:val="single" w:color="000000" w:sz="4" w:space="0"/>
              <w:right w:val="single" w:color="000000" w:sz="4" w:space="0"/>
            </w:tcBorders>
            <w:vAlign w:val="center"/>
          </w:tcPr>
          <w:p>
            <w:pPr>
              <w:jc w:val="center"/>
              <w:rPr>
                <w:rFonts w:ascii="方正书宋_GBK" w:hAnsi="方正书宋_GBK" w:eastAsia="方正书宋_GBK" w:cs="方正书宋_GBK"/>
                <w:b/>
                <w:color w:val="000000"/>
                <w:szCs w:val="21"/>
              </w:rPr>
            </w:pPr>
          </w:p>
        </w:tc>
        <w:tc>
          <w:tcPr>
            <w:tcW w:w="1057" w:type="dxa"/>
            <w:vMerge w:val="continue"/>
            <w:tcBorders>
              <w:top w:val="single" w:color="000000" w:sz="4" w:space="0"/>
              <w:bottom w:val="single" w:color="000000" w:sz="4" w:space="0"/>
              <w:right w:val="single" w:color="000000" w:sz="4" w:space="0"/>
            </w:tcBorders>
            <w:vAlign w:val="center"/>
          </w:tcPr>
          <w:p>
            <w:pPr>
              <w:jc w:val="center"/>
              <w:rPr>
                <w:rFonts w:ascii="方正书宋_GBK" w:hAnsi="方正书宋_GBK" w:eastAsia="方正书宋_GBK" w:cs="方正书宋_GBK"/>
                <w:b/>
                <w:color w:val="000000"/>
                <w:szCs w:val="21"/>
              </w:rPr>
            </w:pPr>
          </w:p>
        </w:tc>
        <w:tc>
          <w:tcPr>
            <w:tcW w:w="1071" w:type="dxa"/>
            <w:vMerge w:val="continue"/>
            <w:tcBorders>
              <w:top w:val="single" w:color="000000" w:sz="4" w:space="0"/>
              <w:bottom w:val="single" w:color="000000" w:sz="4" w:space="0"/>
              <w:right w:val="single" w:color="000000" w:sz="4" w:space="0"/>
            </w:tcBorders>
            <w:vAlign w:val="center"/>
          </w:tcPr>
          <w:p>
            <w:pPr>
              <w:jc w:val="center"/>
              <w:rPr>
                <w:rFonts w:ascii="方正书宋_GBK" w:hAnsi="方正书宋_GBK" w:eastAsia="方正书宋_GBK" w:cs="方正书宋_GBK"/>
                <w:b/>
                <w:color w:val="000000"/>
                <w:szCs w:val="21"/>
              </w:rPr>
            </w:pPr>
          </w:p>
        </w:tc>
        <w:tc>
          <w:tcPr>
            <w:tcW w:w="736" w:type="dxa"/>
            <w:vMerge w:val="continue"/>
            <w:tcBorders>
              <w:top w:val="single" w:color="000000" w:sz="4" w:space="0"/>
              <w:bottom w:val="single" w:color="000000" w:sz="4" w:space="0"/>
              <w:right w:val="single" w:color="000000" w:sz="4" w:space="0"/>
            </w:tcBorders>
            <w:vAlign w:val="center"/>
          </w:tcPr>
          <w:p>
            <w:pPr>
              <w:jc w:val="center"/>
              <w:rPr>
                <w:rFonts w:ascii="方正书宋_GBK" w:hAnsi="方正书宋_GBK" w:eastAsia="方正书宋_GBK" w:cs="方正书宋_GBK"/>
                <w:b/>
                <w:color w:val="000000"/>
                <w:szCs w:val="21"/>
              </w:rPr>
            </w:pPr>
          </w:p>
        </w:tc>
        <w:tc>
          <w:tcPr>
            <w:tcW w:w="530" w:type="dxa"/>
            <w:vMerge w:val="continue"/>
            <w:tcBorders>
              <w:top w:val="single" w:color="000000" w:sz="4" w:space="0"/>
              <w:bottom w:val="single" w:color="000000" w:sz="4" w:space="0"/>
              <w:right w:val="single" w:color="000000" w:sz="4" w:space="0"/>
            </w:tcBorders>
            <w:vAlign w:val="center"/>
          </w:tcPr>
          <w:p>
            <w:pPr>
              <w:jc w:val="center"/>
              <w:rPr>
                <w:rFonts w:ascii="方正书宋_GBK" w:hAnsi="方正书宋_GBK" w:eastAsia="方正书宋_GBK" w:cs="方正书宋_GBK"/>
                <w:b/>
                <w:color w:val="000000"/>
                <w:szCs w:val="21"/>
              </w:rPr>
            </w:pPr>
          </w:p>
        </w:tc>
        <w:tc>
          <w:tcPr>
            <w:tcW w:w="665" w:type="dxa"/>
            <w:vMerge w:val="continue"/>
            <w:tcBorders>
              <w:top w:val="single" w:color="000000" w:sz="4" w:space="0"/>
              <w:bottom w:val="single" w:color="000000" w:sz="4" w:space="0"/>
              <w:right w:val="single" w:color="000000" w:sz="4" w:space="0"/>
            </w:tcBorders>
            <w:vAlign w:val="center"/>
          </w:tcPr>
          <w:p>
            <w:pPr>
              <w:jc w:val="center"/>
              <w:rPr>
                <w:rFonts w:ascii="方正书宋_GBK" w:hAnsi="方正书宋_GBK" w:eastAsia="方正书宋_GBK" w:cs="方正书宋_GBK"/>
                <w:b/>
                <w:color w:val="000000"/>
                <w:szCs w:val="21"/>
              </w:rPr>
            </w:pPr>
          </w:p>
        </w:tc>
        <w:tc>
          <w:tcPr>
            <w:tcW w:w="879" w:type="dxa"/>
            <w:vMerge w:val="continue"/>
            <w:tcBorders>
              <w:top w:val="single" w:color="000000" w:sz="4" w:space="0"/>
              <w:bottom w:val="single" w:color="000000" w:sz="4" w:space="0"/>
              <w:right w:val="single" w:color="000000" w:sz="4" w:space="0"/>
            </w:tcBorders>
            <w:vAlign w:val="center"/>
          </w:tcPr>
          <w:p>
            <w:pPr>
              <w:jc w:val="center"/>
              <w:rPr>
                <w:rFonts w:ascii="方正书宋_GBK" w:hAnsi="方正书宋_GBK" w:eastAsia="方正书宋_GBK" w:cs="方正书宋_GBK"/>
                <w:b/>
                <w:color w:val="000000"/>
                <w:szCs w:val="21"/>
              </w:rPr>
            </w:pPr>
          </w:p>
        </w:tc>
        <w:tc>
          <w:tcPr>
            <w:tcW w:w="1069" w:type="dxa"/>
            <w:tcBorders>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合计</w:t>
            </w:r>
          </w:p>
        </w:tc>
        <w:tc>
          <w:tcPr>
            <w:tcW w:w="1060" w:type="dxa"/>
            <w:tcBorders>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一般公共预算拨款</w:t>
            </w:r>
          </w:p>
        </w:tc>
        <w:tc>
          <w:tcPr>
            <w:tcW w:w="1069" w:type="dxa"/>
            <w:tcBorders>
              <w:top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基金预算拨款</w:t>
            </w:r>
          </w:p>
        </w:tc>
        <w:tc>
          <w:tcPr>
            <w:tcW w:w="1057" w:type="dxa"/>
            <w:tcBorders>
              <w:top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财政专户核拨</w:t>
            </w:r>
          </w:p>
        </w:tc>
        <w:tc>
          <w:tcPr>
            <w:tcW w:w="1057" w:type="dxa"/>
            <w:tcBorders>
              <w:top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其他来源收入</w:t>
            </w:r>
          </w:p>
        </w:tc>
        <w:tc>
          <w:tcPr>
            <w:tcW w:w="1057" w:type="dxa"/>
            <w:vMerge w:val="continue"/>
            <w:tcBorders>
              <w:top w:val="single" w:color="000000" w:sz="4" w:space="0"/>
              <w:bottom w:val="single" w:color="000000" w:sz="4" w:space="0"/>
              <w:right w:val="single" w:color="000000" w:sz="4" w:space="0"/>
            </w:tcBorders>
            <w:vAlign w:val="center"/>
          </w:tcPr>
          <w:p>
            <w:pPr>
              <w:jc w:val="center"/>
              <w:rPr>
                <w:rFonts w:ascii="方正书宋_GBK" w:hAnsi="方正书宋_GBK" w:eastAsia="方正书宋_GBK" w:cs="方正书宋_GBK"/>
                <w:b/>
                <w:color w:val="000000"/>
                <w:szCs w:val="21"/>
              </w:rPr>
            </w:pPr>
          </w:p>
        </w:tc>
      </w:tr>
      <w:tr>
        <w:tblPrEx>
          <w:tblCellMar>
            <w:top w:w="15" w:type="dxa"/>
            <w:left w:w="15" w:type="dxa"/>
            <w:bottom w:w="15" w:type="dxa"/>
            <w:right w:w="15" w:type="dxa"/>
          </w:tblCellMar>
        </w:tblPrEx>
        <w:trPr>
          <w:trHeight w:val="285" w:hRule="atLeast"/>
        </w:trPr>
        <w:tc>
          <w:tcPr>
            <w:tcW w:w="1282"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合　计</w:t>
            </w:r>
          </w:p>
        </w:tc>
        <w:tc>
          <w:tcPr>
            <w:tcW w:w="1279" w:type="dxa"/>
            <w:tcBorders>
              <w:top w:val="single" w:color="000000" w:sz="4" w:space="0"/>
              <w:bottom w:val="single" w:color="000000" w:sz="4" w:space="0"/>
              <w:right w:val="single" w:color="000000" w:sz="4" w:space="0"/>
            </w:tcBorders>
            <w:vAlign w:val="center"/>
          </w:tcPr>
          <w:p>
            <w:pPr>
              <w:jc w:val="right"/>
              <w:rPr>
                <w:rFonts w:hint="eastAsia" w:ascii="方正书宋_GBK" w:hAnsi="方正书宋_GBK" w:eastAsia="方正书宋_GBK" w:cs="方正书宋_GBK"/>
                <w:b/>
                <w:color w:val="000000"/>
                <w:szCs w:val="21"/>
                <w:lang w:val="en-US" w:eastAsia="zh-CN"/>
              </w:rPr>
            </w:pPr>
            <w:r>
              <w:rPr>
                <w:rFonts w:hint="eastAsia" w:ascii="方正书宋_GBK" w:hAnsi="方正书宋_GBK" w:eastAsia="方正书宋_GBK" w:cs="方正书宋_GBK"/>
                <w:b/>
                <w:color w:val="000000"/>
                <w:szCs w:val="21"/>
                <w:lang w:val="en-US" w:eastAsia="zh-CN"/>
              </w:rPr>
              <w:t>0</w:t>
            </w:r>
          </w:p>
        </w:tc>
        <w:tc>
          <w:tcPr>
            <w:tcW w:w="1057" w:type="dxa"/>
            <w:tcBorders>
              <w:top w:val="single" w:color="000000" w:sz="4" w:space="0"/>
              <w:bottom w:val="single" w:color="000000" w:sz="4" w:space="0"/>
              <w:right w:val="single" w:color="000000" w:sz="4" w:space="0"/>
            </w:tcBorders>
            <w:vAlign w:val="center"/>
          </w:tcPr>
          <w:p>
            <w:pPr>
              <w:jc w:val="left"/>
              <w:rPr>
                <w:rFonts w:hint="eastAsia" w:ascii="方正书宋_GBK" w:hAnsi="方正书宋_GBK" w:eastAsia="方正书宋_GBK" w:cs="方正书宋_GBK"/>
                <w:b/>
                <w:color w:val="000000"/>
                <w:szCs w:val="21"/>
                <w:lang w:val="en-US" w:eastAsia="zh-CN"/>
              </w:rPr>
            </w:pPr>
            <w:r>
              <w:rPr>
                <w:rFonts w:hint="eastAsia" w:ascii="方正书宋_GBK" w:hAnsi="方正书宋_GBK" w:eastAsia="方正书宋_GBK" w:cs="方正书宋_GBK"/>
                <w:b/>
                <w:color w:val="000000"/>
                <w:szCs w:val="21"/>
                <w:lang w:val="en-US" w:eastAsia="zh-CN"/>
              </w:rPr>
              <w:t>0</w:t>
            </w:r>
          </w:p>
        </w:tc>
        <w:tc>
          <w:tcPr>
            <w:tcW w:w="1071" w:type="dxa"/>
            <w:tcBorders>
              <w:top w:val="single" w:color="000000" w:sz="4" w:space="0"/>
              <w:bottom w:val="single" w:color="000000" w:sz="4" w:space="0"/>
              <w:right w:val="single" w:color="000000" w:sz="4" w:space="0"/>
            </w:tcBorders>
            <w:vAlign w:val="center"/>
          </w:tcPr>
          <w:p>
            <w:pPr>
              <w:jc w:val="left"/>
              <w:rPr>
                <w:rFonts w:hint="eastAsia" w:ascii="方正书宋_GBK" w:hAnsi="方正书宋_GBK" w:eastAsia="方正书宋_GBK" w:cs="方正书宋_GBK"/>
                <w:b/>
                <w:color w:val="000000"/>
                <w:szCs w:val="21"/>
                <w:lang w:val="en-US" w:eastAsia="zh-CN"/>
              </w:rPr>
            </w:pPr>
            <w:r>
              <w:rPr>
                <w:rFonts w:hint="eastAsia" w:ascii="方正书宋_GBK" w:hAnsi="方正书宋_GBK" w:eastAsia="方正书宋_GBK" w:cs="方正书宋_GBK"/>
                <w:b/>
                <w:color w:val="000000"/>
                <w:szCs w:val="21"/>
                <w:lang w:val="en-US" w:eastAsia="zh-CN"/>
              </w:rPr>
              <w:t>0</w:t>
            </w:r>
          </w:p>
        </w:tc>
        <w:tc>
          <w:tcPr>
            <w:tcW w:w="736" w:type="dxa"/>
            <w:tcBorders>
              <w:top w:val="single" w:color="000000" w:sz="4" w:space="0"/>
              <w:bottom w:val="single" w:color="000000" w:sz="4" w:space="0"/>
              <w:right w:val="single" w:color="000000" w:sz="4" w:space="0"/>
            </w:tcBorders>
            <w:vAlign w:val="center"/>
          </w:tcPr>
          <w:p>
            <w:pPr>
              <w:jc w:val="left"/>
              <w:rPr>
                <w:rFonts w:hint="eastAsia" w:ascii="方正书宋_GBK" w:hAnsi="方正书宋_GBK" w:eastAsia="方正书宋_GBK" w:cs="方正书宋_GBK"/>
                <w:b/>
                <w:color w:val="000000"/>
                <w:szCs w:val="21"/>
                <w:lang w:val="en-US" w:eastAsia="zh-CN"/>
              </w:rPr>
            </w:pPr>
            <w:r>
              <w:rPr>
                <w:rFonts w:hint="eastAsia" w:ascii="方正书宋_GBK" w:hAnsi="方正书宋_GBK" w:eastAsia="方正书宋_GBK" w:cs="方正书宋_GBK"/>
                <w:b/>
                <w:color w:val="000000"/>
                <w:szCs w:val="21"/>
                <w:lang w:val="en-US" w:eastAsia="zh-CN"/>
              </w:rPr>
              <w:t>0</w:t>
            </w:r>
          </w:p>
        </w:tc>
        <w:tc>
          <w:tcPr>
            <w:tcW w:w="530" w:type="dxa"/>
            <w:tcBorders>
              <w:top w:val="single" w:color="000000" w:sz="4" w:space="0"/>
              <w:bottom w:val="single" w:color="000000" w:sz="4" w:space="0"/>
              <w:right w:val="single" w:color="000000" w:sz="4" w:space="0"/>
            </w:tcBorders>
            <w:vAlign w:val="center"/>
          </w:tcPr>
          <w:p>
            <w:pPr>
              <w:jc w:val="right"/>
              <w:rPr>
                <w:rFonts w:hint="eastAsia" w:ascii="方正书宋_GBK" w:hAnsi="方正书宋_GBK" w:eastAsia="方正书宋_GBK" w:cs="方正书宋_GBK"/>
                <w:b/>
                <w:color w:val="000000"/>
                <w:szCs w:val="21"/>
                <w:lang w:val="en-US" w:eastAsia="zh-CN"/>
              </w:rPr>
            </w:pPr>
            <w:r>
              <w:rPr>
                <w:rFonts w:hint="eastAsia" w:ascii="方正书宋_GBK" w:hAnsi="方正书宋_GBK" w:eastAsia="方正书宋_GBK" w:cs="方正书宋_GBK"/>
                <w:b/>
                <w:color w:val="000000"/>
                <w:szCs w:val="21"/>
                <w:lang w:val="en-US" w:eastAsia="zh-CN"/>
              </w:rPr>
              <w:t>0</w:t>
            </w:r>
          </w:p>
        </w:tc>
        <w:tc>
          <w:tcPr>
            <w:tcW w:w="665" w:type="dxa"/>
            <w:tcBorders>
              <w:top w:val="single" w:color="000000" w:sz="4" w:space="0"/>
              <w:bottom w:val="single" w:color="000000" w:sz="4" w:space="0"/>
              <w:right w:val="single" w:color="000000" w:sz="4" w:space="0"/>
            </w:tcBorders>
            <w:vAlign w:val="center"/>
          </w:tcPr>
          <w:p>
            <w:pPr>
              <w:jc w:val="right"/>
              <w:rPr>
                <w:rFonts w:hint="eastAsia" w:ascii="方正书宋_GBK" w:hAnsi="方正书宋_GBK" w:eastAsia="方正书宋_GBK" w:cs="方正书宋_GBK"/>
                <w:b/>
                <w:color w:val="000000"/>
                <w:szCs w:val="21"/>
                <w:lang w:val="en-US" w:eastAsia="zh-CN"/>
              </w:rPr>
            </w:pPr>
            <w:r>
              <w:rPr>
                <w:rFonts w:hint="eastAsia" w:ascii="方正书宋_GBK" w:hAnsi="方正书宋_GBK" w:eastAsia="方正书宋_GBK" w:cs="方正书宋_GBK"/>
                <w:b/>
                <w:color w:val="000000"/>
                <w:szCs w:val="21"/>
                <w:lang w:val="en-US" w:eastAsia="zh-CN"/>
              </w:rPr>
              <w:t>0</w:t>
            </w:r>
          </w:p>
        </w:tc>
        <w:tc>
          <w:tcPr>
            <w:tcW w:w="879" w:type="dxa"/>
            <w:tcBorders>
              <w:top w:val="single" w:color="000000" w:sz="4" w:space="0"/>
              <w:bottom w:val="single" w:color="000000" w:sz="4" w:space="0"/>
              <w:right w:val="single" w:color="000000" w:sz="4" w:space="0"/>
            </w:tcBorders>
            <w:vAlign w:val="center"/>
          </w:tcPr>
          <w:p>
            <w:pPr>
              <w:widowControl/>
              <w:jc w:val="right"/>
              <w:textAlignment w:val="center"/>
              <w:rPr>
                <w:rFonts w:hint="eastAsia" w:ascii="方正书宋_GBK" w:hAnsi="方正书宋_GBK" w:eastAsia="方正书宋_GBK" w:cs="方正书宋_GBK"/>
                <w:b/>
                <w:color w:val="000000"/>
                <w:szCs w:val="21"/>
                <w:lang w:val="en-US" w:eastAsia="zh-CN"/>
              </w:rPr>
            </w:pPr>
            <w:r>
              <w:rPr>
                <w:rFonts w:hint="eastAsia" w:ascii="方正书宋_GBK" w:hAnsi="方正书宋_GBK" w:eastAsia="方正书宋_GBK" w:cs="方正书宋_GBK"/>
                <w:b/>
                <w:color w:val="000000"/>
                <w:szCs w:val="21"/>
                <w:lang w:val="en-US" w:eastAsia="zh-CN"/>
              </w:rPr>
              <w:t>0</w:t>
            </w:r>
          </w:p>
        </w:tc>
        <w:tc>
          <w:tcPr>
            <w:tcW w:w="1069" w:type="dxa"/>
            <w:tcBorders>
              <w:top w:val="single" w:color="000000" w:sz="4" w:space="0"/>
              <w:bottom w:val="single" w:color="000000" w:sz="4" w:space="0"/>
              <w:right w:val="single" w:color="000000" w:sz="4" w:space="0"/>
            </w:tcBorders>
            <w:vAlign w:val="center"/>
          </w:tcPr>
          <w:p>
            <w:pPr>
              <w:widowControl/>
              <w:jc w:val="right"/>
              <w:textAlignment w:val="center"/>
              <w:rPr>
                <w:rFonts w:hint="eastAsia" w:ascii="方正书宋_GBK" w:hAnsi="方正书宋_GBK" w:eastAsia="方正书宋_GBK" w:cs="方正书宋_GBK"/>
                <w:b/>
                <w:color w:val="000000"/>
                <w:szCs w:val="21"/>
                <w:lang w:val="en-US" w:eastAsia="zh-CN"/>
              </w:rPr>
            </w:pPr>
            <w:r>
              <w:rPr>
                <w:rFonts w:hint="eastAsia" w:ascii="方正书宋_GBK" w:hAnsi="方正书宋_GBK" w:eastAsia="方正书宋_GBK" w:cs="方正书宋_GBK"/>
                <w:b/>
                <w:color w:val="000000"/>
                <w:szCs w:val="21"/>
                <w:lang w:val="en-US" w:eastAsia="zh-CN"/>
              </w:rPr>
              <w:t>0</w:t>
            </w:r>
          </w:p>
        </w:tc>
        <w:tc>
          <w:tcPr>
            <w:tcW w:w="1060" w:type="dxa"/>
            <w:tcBorders>
              <w:top w:val="single" w:color="000000" w:sz="4" w:space="0"/>
              <w:bottom w:val="single" w:color="000000" w:sz="4" w:space="0"/>
              <w:right w:val="single" w:color="000000" w:sz="4" w:space="0"/>
            </w:tcBorders>
            <w:vAlign w:val="center"/>
          </w:tcPr>
          <w:p>
            <w:pPr>
              <w:widowControl/>
              <w:jc w:val="right"/>
              <w:textAlignment w:val="center"/>
              <w:rPr>
                <w:rFonts w:hint="eastAsia" w:ascii="方正书宋_GBK" w:hAnsi="方正书宋_GBK" w:eastAsia="方正书宋_GBK" w:cs="方正书宋_GBK"/>
                <w:b/>
                <w:color w:val="000000"/>
                <w:szCs w:val="21"/>
                <w:lang w:val="en-US" w:eastAsia="zh-CN"/>
              </w:rPr>
            </w:pPr>
            <w:r>
              <w:rPr>
                <w:rFonts w:hint="eastAsia" w:ascii="方正书宋_GBK" w:hAnsi="方正书宋_GBK" w:eastAsia="方正书宋_GBK" w:cs="方正书宋_GBK"/>
                <w:b/>
                <w:color w:val="000000"/>
                <w:szCs w:val="21"/>
                <w:lang w:val="en-US" w:eastAsia="zh-CN"/>
              </w:rPr>
              <w:t>0</w:t>
            </w:r>
          </w:p>
        </w:tc>
        <w:tc>
          <w:tcPr>
            <w:tcW w:w="1069" w:type="dxa"/>
            <w:tcBorders>
              <w:top w:val="single" w:color="000000" w:sz="4" w:space="0"/>
              <w:bottom w:val="single" w:color="000000" w:sz="4" w:space="0"/>
              <w:right w:val="single" w:color="000000" w:sz="4" w:space="0"/>
            </w:tcBorders>
            <w:vAlign w:val="center"/>
          </w:tcPr>
          <w:p>
            <w:pPr>
              <w:widowControl/>
              <w:jc w:val="right"/>
              <w:textAlignment w:val="center"/>
              <w:rPr>
                <w:rFonts w:hint="eastAsia" w:ascii="方正书宋_GBK" w:hAnsi="方正书宋_GBK" w:eastAsia="方正书宋_GBK" w:cs="方正书宋_GBK"/>
                <w:b/>
                <w:color w:val="000000"/>
                <w:szCs w:val="21"/>
                <w:lang w:val="en-US" w:eastAsia="zh-CN"/>
              </w:rPr>
            </w:pPr>
            <w:r>
              <w:rPr>
                <w:rFonts w:hint="eastAsia" w:ascii="方正书宋_GBK" w:hAnsi="方正书宋_GBK" w:eastAsia="方正书宋_GBK" w:cs="方正书宋_GBK"/>
                <w:b/>
                <w:color w:val="000000"/>
                <w:szCs w:val="21"/>
                <w:lang w:val="en-US" w:eastAsia="zh-CN"/>
              </w:rPr>
              <w:t>0</w:t>
            </w:r>
          </w:p>
        </w:tc>
        <w:tc>
          <w:tcPr>
            <w:tcW w:w="1057" w:type="dxa"/>
            <w:tcBorders>
              <w:top w:val="single" w:color="000000" w:sz="4" w:space="0"/>
              <w:bottom w:val="single" w:color="000000" w:sz="4" w:space="0"/>
              <w:right w:val="single" w:color="000000" w:sz="4" w:space="0"/>
            </w:tcBorders>
            <w:vAlign w:val="center"/>
          </w:tcPr>
          <w:p>
            <w:pPr>
              <w:jc w:val="right"/>
              <w:rPr>
                <w:rFonts w:hint="eastAsia" w:ascii="方正书宋_GBK" w:hAnsi="方正书宋_GBK" w:eastAsia="方正书宋_GBK" w:cs="方正书宋_GBK"/>
                <w:b/>
                <w:color w:val="000000"/>
                <w:szCs w:val="21"/>
                <w:lang w:val="en-US" w:eastAsia="zh-CN"/>
              </w:rPr>
            </w:pPr>
            <w:r>
              <w:rPr>
                <w:rFonts w:hint="eastAsia" w:ascii="方正书宋_GBK" w:hAnsi="方正书宋_GBK" w:eastAsia="方正书宋_GBK" w:cs="方正书宋_GBK"/>
                <w:b/>
                <w:color w:val="000000"/>
                <w:szCs w:val="21"/>
                <w:lang w:val="en-US" w:eastAsia="zh-CN"/>
              </w:rPr>
              <w:t>0</w:t>
            </w:r>
          </w:p>
        </w:tc>
        <w:tc>
          <w:tcPr>
            <w:tcW w:w="1057" w:type="dxa"/>
            <w:tcBorders>
              <w:top w:val="single" w:color="000000" w:sz="4" w:space="0"/>
              <w:bottom w:val="single" w:color="000000" w:sz="4" w:space="0"/>
              <w:right w:val="single" w:color="000000" w:sz="4" w:space="0"/>
            </w:tcBorders>
            <w:vAlign w:val="center"/>
          </w:tcPr>
          <w:p>
            <w:pPr>
              <w:jc w:val="right"/>
              <w:rPr>
                <w:rFonts w:hint="eastAsia" w:ascii="方正书宋_GBK" w:hAnsi="方正书宋_GBK" w:eastAsia="方正书宋_GBK" w:cs="方正书宋_GBK"/>
                <w:b/>
                <w:color w:val="000000"/>
                <w:szCs w:val="21"/>
                <w:lang w:val="en-US" w:eastAsia="zh-CN"/>
              </w:rPr>
            </w:pPr>
            <w:r>
              <w:rPr>
                <w:rFonts w:hint="eastAsia" w:ascii="方正书宋_GBK" w:hAnsi="方正书宋_GBK" w:eastAsia="方正书宋_GBK" w:cs="方正书宋_GBK"/>
                <w:b/>
                <w:color w:val="000000"/>
                <w:szCs w:val="21"/>
                <w:lang w:val="en-US" w:eastAsia="zh-CN"/>
              </w:rPr>
              <w:t>0</w:t>
            </w:r>
          </w:p>
        </w:tc>
        <w:tc>
          <w:tcPr>
            <w:tcW w:w="1057" w:type="dxa"/>
            <w:tcBorders>
              <w:top w:val="single" w:color="000000" w:sz="4" w:space="0"/>
              <w:bottom w:val="single" w:color="000000" w:sz="4" w:space="0"/>
              <w:right w:val="single" w:color="000000" w:sz="4" w:space="0"/>
            </w:tcBorders>
            <w:vAlign w:val="center"/>
          </w:tcPr>
          <w:p>
            <w:pPr>
              <w:jc w:val="right"/>
              <w:rPr>
                <w:rFonts w:hint="eastAsia" w:ascii="方正书宋_GBK" w:hAnsi="方正书宋_GBK" w:eastAsia="方正书宋_GBK" w:cs="方正书宋_GBK"/>
                <w:b/>
                <w:color w:val="000000"/>
                <w:szCs w:val="21"/>
                <w:lang w:val="en-US" w:eastAsia="zh-CN"/>
              </w:rPr>
            </w:pPr>
            <w:r>
              <w:rPr>
                <w:rFonts w:hint="eastAsia" w:ascii="方正书宋_GBK" w:hAnsi="方正书宋_GBK" w:eastAsia="方正书宋_GBK" w:cs="方正书宋_GBK"/>
                <w:b/>
                <w:color w:val="000000"/>
                <w:szCs w:val="21"/>
                <w:lang w:val="en-US" w:eastAsia="zh-CN"/>
              </w:rPr>
              <w:t>0</w:t>
            </w:r>
          </w:p>
        </w:tc>
      </w:tr>
      <w:tr>
        <w:tblPrEx>
          <w:tblCellMar>
            <w:top w:w="15" w:type="dxa"/>
            <w:left w:w="15" w:type="dxa"/>
            <w:bottom w:w="15" w:type="dxa"/>
            <w:right w:w="15" w:type="dxa"/>
          </w:tblCellMar>
        </w:tblPrEx>
        <w:trPr>
          <w:trHeight w:val="65" w:hRule="atLeast"/>
        </w:trPr>
        <w:tc>
          <w:tcPr>
            <w:tcW w:w="1282" w:type="dxa"/>
            <w:tcBorders>
              <w:left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p>
        </w:tc>
        <w:tc>
          <w:tcPr>
            <w:tcW w:w="1279" w:type="dxa"/>
            <w:tcBorders>
              <w:bottom w:val="single" w:color="000000" w:sz="4" w:space="0"/>
              <w:right w:val="single" w:color="000000" w:sz="4" w:space="0"/>
            </w:tcBorders>
            <w:vAlign w:val="center"/>
          </w:tcPr>
          <w:p>
            <w:pPr>
              <w:jc w:val="right"/>
              <w:rPr>
                <w:rFonts w:ascii="方正书宋_GBK" w:hAnsi="方正书宋_GBK" w:eastAsia="方正书宋_GBK" w:cs="方正书宋_GBK"/>
                <w:b/>
                <w:color w:val="000000"/>
                <w:szCs w:val="21"/>
              </w:rPr>
            </w:pPr>
          </w:p>
        </w:tc>
        <w:tc>
          <w:tcPr>
            <w:tcW w:w="1057" w:type="dxa"/>
            <w:tcBorders>
              <w:bottom w:val="single" w:color="000000" w:sz="4" w:space="0"/>
              <w:right w:val="single" w:color="000000" w:sz="4" w:space="0"/>
            </w:tcBorders>
            <w:vAlign w:val="center"/>
          </w:tcPr>
          <w:p>
            <w:pPr>
              <w:jc w:val="left"/>
              <w:rPr>
                <w:rFonts w:ascii="方正书宋_GBK" w:hAnsi="方正书宋_GBK" w:eastAsia="方正书宋_GBK" w:cs="方正书宋_GBK"/>
                <w:b/>
                <w:color w:val="000000"/>
                <w:szCs w:val="21"/>
              </w:rPr>
            </w:pPr>
          </w:p>
        </w:tc>
        <w:tc>
          <w:tcPr>
            <w:tcW w:w="1071" w:type="dxa"/>
            <w:tcBorders>
              <w:bottom w:val="single" w:color="000000" w:sz="4" w:space="0"/>
              <w:right w:val="single" w:color="000000" w:sz="4" w:space="0"/>
            </w:tcBorders>
            <w:vAlign w:val="center"/>
          </w:tcPr>
          <w:p>
            <w:pPr>
              <w:jc w:val="left"/>
              <w:rPr>
                <w:rFonts w:ascii="方正书宋_GBK" w:hAnsi="方正书宋_GBK" w:eastAsia="方正书宋_GBK" w:cs="方正书宋_GBK"/>
                <w:b/>
                <w:color w:val="000000"/>
                <w:szCs w:val="21"/>
              </w:rPr>
            </w:pPr>
          </w:p>
        </w:tc>
        <w:tc>
          <w:tcPr>
            <w:tcW w:w="736" w:type="dxa"/>
            <w:tcBorders>
              <w:bottom w:val="single" w:color="000000" w:sz="4" w:space="0"/>
              <w:right w:val="single" w:color="000000" w:sz="4" w:space="0"/>
            </w:tcBorders>
            <w:vAlign w:val="center"/>
          </w:tcPr>
          <w:p>
            <w:pPr>
              <w:jc w:val="left"/>
              <w:rPr>
                <w:rFonts w:ascii="方正书宋_GBK" w:hAnsi="方正书宋_GBK" w:eastAsia="方正书宋_GBK" w:cs="方正书宋_GBK"/>
                <w:b/>
                <w:color w:val="000000"/>
                <w:szCs w:val="21"/>
              </w:rPr>
            </w:pPr>
          </w:p>
        </w:tc>
        <w:tc>
          <w:tcPr>
            <w:tcW w:w="530" w:type="dxa"/>
            <w:tcBorders>
              <w:bottom w:val="single" w:color="000000" w:sz="4" w:space="0"/>
              <w:right w:val="single" w:color="000000" w:sz="4" w:space="0"/>
            </w:tcBorders>
            <w:vAlign w:val="center"/>
          </w:tcPr>
          <w:p>
            <w:pPr>
              <w:jc w:val="right"/>
              <w:rPr>
                <w:rFonts w:ascii="方正书宋_GBK" w:hAnsi="方正书宋_GBK" w:eastAsia="方正书宋_GBK" w:cs="方正书宋_GBK"/>
                <w:b/>
                <w:color w:val="000000"/>
                <w:szCs w:val="21"/>
              </w:rPr>
            </w:pPr>
          </w:p>
        </w:tc>
        <w:tc>
          <w:tcPr>
            <w:tcW w:w="665" w:type="dxa"/>
            <w:tcBorders>
              <w:bottom w:val="single" w:color="000000" w:sz="4" w:space="0"/>
              <w:right w:val="single" w:color="000000" w:sz="4" w:space="0"/>
            </w:tcBorders>
            <w:vAlign w:val="center"/>
          </w:tcPr>
          <w:p>
            <w:pPr>
              <w:jc w:val="right"/>
              <w:rPr>
                <w:rFonts w:ascii="方正书宋_GBK" w:hAnsi="方正书宋_GBK" w:eastAsia="方正书宋_GBK" w:cs="方正书宋_GBK"/>
                <w:b/>
                <w:color w:val="000000"/>
                <w:szCs w:val="21"/>
              </w:rPr>
            </w:pPr>
          </w:p>
        </w:tc>
        <w:tc>
          <w:tcPr>
            <w:tcW w:w="879"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b/>
                <w:color w:val="000000"/>
                <w:szCs w:val="21"/>
              </w:rPr>
            </w:pPr>
          </w:p>
        </w:tc>
        <w:tc>
          <w:tcPr>
            <w:tcW w:w="1069"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b/>
                <w:color w:val="000000"/>
                <w:szCs w:val="21"/>
              </w:rPr>
            </w:pPr>
          </w:p>
        </w:tc>
        <w:tc>
          <w:tcPr>
            <w:tcW w:w="1060"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b/>
                <w:color w:val="000000"/>
                <w:szCs w:val="21"/>
              </w:rPr>
            </w:pPr>
          </w:p>
        </w:tc>
        <w:tc>
          <w:tcPr>
            <w:tcW w:w="1069" w:type="dxa"/>
            <w:tcBorders>
              <w:bottom w:val="single" w:color="000000" w:sz="4" w:space="0"/>
              <w:right w:val="single" w:color="000000" w:sz="4" w:space="0"/>
            </w:tcBorders>
            <w:vAlign w:val="center"/>
          </w:tcPr>
          <w:p>
            <w:pPr>
              <w:jc w:val="right"/>
              <w:rPr>
                <w:rFonts w:ascii="方正书宋_GBK" w:hAnsi="方正书宋_GBK" w:eastAsia="方正书宋_GBK" w:cs="方正书宋_GBK"/>
                <w:b/>
                <w:color w:val="000000"/>
                <w:szCs w:val="21"/>
              </w:rPr>
            </w:pPr>
          </w:p>
        </w:tc>
        <w:tc>
          <w:tcPr>
            <w:tcW w:w="1057" w:type="dxa"/>
            <w:tcBorders>
              <w:bottom w:val="single" w:color="000000" w:sz="4" w:space="0"/>
              <w:right w:val="single" w:color="000000" w:sz="4" w:space="0"/>
            </w:tcBorders>
            <w:vAlign w:val="center"/>
          </w:tcPr>
          <w:p>
            <w:pPr>
              <w:jc w:val="right"/>
              <w:rPr>
                <w:rFonts w:ascii="方正书宋_GBK" w:hAnsi="方正书宋_GBK" w:eastAsia="方正书宋_GBK" w:cs="方正书宋_GBK"/>
                <w:b/>
                <w:color w:val="000000"/>
                <w:szCs w:val="21"/>
              </w:rPr>
            </w:pPr>
          </w:p>
        </w:tc>
        <w:tc>
          <w:tcPr>
            <w:tcW w:w="1057" w:type="dxa"/>
            <w:tcBorders>
              <w:bottom w:val="single" w:color="000000" w:sz="4" w:space="0"/>
              <w:right w:val="single" w:color="000000" w:sz="4" w:space="0"/>
            </w:tcBorders>
            <w:vAlign w:val="center"/>
          </w:tcPr>
          <w:p>
            <w:pPr>
              <w:jc w:val="right"/>
              <w:rPr>
                <w:rFonts w:ascii="方正书宋_GBK" w:hAnsi="方正书宋_GBK" w:eastAsia="方正书宋_GBK" w:cs="方正书宋_GBK"/>
                <w:b/>
                <w:color w:val="000000"/>
                <w:szCs w:val="21"/>
              </w:rPr>
            </w:pPr>
          </w:p>
        </w:tc>
        <w:tc>
          <w:tcPr>
            <w:tcW w:w="1057" w:type="dxa"/>
            <w:tcBorders>
              <w:bottom w:val="single" w:color="000000" w:sz="4" w:space="0"/>
              <w:right w:val="single" w:color="000000" w:sz="4" w:space="0"/>
            </w:tcBorders>
            <w:vAlign w:val="center"/>
          </w:tcPr>
          <w:p>
            <w:pPr>
              <w:rPr>
                <w:rFonts w:ascii="宋体" w:hAnsi="宋体" w:cs="宋体"/>
                <w:color w:val="000000"/>
                <w:sz w:val="24"/>
                <w:szCs w:val="24"/>
              </w:rPr>
            </w:pPr>
          </w:p>
        </w:tc>
      </w:tr>
    </w:tbl>
    <w:p>
      <w:pPr>
        <w:outlineLvl w:val="0"/>
        <w:rPr>
          <w:rFonts w:hint="eastAsia" w:ascii="仿宋" w:hAnsi="仿宋" w:eastAsia="仿宋" w:cs="仿宋"/>
          <w:sz w:val="32"/>
          <w:szCs w:val="32"/>
        </w:rPr>
      </w:pPr>
    </w:p>
    <w:bookmarkEnd w:id="2"/>
    <w:p>
      <w:pPr>
        <w:numPr>
          <w:ilvl w:val="0"/>
          <w:numId w:val="2"/>
        </w:numPr>
        <w:autoSpaceDE w:val="0"/>
        <w:autoSpaceDN w:val="0"/>
        <w:adjustRightInd w:val="0"/>
        <w:ind w:firstLine="640" w:firstLineChars="200"/>
        <w:jc w:val="left"/>
        <w:rPr>
          <w:rFonts w:hint="eastAsia" w:ascii="黑体" w:hAnsi="黑体" w:eastAsia="黑体" w:cs="Times New Roman"/>
          <w:sz w:val="32"/>
          <w:szCs w:val="32"/>
        </w:rPr>
      </w:pPr>
      <w:r>
        <w:rPr>
          <w:rFonts w:hint="eastAsia" w:ascii="黑体" w:hAnsi="黑体" w:eastAsia="黑体" w:cs="Times New Roman"/>
          <w:sz w:val="32"/>
          <w:szCs w:val="32"/>
        </w:rPr>
        <w:t>国有资产信息</w:t>
      </w:r>
    </w:p>
    <w:p>
      <w:pPr>
        <w:ind w:firstLine="640" w:firstLineChars="200"/>
        <w:rPr>
          <w:rFonts w:ascii="仿宋" w:hAnsi="仿宋" w:eastAsia="仿宋" w:cs="仿宋"/>
          <w:sz w:val="32"/>
          <w:szCs w:val="32"/>
        </w:rPr>
      </w:pPr>
      <w:r>
        <w:rPr>
          <w:rFonts w:hint="eastAsia" w:ascii="仿宋" w:hAnsi="仿宋" w:eastAsia="仿宋" w:cs="仿宋"/>
          <w:sz w:val="32"/>
          <w:szCs w:val="32"/>
          <w:lang w:val="en-US" w:eastAsia="zh-CN"/>
        </w:rPr>
        <w:t xml:space="preserve">   石家庄市鹿泉区妇女联合会</w:t>
      </w:r>
      <w:r>
        <w:rPr>
          <w:rFonts w:hint="eastAsia" w:ascii="仿宋" w:hAnsi="仿宋" w:eastAsia="仿宋" w:cs="仿宋"/>
          <w:sz w:val="32"/>
          <w:szCs w:val="32"/>
        </w:rPr>
        <w:t>上年末固定资产金额为</w:t>
      </w:r>
      <w:r>
        <w:rPr>
          <w:rFonts w:hint="eastAsia" w:ascii="仿宋" w:hAnsi="仿宋" w:eastAsia="仿宋" w:cs="仿宋"/>
          <w:sz w:val="32"/>
          <w:szCs w:val="32"/>
          <w:lang w:val="en-US" w:eastAsia="zh-CN"/>
        </w:rPr>
        <w:t>24.95</w:t>
      </w:r>
      <w:r>
        <w:rPr>
          <w:rFonts w:hint="eastAsia" w:ascii="仿宋" w:hAnsi="仿宋" w:eastAsia="仿宋" w:cs="仿宋"/>
          <w:sz w:val="32"/>
          <w:szCs w:val="32"/>
        </w:rPr>
        <w:t>万元（详见下表），本年度</w:t>
      </w:r>
      <w:r>
        <w:rPr>
          <w:rFonts w:hint="eastAsia" w:ascii="仿宋" w:hAnsi="仿宋" w:eastAsia="仿宋" w:cs="仿宋"/>
          <w:sz w:val="32"/>
          <w:szCs w:val="32"/>
          <w:lang w:eastAsia="zh-CN"/>
        </w:rPr>
        <w:t>我</w:t>
      </w:r>
      <w:r>
        <w:rPr>
          <w:rFonts w:hint="eastAsia" w:ascii="仿宋" w:hAnsi="仿宋" w:eastAsia="仿宋" w:cs="仿宋"/>
          <w:sz w:val="32"/>
          <w:szCs w:val="32"/>
        </w:rPr>
        <w:t>单位拟购置固定资产总额为0万元。</w:t>
      </w:r>
    </w:p>
    <w:tbl>
      <w:tblPr>
        <w:tblStyle w:val="8"/>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shd w:val="clear" w:color="auto" w:fill="auto"/>
            <w:vAlign w:val="center"/>
          </w:tcPr>
          <w:p>
            <w:pPr>
              <w:widowControl/>
              <w:jc w:val="center"/>
              <w:rPr>
                <w:rFonts w:ascii="宋体" w:hAnsi="宋体" w:eastAsia="宋体" w:cs="宋体"/>
                <w:b/>
                <w:bCs/>
                <w:kern w:val="0"/>
                <w:sz w:val="32"/>
                <w:szCs w:val="32"/>
              </w:rPr>
            </w:pPr>
            <w:r>
              <w:rPr>
                <w:rFonts w:hint="eastAsia" w:ascii="宋体" w:hAnsi="宋体" w:eastAsia="宋体" w:cs="宋体"/>
                <w:b/>
                <w:bCs/>
                <w:kern w:val="0"/>
                <w:sz w:val="32"/>
                <w:szCs w:val="32"/>
              </w:rPr>
              <w:t>石家庄市鹿泉区</w:t>
            </w:r>
            <w:r>
              <w:rPr>
                <w:rFonts w:hint="eastAsia" w:ascii="宋体" w:hAnsi="宋体" w:eastAsia="宋体" w:cs="宋体"/>
                <w:b/>
                <w:bCs/>
                <w:kern w:val="0"/>
                <w:sz w:val="32"/>
                <w:szCs w:val="32"/>
                <w:lang w:eastAsia="zh-CN"/>
              </w:rPr>
              <w:t>妇</w:t>
            </w:r>
            <w:r>
              <w:rPr>
                <w:rFonts w:hint="eastAsia" w:ascii="宋体" w:hAnsi="宋体" w:eastAsia="宋体" w:cs="宋体"/>
                <w:b/>
                <w:bCs/>
                <w:kern w:val="0"/>
                <w:sz w:val="32"/>
                <w:szCs w:val="32"/>
              </w:rPr>
              <w:t>联固定资产占用情况表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shd w:val="clear" w:color="auto" w:fill="auto"/>
            <w:vAlign w:val="center"/>
          </w:tcPr>
          <w:p>
            <w:pPr>
              <w:widowControl/>
              <w:jc w:val="left"/>
              <w:rPr>
                <w:rFonts w:ascii="宋体" w:hAnsi="宋体" w:eastAsia="宋体" w:cs="宋体"/>
                <w:kern w:val="0"/>
                <w:sz w:val="22"/>
              </w:rPr>
            </w:pPr>
            <w:r>
              <w:rPr>
                <w:rFonts w:hint="eastAsia" w:ascii="宋体" w:hAnsi="宋体" w:eastAsia="宋体" w:cs="宋体"/>
                <w:kern w:val="0"/>
                <w:sz w:val="22"/>
              </w:rPr>
              <w:t>编制部门：石家庄市鹿泉区</w:t>
            </w:r>
            <w:r>
              <w:rPr>
                <w:rFonts w:hint="eastAsia" w:ascii="宋体" w:hAnsi="宋体" w:eastAsia="宋体" w:cs="宋体"/>
                <w:kern w:val="0"/>
                <w:sz w:val="22"/>
                <w:lang w:eastAsia="zh-CN"/>
              </w:rPr>
              <w:t>妇女</w:t>
            </w:r>
            <w:r>
              <w:rPr>
                <w:rFonts w:hint="eastAsia" w:ascii="宋体" w:hAnsi="宋体" w:eastAsia="宋体" w:cs="宋体"/>
                <w:kern w:val="0"/>
                <w:sz w:val="22"/>
              </w:rPr>
              <w:t>联合会</w:t>
            </w:r>
          </w:p>
        </w:tc>
        <w:tc>
          <w:tcPr>
            <w:tcW w:w="5103" w:type="dxa"/>
            <w:tcBorders>
              <w:top w:val="nil"/>
              <w:left w:val="nil"/>
              <w:bottom w:val="nil"/>
              <w:right w:val="nil"/>
            </w:tcBorders>
            <w:shd w:val="clear" w:color="auto" w:fill="auto"/>
            <w:vAlign w:val="center"/>
          </w:tcPr>
          <w:p>
            <w:pPr>
              <w:widowControl/>
              <w:jc w:val="left"/>
              <w:rPr>
                <w:rFonts w:ascii="宋体" w:hAnsi="宋体" w:eastAsia="宋体" w:cs="宋体"/>
                <w:kern w:val="0"/>
                <w:sz w:val="22"/>
              </w:rPr>
            </w:pPr>
            <w:r>
              <w:rPr>
                <w:rFonts w:hint="eastAsia" w:ascii="宋体" w:hAnsi="宋体" w:eastAsia="宋体" w:cs="宋体"/>
                <w:kern w:val="0"/>
                <w:sz w:val="22"/>
              </w:rPr>
              <w:t xml:space="preserve">截止时间：2018年12月31日  </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b/>
                <w:bCs/>
                <w:kern w:val="0"/>
                <w:sz w:val="22"/>
              </w:rPr>
            </w:pPr>
            <w:r>
              <w:rPr>
                <w:rFonts w:hint="eastAsia" w:ascii="宋体" w:hAnsi="宋体" w:eastAsia="宋体" w:cs="宋体"/>
                <w:b/>
                <w:bCs/>
                <w:kern w:val="0"/>
                <w:sz w:val="22"/>
              </w:rPr>
              <w:t>项   目</w:t>
            </w:r>
          </w:p>
        </w:tc>
        <w:tc>
          <w:tcPr>
            <w:tcW w:w="3155"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eastAsia="宋体" w:cs="宋体"/>
                <w:b/>
                <w:bCs/>
                <w:kern w:val="0"/>
                <w:sz w:val="22"/>
              </w:rPr>
            </w:pPr>
            <w:r>
              <w:rPr>
                <w:rFonts w:hint="eastAsia" w:ascii="宋体" w:hAnsi="宋体" w:eastAsia="宋体" w:cs="宋体"/>
                <w:b/>
                <w:bCs/>
                <w:kern w:val="0"/>
                <w:sz w:val="22"/>
              </w:rPr>
              <w:t>数量</w:t>
            </w:r>
          </w:p>
        </w:tc>
        <w:tc>
          <w:tcPr>
            <w:tcW w:w="5103"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eastAsia="宋体" w:cs="宋体"/>
                <w:b/>
                <w:bCs/>
                <w:kern w:val="0"/>
                <w:sz w:val="22"/>
              </w:rPr>
            </w:pPr>
            <w:r>
              <w:rPr>
                <w:rFonts w:hint="eastAsia" w:ascii="宋体" w:hAnsi="宋体" w:eastAsia="宋体" w:cs="宋体"/>
                <w:b/>
                <w:bCs/>
                <w:kern w:val="0"/>
                <w:sz w:val="22"/>
              </w:rPr>
              <w:t>价值（金额单位：万元）</w:t>
            </w:r>
          </w:p>
        </w:tc>
      </w:tr>
      <w:tr>
        <w:tblPrEx>
          <w:tblCellMar>
            <w:top w:w="0" w:type="dxa"/>
            <w:left w:w="108" w:type="dxa"/>
            <w:bottom w:w="0" w:type="dxa"/>
            <w:right w:w="108" w:type="dxa"/>
          </w:tblCellMar>
        </w:tblPrEx>
        <w:trPr>
          <w:trHeight w:val="632" w:hRule="atLeast"/>
        </w:trPr>
        <w:tc>
          <w:tcPr>
            <w:tcW w:w="5224"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22"/>
              </w:rPr>
            </w:pPr>
            <w:r>
              <w:rPr>
                <w:rFonts w:hint="eastAsia" w:ascii="宋体" w:hAnsi="宋体" w:eastAsia="宋体" w:cs="宋体"/>
                <w:kern w:val="0"/>
                <w:sz w:val="22"/>
              </w:rPr>
              <w:t>资产总额</w:t>
            </w:r>
          </w:p>
        </w:tc>
        <w:tc>
          <w:tcPr>
            <w:tcW w:w="3155" w:type="dxa"/>
            <w:tcBorders>
              <w:top w:val="nil"/>
              <w:left w:val="nil"/>
              <w:bottom w:val="single" w:color="auto" w:sz="4" w:space="0"/>
              <w:right w:val="single" w:color="auto" w:sz="4" w:space="0"/>
            </w:tcBorders>
            <w:shd w:val="clear" w:color="auto" w:fill="auto"/>
            <w:vAlign w:val="center"/>
          </w:tcPr>
          <w:p>
            <w:pPr>
              <w:widowControl/>
              <w:jc w:val="center"/>
              <w:rPr>
                <w:rFonts w:ascii="Times New Roman" w:hAnsi="Times New Roman" w:eastAsia="宋体" w:cs="Times New Roman"/>
                <w:kern w:val="0"/>
                <w:sz w:val="22"/>
              </w:rPr>
            </w:pPr>
            <w:r>
              <w:rPr>
                <w:rFonts w:ascii="Times New Roman" w:hAnsi="Times New Roman" w:eastAsia="宋体" w:cs="Times New Roman"/>
                <w:kern w:val="0"/>
                <w:sz w:val="22"/>
              </w:rPr>
              <w:t>——</w:t>
            </w:r>
          </w:p>
        </w:tc>
        <w:tc>
          <w:tcPr>
            <w:tcW w:w="5103" w:type="dxa"/>
            <w:tcBorders>
              <w:top w:val="nil"/>
              <w:left w:val="nil"/>
              <w:bottom w:val="single" w:color="auto" w:sz="4" w:space="0"/>
              <w:right w:val="single" w:color="auto" w:sz="4" w:space="0"/>
            </w:tcBorders>
            <w:shd w:val="clear" w:color="auto" w:fill="auto"/>
            <w:vAlign w:val="center"/>
          </w:tcPr>
          <w:p>
            <w:pPr>
              <w:widowControl/>
              <w:jc w:val="center"/>
              <w:rPr>
                <w:rFonts w:hint="default" w:ascii="Times New Roman" w:hAnsi="Times New Roman" w:eastAsia="宋体" w:cs="Times New Roman"/>
                <w:kern w:val="0"/>
                <w:sz w:val="22"/>
                <w:lang w:val="en-US" w:eastAsia="zh-CN"/>
              </w:rPr>
            </w:pPr>
            <w:r>
              <w:rPr>
                <w:rFonts w:hint="eastAsia" w:ascii="Times New Roman" w:hAnsi="Times New Roman" w:eastAsia="宋体" w:cs="Times New Roman"/>
                <w:kern w:val="0"/>
                <w:sz w:val="22"/>
                <w:lang w:val="en-US" w:eastAsia="zh-CN"/>
              </w:rPr>
              <w:t>24.95</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kern w:val="0"/>
                <w:sz w:val="22"/>
              </w:rPr>
            </w:pPr>
            <w:r>
              <w:rPr>
                <w:rFonts w:hint="eastAsia" w:ascii="宋体" w:hAnsi="宋体" w:eastAsia="宋体" w:cs="宋体"/>
                <w:kern w:val="0"/>
                <w:sz w:val="22"/>
              </w:rPr>
              <w:t>1、房屋（平方米）</w:t>
            </w:r>
          </w:p>
        </w:tc>
        <w:tc>
          <w:tcPr>
            <w:tcW w:w="3155" w:type="dxa"/>
            <w:tcBorders>
              <w:top w:val="nil"/>
              <w:left w:val="nil"/>
              <w:bottom w:val="single" w:color="auto" w:sz="4" w:space="0"/>
              <w:right w:val="single" w:color="auto" w:sz="4" w:space="0"/>
            </w:tcBorders>
            <w:shd w:val="clear" w:color="auto" w:fill="auto"/>
            <w:vAlign w:val="center"/>
          </w:tcPr>
          <w:p>
            <w:pPr>
              <w:jc w:val="center"/>
              <w:rPr>
                <w:rFonts w:hint="eastAsia" w:ascii="Times New Roman" w:hAnsi="Times New Roman" w:cs="Times New Roman" w:eastAsiaTheme="minorEastAsia"/>
                <w:sz w:val="22"/>
                <w:lang w:val="en-US" w:eastAsia="zh-CN"/>
              </w:rPr>
            </w:pPr>
            <w:r>
              <w:rPr>
                <w:rFonts w:hint="eastAsia" w:ascii="Times New Roman" w:hAnsi="Times New Roman" w:cs="Times New Roman"/>
                <w:sz w:val="22"/>
                <w:lang w:val="en-US" w:eastAsia="zh-CN"/>
              </w:rPr>
              <w:t>0</w:t>
            </w:r>
          </w:p>
        </w:tc>
        <w:tc>
          <w:tcPr>
            <w:tcW w:w="5103" w:type="dxa"/>
            <w:tcBorders>
              <w:top w:val="nil"/>
              <w:left w:val="nil"/>
              <w:bottom w:val="single" w:color="auto" w:sz="4" w:space="0"/>
              <w:right w:val="single" w:color="auto" w:sz="4" w:space="0"/>
            </w:tcBorders>
            <w:shd w:val="clear" w:color="auto" w:fill="auto"/>
            <w:vAlign w:val="center"/>
          </w:tcPr>
          <w:p>
            <w:pPr>
              <w:jc w:val="center"/>
              <w:rPr>
                <w:rFonts w:hint="eastAsia" w:ascii="Times New Roman" w:hAnsi="Times New Roman" w:cs="Times New Roman" w:eastAsiaTheme="minorEastAsia"/>
                <w:sz w:val="22"/>
                <w:lang w:val="en-US" w:eastAsia="zh-CN"/>
              </w:rPr>
            </w:pPr>
            <w:r>
              <w:rPr>
                <w:rFonts w:hint="eastAsia" w:ascii="Times New Roman" w:hAnsi="Times New Roman" w:cs="Times New Roman"/>
                <w:sz w:val="22"/>
                <w:lang w:val="en-US" w:eastAsia="zh-CN"/>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kern w:val="0"/>
                <w:sz w:val="22"/>
              </w:rPr>
            </w:pPr>
            <w:r>
              <w:rPr>
                <w:rFonts w:hint="eastAsia" w:ascii="宋体" w:hAnsi="宋体" w:eastAsia="宋体" w:cs="宋体"/>
                <w:kern w:val="0"/>
                <w:sz w:val="22"/>
              </w:rPr>
              <w:t xml:space="preserve">   其中：办公用房（平方米）</w:t>
            </w:r>
          </w:p>
        </w:tc>
        <w:tc>
          <w:tcPr>
            <w:tcW w:w="3155" w:type="dxa"/>
            <w:tcBorders>
              <w:top w:val="nil"/>
              <w:left w:val="nil"/>
              <w:bottom w:val="single" w:color="auto" w:sz="4" w:space="0"/>
              <w:right w:val="single" w:color="auto" w:sz="4" w:space="0"/>
            </w:tcBorders>
            <w:shd w:val="clear" w:color="auto" w:fill="auto"/>
            <w:vAlign w:val="center"/>
          </w:tcPr>
          <w:p>
            <w:pPr>
              <w:jc w:val="center"/>
              <w:rPr>
                <w:rFonts w:hint="eastAsia" w:ascii="Times New Roman" w:hAnsi="Times New Roman" w:cs="Times New Roman" w:eastAsiaTheme="minorEastAsia"/>
                <w:sz w:val="22"/>
                <w:lang w:val="en-US" w:eastAsia="zh-CN"/>
              </w:rPr>
            </w:pPr>
            <w:r>
              <w:rPr>
                <w:rFonts w:hint="eastAsia" w:ascii="Times New Roman" w:hAnsi="Times New Roman" w:cs="Times New Roman"/>
                <w:sz w:val="22"/>
                <w:lang w:val="en-US" w:eastAsia="zh-CN"/>
              </w:rPr>
              <w:t>0</w:t>
            </w:r>
          </w:p>
        </w:tc>
        <w:tc>
          <w:tcPr>
            <w:tcW w:w="5103" w:type="dxa"/>
            <w:tcBorders>
              <w:top w:val="nil"/>
              <w:left w:val="nil"/>
              <w:bottom w:val="single" w:color="auto" w:sz="4" w:space="0"/>
              <w:right w:val="single" w:color="auto" w:sz="4" w:space="0"/>
            </w:tcBorders>
            <w:shd w:val="clear" w:color="auto" w:fill="auto"/>
            <w:vAlign w:val="center"/>
          </w:tcPr>
          <w:p>
            <w:pPr>
              <w:jc w:val="center"/>
              <w:rPr>
                <w:rFonts w:hint="eastAsia" w:ascii="Times New Roman" w:hAnsi="Times New Roman" w:cs="Times New Roman" w:eastAsiaTheme="minorEastAsia"/>
                <w:sz w:val="22"/>
                <w:lang w:val="en-US" w:eastAsia="zh-CN"/>
              </w:rPr>
            </w:pPr>
            <w:r>
              <w:rPr>
                <w:rFonts w:hint="eastAsia" w:ascii="Times New Roman" w:hAnsi="Times New Roman" w:cs="Times New Roman"/>
                <w:sz w:val="22"/>
                <w:lang w:val="en-US" w:eastAsia="zh-CN"/>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kern w:val="0"/>
                <w:sz w:val="22"/>
              </w:rPr>
            </w:pPr>
            <w:r>
              <w:rPr>
                <w:rFonts w:hint="eastAsia" w:ascii="宋体" w:hAnsi="宋体" w:eastAsia="宋体" w:cs="宋体"/>
                <w:kern w:val="0"/>
                <w:sz w:val="22"/>
              </w:rPr>
              <w:t>2、车辆（台、辆）</w:t>
            </w:r>
          </w:p>
        </w:tc>
        <w:tc>
          <w:tcPr>
            <w:tcW w:w="3155"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sz w:val="22"/>
              </w:rPr>
            </w:pPr>
            <w:r>
              <w:rPr>
                <w:rFonts w:hint="eastAsia" w:ascii="Times New Roman" w:hAnsi="Times New Roman" w:cs="Times New Roman"/>
                <w:sz w:val="22"/>
              </w:rPr>
              <w:t>1</w:t>
            </w:r>
          </w:p>
        </w:tc>
        <w:tc>
          <w:tcPr>
            <w:tcW w:w="5103" w:type="dxa"/>
            <w:tcBorders>
              <w:top w:val="nil"/>
              <w:left w:val="nil"/>
              <w:bottom w:val="single" w:color="auto" w:sz="4" w:space="0"/>
              <w:right w:val="single" w:color="auto" w:sz="4" w:space="0"/>
            </w:tcBorders>
            <w:shd w:val="clear" w:color="auto" w:fill="auto"/>
            <w:vAlign w:val="center"/>
          </w:tcPr>
          <w:p>
            <w:pPr>
              <w:jc w:val="center"/>
              <w:rPr>
                <w:rFonts w:hint="default" w:ascii="Times New Roman" w:hAnsi="Times New Roman" w:cs="Times New Roman" w:eastAsiaTheme="minorEastAsia"/>
                <w:sz w:val="22"/>
                <w:lang w:val="en-US" w:eastAsia="zh-CN"/>
              </w:rPr>
            </w:pPr>
            <w:r>
              <w:rPr>
                <w:rFonts w:hint="eastAsia" w:ascii="Times New Roman" w:hAnsi="Times New Roman" w:cs="Times New Roman"/>
                <w:sz w:val="22"/>
                <w:lang w:val="en-US" w:eastAsia="zh-CN"/>
              </w:rPr>
              <w:t>14.3</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kern w:val="0"/>
                <w:sz w:val="22"/>
              </w:rPr>
            </w:pPr>
            <w:r>
              <w:rPr>
                <w:rFonts w:hint="eastAsia" w:ascii="宋体" w:hAnsi="宋体" w:eastAsia="宋体" w:cs="宋体"/>
                <w:kern w:val="0"/>
                <w:sz w:val="22"/>
              </w:rPr>
              <w:t>3、单价在20万元以上的设备</w:t>
            </w:r>
          </w:p>
        </w:tc>
        <w:tc>
          <w:tcPr>
            <w:tcW w:w="3155" w:type="dxa"/>
            <w:tcBorders>
              <w:top w:val="nil"/>
              <w:left w:val="nil"/>
              <w:bottom w:val="single" w:color="auto" w:sz="4" w:space="0"/>
              <w:right w:val="single" w:color="auto" w:sz="4" w:space="0"/>
            </w:tcBorders>
            <w:shd w:val="clear" w:color="auto" w:fill="auto"/>
            <w:vAlign w:val="center"/>
          </w:tcPr>
          <w:p>
            <w:pPr>
              <w:jc w:val="center"/>
              <w:rPr>
                <w:rFonts w:hint="eastAsia" w:ascii="Times New Roman" w:hAnsi="Times New Roman" w:cs="Times New Roman" w:eastAsiaTheme="minorEastAsia"/>
                <w:sz w:val="22"/>
                <w:lang w:val="en-US" w:eastAsia="zh-CN"/>
              </w:rPr>
            </w:pPr>
            <w:r>
              <w:rPr>
                <w:rFonts w:ascii="Times New Roman" w:hAnsi="Times New Roman" w:eastAsia="宋体" w:cs="Times New Roman"/>
                <w:kern w:val="0"/>
                <w:sz w:val="22"/>
              </w:rPr>
              <w:t>——</w:t>
            </w:r>
          </w:p>
        </w:tc>
        <w:tc>
          <w:tcPr>
            <w:tcW w:w="5103" w:type="dxa"/>
            <w:tcBorders>
              <w:top w:val="nil"/>
              <w:left w:val="nil"/>
              <w:bottom w:val="single" w:color="auto" w:sz="4" w:space="0"/>
              <w:right w:val="single" w:color="auto" w:sz="4" w:space="0"/>
            </w:tcBorders>
            <w:shd w:val="clear" w:color="auto" w:fill="auto"/>
            <w:vAlign w:val="center"/>
          </w:tcPr>
          <w:p>
            <w:pPr>
              <w:jc w:val="center"/>
              <w:rPr>
                <w:rFonts w:hint="eastAsia" w:ascii="Times New Roman" w:hAnsi="Times New Roman" w:cs="Times New Roman" w:eastAsiaTheme="minorEastAsia"/>
                <w:sz w:val="22"/>
                <w:lang w:val="en-US" w:eastAsia="zh-CN"/>
              </w:rPr>
            </w:pPr>
            <w:r>
              <w:rPr>
                <w:rFonts w:hint="eastAsia" w:ascii="Times New Roman" w:hAnsi="Times New Roman" w:cs="Times New Roman"/>
                <w:sz w:val="22"/>
                <w:lang w:val="en-US" w:eastAsia="zh-CN"/>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kern w:val="0"/>
                <w:sz w:val="22"/>
              </w:rPr>
            </w:pPr>
            <w:r>
              <w:rPr>
                <w:rFonts w:hint="eastAsia" w:ascii="宋体" w:hAnsi="宋体" w:eastAsia="宋体" w:cs="宋体"/>
                <w:kern w:val="0"/>
                <w:sz w:val="22"/>
              </w:rPr>
              <w:t>4、其他固定资产</w:t>
            </w:r>
          </w:p>
        </w:tc>
        <w:tc>
          <w:tcPr>
            <w:tcW w:w="3155"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shd w:val="clear" w:color="auto" w:fill="auto"/>
            <w:vAlign w:val="center"/>
          </w:tcPr>
          <w:p>
            <w:pPr>
              <w:jc w:val="center"/>
              <w:rPr>
                <w:rFonts w:hint="default" w:ascii="Times New Roman" w:hAnsi="Times New Roman" w:cs="Times New Roman" w:eastAsiaTheme="minorEastAsia"/>
                <w:sz w:val="22"/>
                <w:lang w:val="en-US" w:eastAsia="zh-CN"/>
              </w:rPr>
            </w:pPr>
            <w:r>
              <w:rPr>
                <w:rFonts w:hint="eastAsia" w:ascii="Times New Roman" w:hAnsi="Times New Roman" w:cs="Times New Roman"/>
                <w:sz w:val="22"/>
                <w:lang w:val="en-US" w:eastAsia="zh-CN"/>
              </w:rPr>
              <w:t>10.65</w:t>
            </w:r>
          </w:p>
        </w:tc>
      </w:tr>
    </w:tbl>
    <w:p>
      <w:pPr>
        <w:numPr>
          <w:ilvl w:val="0"/>
          <w:numId w:val="0"/>
        </w:numPr>
        <w:autoSpaceDE w:val="0"/>
        <w:autoSpaceDN w:val="0"/>
        <w:adjustRightInd w:val="0"/>
        <w:jc w:val="left"/>
        <w:rPr>
          <w:rFonts w:hint="eastAsia" w:ascii="仿宋" w:hAnsi="仿宋" w:eastAsia="仿宋" w:cs="仿宋"/>
          <w:sz w:val="32"/>
          <w:szCs w:val="32"/>
        </w:rPr>
      </w:pPr>
    </w:p>
    <w:p>
      <w:pPr>
        <w:autoSpaceDE w:val="0"/>
        <w:autoSpaceDN w:val="0"/>
        <w:adjustRightInd w:val="0"/>
        <w:jc w:val="left"/>
        <w:rPr>
          <w:rFonts w:ascii="黑体" w:hAnsi="黑体" w:eastAsia="黑体" w:cs="Times New Roman"/>
          <w:sz w:val="32"/>
          <w:szCs w:val="32"/>
        </w:rPr>
      </w:pPr>
      <w:r>
        <w:rPr>
          <w:rFonts w:hint="eastAsia" w:ascii="黑体" w:hAnsi="黑体" w:eastAsia="黑体" w:cs="Times New Roman"/>
          <w:sz w:val="32"/>
          <w:szCs w:val="32"/>
          <w:lang w:val="en-US" w:eastAsia="zh-CN"/>
        </w:rPr>
        <w:t xml:space="preserve">    </w:t>
      </w:r>
      <w:r>
        <w:rPr>
          <w:rFonts w:hint="eastAsia" w:ascii="黑体" w:hAnsi="黑体" w:eastAsia="黑体" w:cs="Times New Roman"/>
          <w:sz w:val="32"/>
          <w:szCs w:val="32"/>
        </w:rPr>
        <w:t>八、名词解释</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1、一般公共预算拨款收入：指</w:t>
      </w:r>
      <w:r>
        <w:rPr>
          <w:rFonts w:hint="eastAsia" w:ascii="仿宋" w:hAnsi="仿宋" w:eastAsia="仿宋" w:cs="仿宋"/>
          <w:sz w:val="32"/>
          <w:szCs w:val="32"/>
          <w:lang w:eastAsia="zh-CN"/>
        </w:rPr>
        <w:t>区级</w:t>
      </w:r>
      <w:r>
        <w:rPr>
          <w:rFonts w:hint="eastAsia" w:ascii="仿宋" w:hAnsi="仿宋" w:eastAsia="仿宋" w:cs="仿宋"/>
          <w:sz w:val="32"/>
          <w:szCs w:val="32"/>
        </w:rPr>
        <w:t>财政当年拨付的资金。</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2、事业收入：指事业单位开展专业业务活动及辅助活动所取得的收入。</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3、其他收入：指除“一般公共预算拨款收入”、“事业收入”等以外的收入。主要是按规定动用的租房收入、存款利息收入等。</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4、基本支出：指为保障机构正常运转、完成日常工作任务而发生的人员支出和公用支出。</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5、项目支出：指在基本支出之外为完成特定行政任务和事业发展目标所发生的支出。</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6、上缴上级支出：指下级单位上缴上级的支出。</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7、“三公”经费：纳入</w:t>
      </w:r>
      <w:r>
        <w:rPr>
          <w:rFonts w:hint="eastAsia" w:ascii="仿宋" w:hAnsi="仿宋" w:eastAsia="仿宋" w:cs="仿宋"/>
          <w:sz w:val="32"/>
          <w:szCs w:val="32"/>
          <w:lang w:eastAsia="zh-CN"/>
        </w:rPr>
        <w:t>区级</w:t>
      </w:r>
      <w:r>
        <w:rPr>
          <w:rFonts w:hint="eastAsia" w:ascii="仿宋" w:hAnsi="仿宋" w:eastAsia="仿宋" w:cs="仿宋"/>
          <w:sz w:val="32"/>
          <w:szCs w:val="32"/>
        </w:rPr>
        <w:t>财政预算管理的“三公”经费，是指</w:t>
      </w:r>
      <w:r>
        <w:rPr>
          <w:rFonts w:hint="eastAsia" w:ascii="仿宋" w:hAnsi="仿宋" w:eastAsia="仿宋" w:cs="仿宋"/>
          <w:sz w:val="32"/>
          <w:szCs w:val="32"/>
          <w:lang w:eastAsia="zh-CN"/>
        </w:rPr>
        <w:t>区级</w:t>
      </w:r>
      <w:r>
        <w:rPr>
          <w:rFonts w:hint="eastAsia" w:ascii="仿宋" w:hAnsi="仿宋" w:eastAsia="仿宋" w:cs="仿宋"/>
          <w:sz w:val="32"/>
          <w:szCs w:val="32"/>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9、上年结转：指以前年度尚未完成、结转到本年仍按原规定用途继续使用的资金。</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10、事业单位经营支出：指事业单位在专业业务活动及其辅助活动之外开展非独立核算经营活动发生的支出。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九、其他需要说明的事项</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我</w:t>
      </w:r>
      <w:r>
        <w:rPr>
          <w:rFonts w:hint="eastAsia" w:ascii="仿宋" w:hAnsi="仿宋" w:eastAsia="仿宋" w:cs="仿宋"/>
          <w:sz w:val="32"/>
          <w:szCs w:val="32"/>
          <w:lang w:eastAsia="zh-CN"/>
        </w:rPr>
        <w:t>单位</w:t>
      </w:r>
      <w:r>
        <w:rPr>
          <w:rFonts w:hint="eastAsia" w:ascii="仿宋" w:hAnsi="仿宋" w:eastAsia="仿宋" w:cs="仿宋"/>
          <w:sz w:val="32"/>
          <w:szCs w:val="32"/>
        </w:rPr>
        <w:t>无其他需要说明的事项。</w:t>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86"/>
    <w:family w:val="script"/>
    <w:pitch w:val="default"/>
    <w:sig w:usb0="00000000" w:usb1="00000000" w:usb2="00000010" w:usb3="00000000" w:csb0="00040000" w:csb1="00000000"/>
  </w:font>
  <w:font w:name="仿宋">
    <w:panose1 w:val="02010609060101010101"/>
    <w:charset w:val="86"/>
    <w:family w:val="decorative"/>
    <w:pitch w:val="default"/>
    <w:sig w:usb0="800002BF" w:usb1="38CF7CFA" w:usb2="00000016" w:usb3="00000000" w:csb0="00040001" w:csb1="00000000"/>
  </w:font>
  <w:font w:name="方正仿宋_GBK">
    <w:altName w:val="微软雅黑"/>
    <w:panose1 w:val="00000000000000000000"/>
    <w:charset w:val="86"/>
    <w:family w:val="script"/>
    <w:pitch w:val="default"/>
    <w:sig w:usb0="00000000" w:usb1="00000000" w:usb2="00000010" w:usb3="00000000" w:csb0="00040000" w:csb1="00000000"/>
  </w:font>
  <w:font w:name="仿宋_GB2312">
    <w:altName w:val="仿宋"/>
    <w:panose1 w:val="02010609030101010101"/>
    <w:charset w:val="86"/>
    <w:family w:val="decorative"/>
    <w:pitch w:val="default"/>
    <w:sig w:usb0="00000000" w:usb1="00000000" w:usb2="00000000" w:usb3="00000000" w:csb0="00040000" w:csb1="00000000"/>
  </w:font>
  <w:font w:name="楷体_GB2312">
    <w:altName w:val="楷体"/>
    <w:panose1 w:val="02010609030101010101"/>
    <w:charset w:val="86"/>
    <w:family w:val="decorative"/>
    <w:pitch w:val="default"/>
    <w:sig w:usb0="00000000" w:usb1="00000000" w:usb2="00000000" w:usb3="00000000" w:csb0="00040000" w:csb1="00000000"/>
  </w:font>
  <w:font w:name="方正楷体_GBK">
    <w:altName w:val="宋体"/>
    <w:panose1 w:val="00000000000000000000"/>
    <w:charset w:val="86"/>
    <w:family w:val="swiss"/>
    <w:pitch w:val="default"/>
    <w:sig w:usb0="00000000" w:usb1="00000000" w:usb2="00000000" w:usb3="00000000" w:csb0="00040001" w:csb1="00000000"/>
  </w:font>
  <w:font w:name="方正书宋_GBK">
    <w:altName w:val="微软雅黑"/>
    <w:panose1 w:val="00000000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 w:name="楷体">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2">
    <w:p>
      <w:r>
        <w:separator/>
      </w:r>
    </w:p>
  </w:footnote>
  <w:footnote w:type="continuationSeparator" w:id="3">
    <w:p>
      <w:r>
        <w:continuationSeparator/>
      </w:r>
    </w:p>
  </w:footnote>
  <w:footnote w:id="0">
    <w:p>
      <w:pPr>
        <w:pStyle w:val="6"/>
        <w:rPr>
          <w:rFonts w:hint="eastAsia"/>
        </w:rPr>
      </w:pPr>
      <w:r>
        <w:rPr>
          <w:rStyle w:val="12"/>
        </w:rPr>
        <w:sym w:font="Symbol" w:char="F020"/>
      </w:r>
      <w:r>
        <w:rPr>
          <w:rFonts w:hint="eastAsia" w:ascii="方正楷体_GBK" w:eastAsia="方正楷体_GBK"/>
          <w:sz w:val="24"/>
        </w:rPr>
        <w:t>备注：表中的年度预算数为项目支出，部门工作活动虽未安排项目支出，但由基本支出保障，由于基本支出无法拆分到相应的工作活动，因此部分工作活动没有列示年度预算数。</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ABDEB1E"/>
    <w:multiLevelType w:val="singleLevel"/>
    <w:tmpl w:val="5ABDEB1E"/>
    <w:lvl w:ilvl="0" w:tentative="0">
      <w:start w:val="2"/>
      <w:numFmt w:val="chineseCounting"/>
      <w:suff w:val="nothing"/>
      <w:lvlText w:val="（%1）"/>
      <w:lvlJc w:val="left"/>
    </w:lvl>
  </w:abstractNum>
  <w:abstractNum w:abstractNumId="1">
    <w:nsid w:val="5C7CD80B"/>
    <w:multiLevelType w:val="singleLevel"/>
    <w:tmpl w:val="5C7CD80B"/>
    <w:lvl w:ilvl="0" w:tentative="0">
      <w:start w:val="7"/>
      <w:numFmt w:val="chineseCounting"/>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7"/>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footnotePr>
    <w:footnote w:id="2"/>
    <w:footnote w:id="3"/>
  </w:foot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Y3NWZiY2YwNzhhNzE1M2ViMWJiNzlhZjhkZjNlNDgifQ=="/>
  </w:docVars>
  <w:rsids>
    <w:rsidRoot w:val="00F66032"/>
    <w:rsid w:val="00034786"/>
    <w:rsid w:val="00037AF6"/>
    <w:rsid w:val="00042F57"/>
    <w:rsid w:val="0006483E"/>
    <w:rsid w:val="00075D5F"/>
    <w:rsid w:val="0008102F"/>
    <w:rsid w:val="000B529B"/>
    <w:rsid w:val="000C3A19"/>
    <w:rsid w:val="001245BB"/>
    <w:rsid w:val="001251A3"/>
    <w:rsid w:val="00165294"/>
    <w:rsid w:val="001B4EF3"/>
    <w:rsid w:val="001F7873"/>
    <w:rsid w:val="00241FD4"/>
    <w:rsid w:val="00251B12"/>
    <w:rsid w:val="00296113"/>
    <w:rsid w:val="002A673A"/>
    <w:rsid w:val="002C07BE"/>
    <w:rsid w:val="002C5E13"/>
    <w:rsid w:val="002C62BC"/>
    <w:rsid w:val="002E0EB8"/>
    <w:rsid w:val="002F3E58"/>
    <w:rsid w:val="0030542C"/>
    <w:rsid w:val="00311B7A"/>
    <w:rsid w:val="00372FA3"/>
    <w:rsid w:val="003D417F"/>
    <w:rsid w:val="003F60E9"/>
    <w:rsid w:val="004248B8"/>
    <w:rsid w:val="00424943"/>
    <w:rsid w:val="0043175C"/>
    <w:rsid w:val="00437296"/>
    <w:rsid w:val="00451590"/>
    <w:rsid w:val="00451871"/>
    <w:rsid w:val="004631FC"/>
    <w:rsid w:val="004706DE"/>
    <w:rsid w:val="00472923"/>
    <w:rsid w:val="00496109"/>
    <w:rsid w:val="004B0C3A"/>
    <w:rsid w:val="004D5788"/>
    <w:rsid w:val="004E3066"/>
    <w:rsid w:val="004E74CD"/>
    <w:rsid w:val="00516E04"/>
    <w:rsid w:val="00565588"/>
    <w:rsid w:val="00572067"/>
    <w:rsid w:val="00573562"/>
    <w:rsid w:val="00590ECE"/>
    <w:rsid w:val="00592ADD"/>
    <w:rsid w:val="00614A29"/>
    <w:rsid w:val="00643AA7"/>
    <w:rsid w:val="00673D76"/>
    <w:rsid w:val="00674CD7"/>
    <w:rsid w:val="006854F0"/>
    <w:rsid w:val="006B1C4A"/>
    <w:rsid w:val="006B610D"/>
    <w:rsid w:val="006E49F5"/>
    <w:rsid w:val="007013C8"/>
    <w:rsid w:val="00717B1E"/>
    <w:rsid w:val="00753836"/>
    <w:rsid w:val="0075393C"/>
    <w:rsid w:val="00754592"/>
    <w:rsid w:val="00776C08"/>
    <w:rsid w:val="007C219A"/>
    <w:rsid w:val="007E1DA8"/>
    <w:rsid w:val="007F6C26"/>
    <w:rsid w:val="00813208"/>
    <w:rsid w:val="008334AE"/>
    <w:rsid w:val="00836FED"/>
    <w:rsid w:val="0083724E"/>
    <w:rsid w:val="00845CD2"/>
    <w:rsid w:val="00852B0D"/>
    <w:rsid w:val="00881692"/>
    <w:rsid w:val="00883D1A"/>
    <w:rsid w:val="008A25C2"/>
    <w:rsid w:val="008A6576"/>
    <w:rsid w:val="008B3CC5"/>
    <w:rsid w:val="008B52CD"/>
    <w:rsid w:val="008E4261"/>
    <w:rsid w:val="008F4662"/>
    <w:rsid w:val="00905D08"/>
    <w:rsid w:val="00922AEB"/>
    <w:rsid w:val="00925753"/>
    <w:rsid w:val="009425F4"/>
    <w:rsid w:val="00966C5C"/>
    <w:rsid w:val="00973104"/>
    <w:rsid w:val="00995BF0"/>
    <w:rsid w:val="009A16D5"/>
    <w:rsid w:val="009A353D"/>
    <w:rsid w:val="009B0B77"/>
    <w:rsid w:val="009B511E"/>
    <w:rsid w:val="00A44E3D"/>
    <w:rsid w:val="00A72D2E"/>
    <w:rsid w:val="00A74447"/>
    <w:rsid w:val="00A74CE5"/>
    <w:rsid w:val="00A911E7"/>
    <w:rsid w:val="00A939D9"/>
    <w:rsid w:val="00B07D9E"/>
    <w:rsid w:val="00B20712"/>
    <w:rsid w:val="00B43238"/>
    <w:rsid w:val="00B45DD3"/>
    <w:rsid w:val="00B52632"/>
    <w:rsid w:val="00B727A9"/>
    <w:rsid w:val="00B75216"/>
    <w:rsid w:val="00B91D52"/>
    <w:rsid w:val="00B9490F"/>
    <w:rsid w:val="00BA1ACD"/>
    <w:rsid w:val="00BD09F8"/>
    <w:rsid w:val="00CA7176"/>
    <w:rsid w:val="00CB3D48"/>
    <w:rsid w:val="00CB4665"/>
    <w:rsid w:val="00CC75B0"/>
    <w:rsid w:val="00CD2773"/>
    <w:rsid w:val="00CE143B"/>
    <w:rsid w:val="00D0024A"/>
    <w:rsid w:val="00D27003"/>
    <w:rsid w:val="00DB4A9B"/>
    <w:rsid w:val="00E167C7"/>
    <w:rsid w:val="00E2482E"/>
    <w:rsid w:val="00E73D47"/>
    <w:rsid w:val="00EC47F6"/>
    <w:rsid w:val="00EE156D"/>
    <w:rsid w:val="00EE65B8"/>
    <w:rsid w:val="00F149E2"/>
    <w:rsid w:val="00F66032"/>
    <w:rsid w:val="00F87C1E"/>
    <w:rsid w:val="00F958C2"/>
    <w:rsid w:val="08143629"/>
    <w:rsid w:val="0CA574D6"/>
    <w:rsid w:val="0F6B5AA4"/>
    <w:rsid w:val="132375D5"/>
    <w:rsid w:val="17DB0353"/>
    <w:rsid w:val="1874551C"/>
    <w:rsid w:val="24206CCE"/>
    <w:rsid w:val="2E5E5F54"/>
    <w:rsid w:val="30E24B22"/>
    <w:rsid w:val="350F6785"/>
    <w:rsid w:val="36801CC7"/>
    <w:rsid w:val="3A3F0A0F"/>
    <w:rsid w:val="42C9554E"/>
    <w:rsid w:val="6A2C3680"/>
    <w:rsid w:val="7100628A"/>
    <w:rsid w:val="78077A3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semiHidden="0" w:name="footnote text"/>
    <w:lsdException w:uiPriority="99" w:name="annotation text"/>
    <w:lsdException w:qFormat="1" w:unhideWhenUsed="0" w:uiPriority="99" w:semiHidden="0" w:name="header"/>
    <w:lsdException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semiHidden="0" w:name="footnote reference"/>
    <w:lsdException w:uiPriority="99" w:name="annotation reference"/>
    <w:lsdException w:uiPriority="99" w:name="line number"/>
    <w:lsdException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semiHidden="0"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9">
    <w:name w:val="Default Paragraph Font"/>
    <w:autoRedefine/>
    <w:unhideWhenUsed/>
    <w:qFormat/>
    <w:uiPriority w:val="1"/>
  </w:style>
  <w:style w:type="table" w:default="1" w:styleId="8">
    <w:name w:val="Normal Table"/>
    <w:unhideWhenUsed/>
    <w:qFormat/>
    <w:uiPriority w:val="99"/>
    <w:tblPr>
      <w:tblCellMar>
        <w:top w:w="0" w:type="dxa"/>
        <w:left w:w="108" w:type="dxa"/>
        <w:bottom w:w="0" w:type="dxa"/>
        <w:right w:w="108" w:type="dxa"/>
      </w:tblCellMar>
    </w:tblPr>
  </w:style>
  <w:style w:type="paragraph" w:styleId="2">
    <w:name w:val="Balloon Text"/>
    <w:basedOn w:val="1"/>
    <w:link w:val="15"/>
    <w:unhideWhenUsed/>
    <w:uiPriority w:val="99"/>
    <w:rPr>
      <w:sz w:val="18"/>
      <w:szCs w:val="18"/>
    </w:rPr>
  </w:style>
  <w:style w:type="paragraph" w:styleId="3">
    <w:name w:val="footer"/>
    <w:basedOn w:val="1"/>
    <w:link w:val="14"/>
    <w:uiPriority w:val="99"/>
    <w:pPr>
      <w:tabs>
        <w:tab w:val="center" w:pos="4153"/>
        <w:tab w:val="right" w:pos="8306"/>
      </w:tabs>
      <w:snapToGrid w:val="0"/>
      <w:jc w:val="left"/>
    </w:pPr>
    <w:rPr>
      <w:rFonts w:ascii="Times New Roman" w:hAnsi="Times New Roman" w:eastAsia="宋体" w:cs="Times New Roman"/>
      <w:sz w:val="18"/>
      <w:szCs w:val="18"/>
    </w:rPr>
  </w:style>
  <w:style w:type="paragraph" w:styleId="4">
    <w:name w:val="header"/>
    <w:basedOn w:val="1"/>
    <w:link w:val="13"/>
    <w:qFormat/>
    <w:uiPriority w:val="99"/>
    <w:pPr>
      <w:pBdr>
        <w:bottom w:val="single" w:color="auto" w:sz="6" w:space="1"/>
      </w:pBdr>
      <w:tabs>
        <w:tab w:val="center" w:pos="4153"/>
        <w:tab w:val="right" w:pos="8306"/>
      </w:tabs>
      <w:snapToGrid w:val="0"/>
      <w:jc w:val="center"/>
    </w:pPr>
    <w:rPr>
      <w:rFonts w:ascii="Times New Roman" w:hAnsi="Times New Roman" w:eastAsia="宋体" w:cs="Times New Roman"/>
      <w:sz w:val="18"/>
      <w:szCs w:val="18"/>
    </w:rPr>
  </w:style>
  <w:style w:type="paragraph" w:styleId="5">
    <w:name w:val="toc 1"/>
    <w:basedOn w:val="1"/>
    <w:next w:val="1"/>
    <w:qFormat/>
    <w:uiPriority w:val="39"/>
    <w:rPr>
      <w:rFonts w:ascii="Times New Roman" w:hAnsi="Times New Roman" w:eastAsia="宋体" w:cs="Times New Roman"/>
      <w:szCs w:val="24"/>
    </w:rPr>
  </w:style>
  <w:style w:type="paragraph" w:styleId="6">
    <w:name w:val="footnote text"/>
    <w:basedOn w:val="1"/>
    <w:link w:val="17"/>
    <w:unhideWhenUsed/>
    <w:qFormat/>
    <w:uiPriority w:val="99"/>
    <w:pPr>
      <w:snapToGrid w:val="0"/>
      <w:jc w:val="left"/>
    </w:pPr>
    <w:rPr>
      <w:rFonts w:ascii="Calibri" w:hAnsi="Calibri" w:eastAsia="宋体" w:cs="Times New Roman"/>
      <w:sz w:val="18"/>
      <w:szCs w:val="18"/>
    </w:rPr>
  </w:style>
  <w:style w:type="paragraph" w:styleId="7">
    <w:name w:val="toc 2"/>
    <w:basedOn w:val="1"/>
    <w:next w:val="1"/>
    <w:qFormat/>
    <w:uiPriority w:val="39"/>
    <w:pPr>
      <w:ind w:left="420" w:leftChars="200"/>
    </w:pPr>
    <w:rPr>
      <w:rFonts w:ascii="Times New Roman" w:hAnsi="Times New Roman" w:eastAsia="宋体" w:cs="Times New Roman"/>
      <w:szCs w:val="24"/>
    </w:rPr>
  </w:style>
  <w:style w:type="character" w:styleId="10">
    <w:name w:val="page number"/>
    <w:unhideWhenUsed/>
    <w:uiPriority w:val="99"/>
  </w:style>
  <w:style w:type="character" w:styleId="11">
    <w:name w:val="Hyperlink"/>
    <w:unhideWhenUsed/>
    <w:qFormat/>
    <w:uiPriority w:val="99"/>
    <w:rPr>
      <w:color w:val="0000FF"/>
      <w:u w:val="single"/>
    </w:rPr>
  </w:style>
  <w:style w:type="character" w:styleId="12">
    <w:name w:val="footnote reference"/>
    <w:unhideWhenUsed/>
    <w:qFormat/>
    <w:uiPriority w:val="99"/>
    <w:rPr>
      <w:vertAlign w:val="superscript"/>
    </w:rPr>
  </w:style>
  <w:style w:type="character" w:customStyle="1" w:styleId="13">
    <w:name w:val="页眉 Char"/>
    <w:basedOn w:val="9"/>
    <w:link w:val="4"/>
    <w:qFormat/>
    <w:uiPriority w:val="99"/>
    <w:rPr>
      <w:rFonts w:ascii="Times New Roman" w:hAnsi="Times New Roman" w:eastAsia="宋体" w:cs="Times New Roman"/>
      <w:sz w:val="18"/>
      <w:szCs w:val="18"/>
    </w:rPr>
  </w:style>
  <w:style w:type="character" w:customStyle="1" w:styleId="14">
    <w:name w:val="页脚 Char"/>
    <w:basedOn w:val="9"/>
    <w:link w:val="3"/>
    <w:uiPriority w:val="99"/>
    <w:rPr>
      <w:rFonts w:ascii="Times New Roman" w:hAnsi="Times New Roman" w:eastAsia="宋体" w:cs="Times New Roman"/>
      <w:sz w:val="18"/>
      <w:szCs w:val="18"/>
    </w:rPr>
  </w:style>
  <w:style w:type="character" w:customStyle="1" w:styleId="15">
    <w:name w:val="批注框文本 Char"/>
    <w:basedOn w:val="9"/>
    <w:link w:val="2"/>
    <w:semiHidden/>
    <w:qFormat/>
    <w:uiPriority w:val="99"/>
    <w:rPr>
      <w:sz w:val="18"/>
      <w:szCs w:val="18"/>
    </w:rPr>
  </w:style>
  <w:style w:type="paragraph" w:customStyle="1" w:styleId="16">
    <w:name w:val="Default"/>
    <w:autoRedefine/>
    <w:qFormat/>
    <w:uiPriority w:val="0"/>
    <w:pPr>
      <w:widowControl w:val="0"/>
      <w:autoSpaceDE w:val="0"/>
      <w:autoSpaceDN w:val="0"/>
      <w:adjustRightInd w:val="0"/>
    </w:pPr>
    <w:rPr>
      <w:rFonts w:ascii="Times New Roman" w:hAnsi="Times New Roman" w:cs="Times New Roman" w:eastAsiaTheme="minorEastAsia"/>
      <w:color w:val="000000"/>
      <w:kern w:val="0"/>
      <w:sz w:val="24"/>
      <w:szCs w:val="24"/>
      <w:lang w:val="en-US" w:eastAsia="zh-CN" w:bidi="ar-SA"/>
    </w:rPr>
  </w:style>
  <w:style w:type="character" w:customStyle="1" w:styleId="17">
    <w:name w:val="脚注文本 Char"/>
    <w:basedOn w:val="9"/>
    <w:link w:val="6"/>
    <w:autoRedefine/>
    <w:semiHidden/>
    <w:qFormat/>
    <w:uiPriority w:val="99"/>
    <w:rPr>
      <w:rFonts w:ascii="Calibri" w:hAnsi="Calibri" w:eastAsia="宋体" w:cs="Times New Roman"/>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4425098-CEB7-4813-B90D-AE258FE74940}">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44</Pages>
  <Words>3066</Words>
  <Characters>17480</Characters>
  <Lines>145</Lines>
  <Paragraphs>41</Paragraphs>
  <TotalTime>1</TotalTime>
  <ScaleCrop>false</ScaleCrop>
  <LinksUpToDate>false</LinksUpToDate>
  <CharactersWithSpaces>20505</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2019-01-15T00:52:00Z</dcterms:created>
  <dc:creator>guest</dc:creator>
  <cp:lastModifiedBy>平凡</cp:lastModifiedBy>
  <cp:lastPrinted>2017-11-09T01:12:00Z</cp:lastPrinted>
  <dcterms:modified xsi:type="dcterms:W3CDTF">2024-01-15T06:37:35Z</dcterms:modified>
  <dc:title>河北省财政厅2019年部门预算信息公开情况说明</dc:title>
  <cp:revision>27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F7076EC1CDFB4BCB87B09C81593F349D_13</vt:lpwstr>
  </property>
</Properties>
</file>