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方正小标宋简体" w:hAnsi="方正小标宋简体" w:eastAsia="方正小标宋简体" w:cs="方正小标宋简体"/>
          <w:sz w:val="44"/>
          <w:szCs w:val="44"/>
        </w:rPr>
      </w:pPr>
      <w:bookmarkStart w:id="2" w:name="_GoBack"/>
      <w:bookmarkEnd w:id="2"/>
      <w:r>
        <w:rPr>
          <w:rFonts w:hint="eastAsia" w:ascii="方正小标宋简体" w:hAnsi="方正小标宋简体" w:eastAsia="方正小标宋简体" w:cs="方正小标宋简体"/>
          <w:sz w:val="44"/>
          <w:szCs w:val="44"/>
        </w:rPr>
        <w:t>鹿泉区司法局2019年部门预算信息公开情况说明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按照《预算法》、《地方预决算公开操作规程》和《河北省省级预算公开办法》规定，现将鹿泉区司法局2019年部门预算公开如下：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一是贯彻执行司法行政工作的法律、法规、方针、政策和司法行政地方性法规、规章；拟订全区司法行政工作发展规划及年度计划并组织监督实施。</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二是</w:t>
      </w:r>
      <w:r>
        <w:rPr>
          <w:rFonts w:hint="eastAsia" w:ascii="仿宋_GB2312" w:hAnsi="仿宋_GB2312" w:eastAsia="仿宋_GB2312" w:cs="仿宋_GB2312"/>
          <w:color w:val="000000"/>
          <w:kern w:val="0"/>
          <w:sz w:val="32"/>
          <w:szCs w:val="32"/>
          <w:lang w:eastAsia="zh-CN"/>
        </w:rPr>
        <w:t>制订</w:t>
      </w:r>
      <w:r>
        <w:rPr>
          <w:rFonts w:hint="eastAsia" w:ascii="仿宋_GB2312" w:hAnsi="仿宋_GB2312" w:eastAsia="仿宋_GB2312" w:cs="仿宋_GB2312"/>
          <w:color w:val="000000"/>
          <w:kern w:val="0"/>
          <w:sz w:val="32"/>
          <w:szCs w:val="32"/>
        </w:rPr>
        <w:t>全区普及法律常识规划和法治宣传教育计划并组织实施，指导区级各行业、区属各部门及乡镇（街道）的法治宣传工作。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三是负责指导监督律师工作、公证工作并承担相应责任，监督全区律师机构、公证机构活动；指导监督企事业法律顾问工作。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四是监督管理全区法律援助工作。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五是指导、监督、管理乡镇（街道）司法所建设和人民调解、基层法律服务、帮教安置工作。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六是指导管理全区社区矫正工作。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七是管理、监督、指导全县面向社会服务的司法鉴定工作。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八是负责全区司法行政系统的队伍建设、思想政治、对外宣传和交流工作。</w:t>
      </w:r>
    </w:p>
    <w:p>
      <w:pPr>
        <w:widowControl/>
        <w:spacing w:before="100" w:beforeAutospacing="1" w:after="100" w:afterAutospacing="1" w:line="60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九是承办区政府交办的其他事项。</w:t>
      </w:r>
    </w:p>
    <w:p>
      <w:pPr>
        <w:widowControl/>
        <w:spacing w:before="100" w:beforeAutospacing="1" w:after="100" w:afterAutospacing="1" w:line="600" w:lineRule="atLeast"/>
        <w:ind w:firstLine="57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3D3D3D"/>
          <w:kern w:val="0"/>
          <w:sz w:val="32"/>
          <w:szCs w:val="32"/>
        </w:rPr>
        <w:t>部门所属单位构成</w:t>
      </w:r>
    </w:p>
    <w:p>
      <w:pPr>
        <w:widowControl/>
        <w:spacing w:before="100" w:beforeAutospacing="1" w:after="100" w:afterAutospacing="1" w:line="600" w:lineRule="atLeast"/>
        <w:ind w:firstLine="645"/>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3D3D3D"/>
          <w:kern w:val="0"/>
          <w:sz w:val="32"/>
          <w:szCs w:val="32"/>
        </w:rPr>
        <w:t>石家庄市鹿泉区司法局为财政全额拨款一级预算单位，无下属单位。</w:t>
      </w:r>
    </w:p>
    <w:p>
      <w:pPr>
        <w:widowControl/>
        <w:spacing w:before="100" w:beforeAutospacing="1" w:after="100" w:afterAutospacing="1" w:line="600" w:lineRule="atLeast"/>
        <w:ind w:firstLine="645"/>
        <w:jc w:val="left"/>
        <w:rPr>
          <w:rFonts w:ascii="微软雅黑" w:hAnsi="微软雅黑" w:eastAsia="微软雅黑" w:cs="宋体"/>
          <w:color w:val="000000"/>
          <w:kern w:val="0"/>
          <w:sz w:val="24"/>
          <w:szCs w:val="24"/>
        </w:rPr>
      </w:pPr>
      <w:r>
        <w:rPr>
          <w:rFonts w:hint="eastAsia" w:ascii="仿宋_GB2312" w:hAnsi="仿宋_GB2312" w:eastAsia="仿宋_GB2312" w:cs="仿宋_GB2312"/>
          <w:color w:val="000000"/>
          <w:kern w:val="0"/>
          <w:sz w:val="32"/>
          <w:szCs w:val="32"/>
        </w:rPr>
        <w:t>设立基层科、宣传教育科、司法鉴定科、律师公证管理、法律援助中心等科室。</w:t>
      </w: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5" w:hRule="atLeast"/>
          <w:jc w:val="center"/>
        </w:trPr>
        <w:tc>
          <w:tcPr>
            <w:tcW w:w="4359" w:type="dxa"/>
            <w:vAlign w:val="center"/>
          </w:tcPr>
          <w:p>
            <w:pPr>
              <w:spacing w:line="300" w:lineRule="exact"/>
              <w:jc w:val="center"/>
              <w:rPr>
                <w:rFonts w:ascii="方正书宋_GBK" w:eastAsia="方正书宋_GBK"/>
                <w:b/>
              </w:rPr>
            </w:pPr>
            <w:r>
              <w:rPr>
                <w:rFonts w:hint="eastAsia" w:ascii="方正书宋_GBK" w:eastAsia="方正书宋_GBK"/>
                <w:b/>
              </w:rPr>
              <w:t>石家庄市鹿泉区司法局</w:t>
            </w:r>
          </w:p>
        </w:tc>
        <w:tc>
          <w:tcPr>
            <w:tcW w:w="1134" w:type="dxa"/>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行政</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正科</w:t>
            </w:r>
          </w:p>
        </w:tc>
        <w:tc>
          <w:tcPr>
            <w:tcW w:w="3013" w:type="dxa"/>
            <w:vAlign w:val="center"/>
          </w:tcPr>
          <w:p>
            <w:pPr>
              <w:spacing w:line="300" w:lineRule="exact"/>
              <w:jc w:val="center"/>
              <w:rPr>
                <w:rFonts w:ascii="方正书宋_GBK" w:eastAsia="方正书宋_GBK"/>
                <w:b/>
              </w:rPr>
            </w:pPr>
            <w:r>
              <w:rPr>
                <w:rFonts w:hint="eastAsia" w:ascii="方正书宋_GBK" w:eastAsia="方正书宋_GBK"/>
                <w:b/>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按照预算管理有关规定，目前我单位部门预算的编制实行综合预算管理，即全部收入和支出都反映在预算中。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反映本部门当年全部收入。2019年预算收入737.32万元，其中：一般公共预算收入737.32万元，基金预算收入0万元，财政专户核拨收入0万元，其他来源收入0万元。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年度部门预算中支出预算的总体情况。2019年支出预算737.32万元，其中基本支出571.32万元，包括人员经费497.6万元和日常公用经费73.72万元；项目支出166万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3、比上年增减情况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2019年预算收支安排737.32万元，较2018年预算增加89.4万元，其中：基本支出减少49.18万元，主要为减少日常公用经费支出；项目支出增加40.2万元，主要增加为诉调对接工作经费和人民调解工作经费。</w:t>
      </w:r>
    </w:p>
    <w:p>
      <w:pPr>
        <w:autoSpaceDE w:val="0"/>
        <w:autoSpaceDN w:val="0"/>
        <w:adjustRightInd w:val="0"/>
        <w:ind w:left="198" w:firstLine="640" w:firstLineChars="200"/>
        <w:jc w:val="left"/>
        <w:rPr>
          <w:rFonts w:hint="eastAsia"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2019年，</w:t>
      </w:r>
      <w:r>
        <w:rPr>
          <w:rFonts w:hint="eastAsia" w:ascii="仿宋_GB2312" w:hAnsi="仿宋_GB2312" w:eastAsia="仿宋_GB2312" w:cs="仿宋_GB2312"/>
          <w:sz w:val="32"/>
          <w:szCs w:val="32"/>
          <w:lang w:eastAsia="zh-CN"/>
        </w:rPr>
        <w:t>石家庄市鹿泉区司法局</w:t>
      </w:r>
      <w:r>
        <w:rPr>
          <w:rFonts w:hint="eastAsia" w:ascii="仿宋_GB2312" w:hAnsi="仿宋_GB2312" w:eastAsia="仿宋_GB2312" w:cs="仿宋_GB2312"/>
          <w:sz w:val="32"/>
          <w:szCs w:val="32"/>
        </w:rPr>
        <w:t>运行经费共计安排73.72万元，主要用于办公用房水电费、办公用房取暖费、办公用房物业管理费等日常运行支出。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_GB2312" w:hAnsi="仿宋_GB2312" w:eastAsia="仿宋_GB2312" w:cs="仿宋_GB2312"/>
          <w:sz w:val="32"/>
          <w:szCs w:val="32"/>
        </w:rPr>
      </w:pPr>
      <w:r>
        <w:rPr>
          <w:rFonts w:hint="eastAsia" w:ascii="仿宋" w:hAnsi="仿宋" w:eastAsia="仿宋" w:cs="仿宋"/>
          <w:sz w:val="32"/>
          <w:szCs w:val="32"/>
        </w:rPr>
        <w:t>2</w:t>
      </w:r>
      <w:r>
        <w:rPr>
          <w:rFonts w:hint="eastAsia" w:ascii="仿宋_GB2312" w:hAnsi="仿宋_GB2312" w:eastAsia="仿宋_GB2312" w:cs="仿宋_GB2312"/>
          <w:sz w:val="32"/>
          <w:szCs w:val="32"/>
        </w:rPr>
        <w:t>019年，</w:t>
      </w:r>
      <w:r>
        <w:rPr>
          <w:rFonts w:hint="eastAsia" w:ascii="仿宋_GB2312" w:hAnsi="仿宋_GB2312" w:eastAsia="仿宋_GB2312" w:cs="仿宋_GB2312"/>
          <w:sz w:val="32"/>
          <w:szCs w:val="32"/>
          <w:lang w:eastAsia="zh-CN"/>
        </w:rPr>
        <w:t>石家庄市鹿泉区司法局</w:t>
      </w:r>
      <w:r>
        <w:rPr>
          <w:rFonts w:hint="eastAsia" w:ascii="仿宋_GB2312" w:hAnsi="仿宋_GB2312" w:eastAsia="仿宋_GB2312" w:cs="仿宋_GB2312"/>
          <w:sz w:val="32"/>
          <w:szCs w:val="32"/>
        </w:rPr>
        <w:t>财政拨款“三公”经费预算安排15.5万元，其中因公出国（境）费0万元；公务用车购置及运维费13.5万元（其中：公务用车购置费为0万元，公务用车运维费13.5万元)；公务接待费2万元。与2018年相比减少2万元，减少的主要原因是：公务接待费减少。</w:t>
      </w:r>
    </w:p>
    <w:p>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绩效预算信息</w:t>
      </w:r>
    </w:p>
    <w:p>
      <w:pPr>
        <w:ind w:firstLine="643" w:firstLineChars="200"/>
        <w:jc w:val="left"/>
        <w:rPr>
          <w:rFonts w:ascii="方正楷体_GBK" w:eastAsia="方正楷体_GBK"/>
          <w:b/>
          <w:sz w:val="32"/>
          <w:szCs w:val="32"/>
        </w:rPr>
      </w:pPr>
      <w:r>
        <w:rPr>
          <w:rFonts w:hint="eastAsia" w:ascii="方正楷体_GBK" w:eastAsia="方正楷体_GBK"/>
          <w:b/>
          <w:sz w:val="32"/>
          <w:szCs w:val="32"/>
        </w:rPr>
        <w:t>第一部分 部门整体绩效目标</w:t>
      </w:r>
    </w:p>
    <w:p>
      <w:pPr>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lang w:eastAsia="zh-CN"/>
        </w:rPr>
        <w:t>（一）</w:t>
      </w:r>
      <w:r>
        <w:rPr>
          <w:rFonts w:ascii="Times New Roman" w:hAnsi="Times New Roman" w:eastAsia="方正仿宋_GBK" w:cs="Times New Roman"/>
          <w:b/>
          <w:sz w:val="32"/>
          <w:szCs w:val="32"/>
        </w:rPr>
        <w:t>总体绩效目标：</w:t>
      </w:r>
    </w:p>
    <w:p>
      <w:pPr>
        <w:spacing w:before="100" w:beforeAutospacing="1" w:after="100" w:afterAutospacing="1" w:line="36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2019年，坚持以习近平新时代中国特色社会主义思想为指导，认真落实中央和省委省政府决策部署：</w:t>
      </w:r>
    </w:p>
    <w:p>
      <w:pPr>
        <w:spacing w:before="100" w:beforeAutospacing="1" w:after="100" w:afterAutospacing="1" w:line="360" w:lineRule="atLeast"/>
        <w:ind w:firstLine="640"/>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1、拟订区级法制宣传教育规划并组织实施；指导区级法制宣传、依法治理工作；组织、指导法制宣传报道。</w:t>
      </w:r>
    </w:p>
    <w:p>
      <w:pPr>
        <w:widowControl/>
        <w:spacing w:before="100" w:beforeAutospacing="1" w:after="100" w:afterAutospacing="1" w:line="36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2、监督区级社区矫正、人民调解、安置帮教、基层法律服务和基层司法所工作，负责区级基层法律服务工作者执业核准；会同人民法院指导人民陪审员工作；指导人民调解员协会工作。</w:t>
      </w:r>
    </w:p>
    <w:p>
      <w:pPr>
        <w:widowControl/>
        <w:spacing w:before="100" w:beforeAutospacing="1" w:after="100" w:afterAutospacing="1" w:line="360" w:lineRule="atLeast"/>
        <w:ind w:firstLine="64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32"/>
          <w:szCs w:val="32"/>
        </w:rPr>
        <w:t>3、检查法律援助的法律法规和政策的执行；规划法律援助事业发展布局；监督管理区级法律援助机构和法律援助从业人员；组织指导区级社会组织和志愿者开展法律援助工作；办理法律援助案件，政府购买法律援助服务。</w:t>
      </w:r>
    </w:p>
    <w:p>
      <w:pPr>
        <w:widowControl/>
        <w:spacing w:before="100" w:beforeAutospacing="1" w:after="100" w:afterAutospacing="1" w:line="360" w:lineRule="atLeast"/>
        <w:ind w:firstLine="64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4、拟定区级司法鉴定管理规定和技术规范；完成县级司法鉴定人和司法鉴定机构登记管理工作；负责县级司法鉴定机构的遴选和管理工作；指导面向社会的司法鉴定资质管理、质量管理和司法鉴定人继续教育培训。</w:t>
      </w:r>
    </w:p>
    <w:p>
      <w:pPr>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  （二） </w:t>
      </w:r>
      <w:r>
        <w:rPr>
          <w:rFonts w:hint="eastAsia" w:ascii="Times New Roman" w:hAnsi="Times New Roman" w:eastAsia="方正仿宋_GBK" w:cs="Times New Roman"/>
          <w:b/>
          <w:sz w:val="32"/>
          <w:szCs w:val="32"/>
        </w:rPr>
        <w:t>职责分类绩效目标：</w:t>
      </w:r>
    </w:p>
    <w:p>
      <w:pPr>
        <w:spacing w:line="500" w:lineRule="exact"/>
        <w:ind w:left="200" w:firstLine="560"/>
        <w:rPr>
          <w:rFonts w:hint="eastAsia" w:ascii="仿宋_GB2312" w:hAnsi="仿宋_GB2312" w:eastAsia="仿宋_GB2312" w:cs="仿宋_GB2312"/>
          <w:sz w:val="32"/>
          <w:szCs w:val="32"/>
        </w:rPr>
      </w:pPr>
      <w:r>
        <w:rPr>
          <w:rFonts w:hint="eastAsia" w:ascii="Times New Roman" w:hAnsi="Times New Roman" w:eastAsia="方正仿宋_GBK" w:cs="Times New Roman"/>
          <w:b/>
          <w:sz w:val="32"/>
          <w:szCs w:val="32"/>
          <w:lang w:val="en-US" w:eastAsia="zh-CN"/>
        </w:rPr>
        <w:t xml:space="preserve">  </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好普法规划，年度计划，搞好法学教育，并抓好落实工作；二、调查、掌握各部门、单位法制宣传教育工作实施情况；三、培训法制宣传教育骨干；四、会同有关部门对公务员和其他特定人员，进行法律知识的培训和考核（考试），并负责确定培训和考试内容；五、总结和推广法制宣传教育典型经验；六、配合综合治理，上好法制课和组织开展好法制宣传活动；七、总结和推广法制宣传教育典型经验；八、办理法制宣传教育的其他事项。</w:t>
      </w:r>
    </w:p>
    <w:p>
      <w:pPr>
        <w:spacing w:line="500" w:lineRule="exact"/>
        <w:ind w:left="200"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充分发挥法律服务职能，规范律师、公证行业管理。一、制订全市公证律师工作年度工作计划；</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二、管理和指导全市公证律师工作，监督全区公证律师机构和公证律师业务活动；三、组织年度公证律师质量检查，查处违规行为；四、受理公证员、律师违反职业道德、执业纪律和公证律师质量方面的投诉和查处。</w:t>
      </w:r>
    </w:p>
    <w:p>
      <w:pPr>
        <w:spacing w:line="500" w:lineRule="exact"/>
        <w:ind w:left="200"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深化人民调解、社区矫正和安置帮教工作，最大限度降低重新违法犯罪和社会不稳定因素发生率。一、</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 xml:space="preserve">实施司法行政基层工作规划；二、指导各乡镇司法所和基层司法行政工作，组织召开全市司法所长会议，交流信息，协调工作；三、建立健全调委会组织网络，指导人民调解委员会开展工作；四、开展民间纠纷排查治理工作；五、指导、管理基层法律服务所工作，负责法律服务人员的资格年度注册；六、负责并指导实施社区矫正工作。 </w:t>
      </w:r>
    </w:p>
    <w:p>
      <w:pPr>
        <w:spacing w:line="500" w:lineRule="exact"/>
        <w:ind w:left="200"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规范司法鉴定机构和司法鉴定人的管理，提高司法鉴定人员素质，促进司法鉴定的公正、公平。一、</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本行政区域司法鉴定发展规划并组织实施;二、负责司法鉴定机构的审核登记、名册编制和名册公告工作;三、负责司法鉴定机构资质管理评估和司法鉴定质量管理评估工作;四、负责对司法鉴定机构进行监督、检查;五、负责对司法鉴定机构违法违纪的执业行为进行调查处理；六、组织司法鉴定科学技术开发、推广和应用;七、法律、法规和规章规定的其他职责。</w:t>
      </w:r>
      <w:bookmarkEnd w:id="0"/>
      <w:bookmarkStart w:id="1" w:name="_Toc1736956"/>
    </w:p>
    <w:p>
      <w:pPr>
        <w:spacing w:line="500" w:lineRule="exact"/>
        <w:ind w:firstLine="560" w:firstLineChars="200"/>
        <w:jc w:val="left"/>
        <w:rPr>
          <w:rFonts w:hint="eastAsia" w:eastAsia="方正仿宋_GBK"/>
          <w:sz w:val="28"/>
          <w:highlight w:val="none"/>
          <w:lang w:val="en-US" w:eastAsia="zh-CN"/>
        </w:rPr>
      </w:pPr>
      <w:r>
        <w:rPr>
          <w:rFonts w:hint="eastAsia" w:eastAsia="方正仿宋_GBK"/>
          <w:sz w:val="28"/>
        </w:rPr>
        <w:t>（三）工作保障措施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pStyle w:val="2"/>
        <w:rPr>
          <w:rFonts w:hint="eastAsia"/>
        </w:rPr>
      </w:pPr>
    </w:p>
    <w:p>
      <w:pPr>
        <w:jc w:val="both"/>
        <w:outlineLvl w:val="0"/>
        <w:rPr>
          <w:rFonts w:ascii="方正小标宋_GBK" w:eastAsia="方正小标宋_GBK"/>
          <w:color w:val="FFFFFF"/>
          <w:sz w:val="32"/>
        </w:rPr>
      </w:pPr>
      <w:r>
        <w:rPr>
          <w:rFonts w:hint="eastAsia" w:ascii="方正小标宋_GBK" w:eastAsia="方正小标宋_GBK"/>
          <w:sz w:val="32"/>
        </w:rPr>
        <w:t>部门职责-工作活动绩效目标</w:t>
      </w:r>
      <w:r>
        <w:rPr>
          <w:rStyle w:val="13"/>
          <w:rFonts w:ascii="方正小标宋_GBK" w:eastAsia="方正小标宋_GBK"/>
          <w:color w:val="FFFFFF"/>
          <w:sz w:val="32"/>
        </w:rPr>
        <w:sym w:font="Symbol" w:char="F020"/>
      </w:r>
      <w:bookmarkEnd w:id="1"/>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footnoteReference w:id="0" w:customMarkFollows="1"/>
              <w:t>3</w:t>
            </w:r>
            <w:r>
              <w:rPr>
                <w:rFonts w:ascii="方正小标宋_GBK" w:eastAsia="方正小标宋_GBK"/>
                <w:sz w:val="24"/>
              </w:rPr>
              <w:t>15</w:t>
            </w:r>
            <w:r>
              <w:rPr>
                <w:rFonts w:hint="eastAsia" w:ascii="方正小标宋_GBK" w:eastAsia="方正小标宋_GBK"/>
                <w:sz w:val="24"/>
              </w:rPr>
              <w:t>石家庄市鹿泉区司法局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一、司法行政管理</w:t>
            </w:r>
          </w:p>
        </w:tc>
        <w:tc>
          <w:tcPr>
            <w:tcW w:w="1276" w:type="dxa"/>
            <w:vAlign w:val="center"/>
          </w:tcPr>
          <w:p>
            <w:pPr>
              <w:spacing w:line="300" w:lineRule="exact"/>
              <w:jc w:val="left"/>
              <w:rPr>
                <w:rFonts w:ascii="方正书宋_GBK" w:eastAsia="方正书宋_GBK"/>
              </w:rPr>
            </w:pPr>
            <w:r>
              <w:rPr>
                <w:rFonts w:ascii="方正书宋_GBK" w:eastAsia="方正书宋_GBK"/>
              </w:rPr>
              <w:t>118.60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贯彻落实国家司法行政工作方针政策；拟订有关规章，</w:t>
            </w:r>
            <w:r>
              <w:rPr>
                <w:rFonts w:hint="eastAsia" w:ascii="方正书宋_GBK" w:eastAsia="方正书宋_GBK"/>
                <w:lang w:eastAsia="zh-CN"/>
              </w:rPr>
              <w:t>制订</w:t>
            </w:r>
            <w:r>
              <w:rPr>
                <w:rFonts w:hint="eastAsia" w:ascii="方正书宋_GBK" w:eastAsia="方正书宋_GBK"/>
              </w:rPr>
              <w:t>全县司法行政中长期规划并组织实施。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提升全区司法行政管理水平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、普法宣传</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15.60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组织全区</w:t>
            </w:r>
            <w:r>
              <w:rPr>
                <w:rFonts w:hint="cs" w:ascii="方正书宋_GBK" w:eastAsia="方正书宋_GBK"/>
                <w:cs/>
              </w:rPr>
              <w:t>“</w:t>
            </w:r>
            <w:r>
              <w:rPr>
                <w:rFonts w:hint="eastAsia" w:ascii="方正书宋_GBK" w:eastAsia="方正书宋_GBK"/>
              </w:rPr>
              <w:t>七五</w:t>
            </w:r>
            <w:r>
              <w:rPr>
                <w:rFonts w:hint="cs" w:ascii="方正书宋_GBK" w:eastAsia="方正书宋_GBK"/>
                <w:cs/>
              </w:rPr>
              <w:t>”</w:t>
            </w:r>
            <w:r>
              <w:rPr>
                <w:rFonts w:hint="eastAsia" w:ascii="方正书宋_GBK" w:eastAsia="方正书宋_GBK"/>
              </w:rPr>
              <w:t>普法中期验收，并接受上级验收，组织开展多部门参与、声势大、群众满意的法治宣传咨询、法治培训等宣传活动，编印宣传资料册数达到年初目标，及时维护法治宣传栏（橱窗）</w:t>
            </w:r>
            <w:r>
              <w:rPr>
                <w:rFonts w:ascii="方正书宋_GBK" w:eastAsia="方正书宋_GBK"/>
              </w:rPr>
              <w:t>40</w:t>
            </w:r>
            <w:r>
              <w:rPr>
                <w:rFonts w:hint="eastAsia" w:ascii="方正书宋_GBK" w:eastAsia="方正书宋_GBK"/>
              </w:rPr>
              <w:t>个、</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提高全区人民法律意识和法律素质，增强法治化管理水平，促进全县民主与法制建设。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组织主题宣传活动场次（次）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网络舆情处置率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宣资料引刷册数</w:t>
            </w:r>
            <w:r>
              <w:rPr>
                <w:rFonts w:ascii="方正书宋_GBK" w:eastAsia="方正书宋_GBK"/>
              </w:rPr>
              <w:t>(</w:t>
            </w:r>
            <w:r>
              <w:rPr>
                <w:rFonts w:hint="eastAsia" w:ascii="方正书宋_GBK" w:eastAsia="方正书宋_GBK"/>
              </w:rPr>
              <w:t>册）</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1800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1600</w:t>
            </w:r>
          </w:p>
        </w:tc>
        <w:tc>
          <w:tcPr>
            <w:tcW w:w="737" w:type="dxa"/>
            <w:vAlign w:val="center"/>
          </w:tcPr>
          <w:p>
            <w:pPr>
              <w:spacing w:line="300" w:lineRule="exact"/>
              <w:jc w:val="center"/>
              <w:rPr>
                <w:rFonts w:ascii="方正书宋_GBK" w:eastAsia="方正书宋_GBK"/>
              </w:rPr>
            </w:pPr>
            <w:r>
              <w:rPr>
                <w:rFonts w:ascii="方正书宋_GBK" w:eastAsia="方正书宋_GBK"/>
              </w:rPr>
              <w:t>&lt;1600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普法考试覆盖人数（次）</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普法考核通过率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、律师公证管理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组织律师积极化解群体性涉法涉诉上访、信访案件。建立和完善了律师包乡镇、包重点村化解信访积案制度，律师通过调查、取证、劝说、代理，引导进入法律程序</w:t>
            </w:r>
            <w:r>
              <w:rPr>
                <w:rFonts w:ascii="方正书宋_GBK" w:eastAsia="方正书宋_GBK"/>
              </w:rPr>
              <w:t>.</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充分发挥法律服务职能，规范律师、公证行业管理。</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年检机构满意率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机构年检率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93%</w:t>
            </w:r>
          </w:p>
        </w:tc>
        <w:tc>
          <w:tcPr>
            <w:tcW w:w="737" w:type="dxa"/>
            <w:vAlign w:val="center"/>
          </w:tcPr>
          <w:p>
            <w:pPr>
              <w:spacing w:line="300" w:lineRule="exact"/>
              <w:jc w:val="center"/>
              <w:rPr>
                <w:rFonts w:ascii="方正书宋_GBK" w:eastAsia="方正书宋_GBK"/>
              </w:rPr>
            </w:pPr>
            <w:r>
              <w:rPr>
                <w:rFonts w:ascii="方正书宋_GBK" w:eastAsia="方正书宋_GBK"/>
              </w:rPr>
              <w:t>&lt;93%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提供法律咨询数量（宗）</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ascii="方正书宋_GBK" w:eastAsia="方正书宋_GBK"/>
              </w:rPr>
              <w:t>&lt;40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、基层司法业务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93.00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人民调解员根据调解纠纷的性质、难易程度，把调解过程和调解经过形成案卷，经乡镇司法所审核后报司法局申领务工补助和</w:t>
            </w:r>
            <w:r>
              <w:rPr>
                <w:rFonts w:hint="cs" w:ascii="方正书宋_GBK" w:eastAsia="方正书宋_GBK"/>
                <w:cs/>
              </w:rPr>
              <w:t>“</w:t>
            </w:r>
            <w:r>
              <w:rPr>
                <w:rFonts w:hint="eastAsia" w:ascii="方正书宋_GBK" w:eastAsia="方正书宋_GBK"/>
              </w:rPr>
              <w:t>以案定补</w:t>
            </w:r>
            <w:r>
              <w:rPr>
                <w:rFonts w:hint="cs" w:ascii="方正书宋_GBK" w:eastAsia="方正书宋_GBK"/>
                <w:cs/>
              </w:rPr>
              <w:t>”</w:t>
            </w:r>
            <w:r>
              <w:rPr>
                <w:rFonts w:hint="eastAsia" w:ascii="方正书宋_GBK" w:eastAsia="方正书宋_GBK"/>
              </w:rPr>
              <w:t>，司法局对上报的调解案卷进行核实分类梳理、登记造册，按照人民调解补贴办法补贴。做好</w:t>
            </w:r>
            <w:r>
              <w:rPr>
                <w:rFonts w:ascii="方正书宋_GBK" w:eastAsia="方正书宋_GBK"/>
              </w:rPr>
              <w:t>350</w:t>
            </w:r>
            <w:r>
              <w:rPr>
                <w:rFonts w:hint="eastAsia" w:ascii="方正书宋_GBK" w:eastAsia="方正书宋_GBK"/>
              </w:rPr>
              <w:t>余名社区矫正服刑人员监管教育帮扶工作，采取审前调查、手机定位、手环定位、指纹识别、远程视频等技术进行监管、教育、训戒、心理辅导等工作，预防和减少社区服刑人员重新违法犯罪，维护社会和谐稳定。</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深化人民调解、社区矫正和安置帮教工作，最大限度降低重新违法犯罪和社会不稳定因素发生率</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人民调解案件数（件）</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&lt;100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服刑人员信息核查率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安置帮教衔接人数（人次）</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社区矫正人数（人）</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250</w:t>
            </w:r>
          </w:p>
        </w:tc>
        <w:tc>
          <w:tcPr>
            <w:tcW w:w="737" w:type="dxa"/>
            <w:vAlign w:val="center"/>
          </w:tcPr>
          <w:p>
            <w:pPr>
              <w:spacing w:line="300" w:lineRule="exact"/>
              <w:jc w:val="center"/>
              <w:rPr>
                <w:rFonts w:ascii="方正书宋_GBK" w:eastAsia="方正书宋_GBK"/>
              </w:rPr>
            </w:pPr>
            <w:r>
              <w:rPr>
                <w:rFonts w:ascii="方正书宋_GBK" w:eastAsia="方正书宋_GBK"/>
              </w:rPr>
              <w:t>&lt;250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再犯罪减低率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&lt;0.2%</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0.2%</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0.3%</w:t>
            </w:r>
          </w:p>
        </w:tc>
        <w:tc>
          <w:tcPr>
            <w:tcW w:w="737" w:type="dxa"/>
            <w:vAlign w:val="center"/>
          </w:tcPr>
          <w:p>
            <w:pPr>
              <w:spacing w:line="300" w:lineRule="exact"/>
              <w:jc w:val="center"/>
              <w:rPr>
                <w:rFonts w:ascii="方正书宋_GBK" w:eastAsia="方正书宋_GBK"/>
              </w:rPr>
            </w:pPr>
            <w:r>
              <w:rPr>
                <w:rFonts w:ascii="方正书宋_GBK" w:eastAsia="方正书宋_GBK"/>
              </w:rPr>
              <w:t>&gt;0.4%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、法律援助</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10.00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落实法律援助的法律法规和政策的执行；规划法律援助事业发展；管理区法律援助机构和法律援助从业人员；组织指导全区社会组织和志愿者开展法律援助工作；办理法律援助案件，政府购买法律援助服务；管理</w:t>
            </w:r>
            <w:r>
              <w:rPr>
                <w:rFonts w:hint="cs" w:ascii="方正书宋_GBK" w:eastAsia="方正书宋_GBK"/>
                <w:cs/>
              </w:rPr>
              <w:t>“</w:t>
            </w:r>
            <w:r>
              <w:rPr>
                <w:rFonts w:ascii="方正书宋_GBK" w:eastAsia="方正书宋_GBK"/>
              </w:rPr>
              <w:t>12350”</w:t>
            </w:r>
            <w:r>
              <w:rPr>
                <w:rFonts w:hint="eastAsia" w:ascii="方正书宋_GBK" w:eastAsia="方正书宋_GBK"/>
              </w:rPr>
              <w:t>法律援助专线；组织实施全区中央专项彩票公益金项目，开展法律援助理论研究等工作。扩大法律援助覆盖面，推动全区法律援助工作长足发展。按照</w:t>
            </w:r>
            <w:r>
              <w:rPr>
                <w:rFonts w:hint="cs" w:ascii="方正书宋_GBK" w:eastAsia="方正书宋_GBK"/>
                <w:cs/>
              </w:rPr>
              <w:t>“</w:t>
            </w:r>
            <w:r>
              <w:rPr>
                <w:rFonts w:hint="eastAsia" w:ascii="方正书宋_GBK" w:eastAsia="方正书宋_GBK"/>
              </w:rPr>
              <w:t>法律事务咨询、矛盾纠纷化解、困难群众维权、法律服务指引和提供</w:t>
            </w:r>
            <w:r>
              <w:rPr>
                <w:rFonts w:hint="cs" w:ascii="方正书宋_GBK" w:eastAsia="方正书宋_GBK"/>
                <w:cs/>
              </w:rPr>
              <w:t>”</w:t>
            </w:r>
            <w:r>
              <w:rPr>
                <w:rFonts w:hint="eastAsia" w:ascii="方正书宋_GBK" w:eastAsia="方正书宋_GBK"/>
              </w:rPr>
              <w:t>的平台建设功能定位，统筹整合公共法律服务资源，着力打造实体、热线和网络三大平台，实现公共法律服务的标准化、精准化、便捷化，最大限度地为人民群众提供普惠式、公益性、可选择的公共法律服务。</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扩大法律援助覆盖面，推动全区法律援助工作长足发展。</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法律援助案件办结率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97%</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94%</w:t>
            </w:r>
          </w:p>
        </w:tc>
        <w:tc>
          <w:tcPr>
            <w:tcW w:w="737" w:type="dxa"/>
            <w:vAlign w:val="center"/>
          </w:tcPr>
          <w:p>
            <w:pPr>
              <w:spacing w:line="300" w:lineRule="exact"/>
              <w:jc w:val="center"/>
              <w:rPr>
                <w:rFonts w:ascii="方正书宋_GBK" w:eastAsia="方正书宋_GBK"/>
              </w:rPr>
            </w:pPr>
            <w:r>
              <w:rPr>
                <w:rFonts w:ascii="方正书宋_GBK" w:eastAsia="方正书宋_GBK"/>
              </w:rPr>
              <w:t>&lt;94%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办理法律援助案件数量（件）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印刷的法律援助宣传资料数量（册）</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800</w:t>
            </w:r>
          </w:p>
        </w:tc>
        <w:tc>
          <w:tcPr>
            <w:tcW w:w="737" w:type="dxa"/>
            <w:vAlign w:val="center"/>
          </w:tcPr>
          <w:p>
            <w:pPr>
              <w:spacing w:line="300" w:lineRule="exact"/>
              <w:jc w:val="center"/>
              <w:rPr>
                <w:rFonts w:ascii="方正书宋_GBK" w:eastAsia="方正书宋_GBK"/>
              </w:rPr>
            </w:pPr>
            <w:r>
              <w:rPr>
                <w:rFonts w:ascii="方正书宋_GBK" w:eastAsia="方正书宋_GBK"/>
              </w:rPr>
              <w:t>&lt;800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、司法鉴定</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拟定全区司法鉴定管理规定和技术规范；完成全区司法鉴定人和司法鉴定机构登记管理工作；负责区司法鉴定机构的管理工作；开展面向社会的司法鉴定资质管理、质量管理和司法鉴定人继续教育培训。</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规范司法鉴定机构和司法鉴定人的管理，提高司法鉴定人员素质，促进司法鉴定的公正、公平。</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司法鉴定培训人次</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ascii="方正书宋_GBK" w:eastAsia="方正书宋_GBK"/>
              </w:rPr>
              <w:t>&lt;1</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司法鉴定培训人次</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人</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人</w:t>
            </w:r>
          </w:p>
        </w:tc>
        <w:tc>
          <w:tcPr>
            <w:tcW w:w="737" w:type="dxa"/>
            <w:vAlign w:val="center"/>
          </w:tcPr>
          <w:p>
            <w:pPr>
              <w:spacing w:line="300" w:lineRule="exact"/>
              <w:jc w:val="center"/>
              <w:rPr>
                <w:rFonts w:ascii="方正书宋_GBK" w:eastAsia="方正书宋_GBK"/>
              </w:rPr>
            </w:pPr>
            <w:r>
              <w:rPr>
                <w:rFonts w:ascii="方正书宋_GBK" w:eastAsia="方正书宋_GBK"/>
              </w:rPr>
              <w:t>&lt;8</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司法简定机构年检率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二、司法政务管理</w:t>
            </w:r>
          </w:p>
        </w:tc>
        <w:tc>
          <w:tcPr>
            <w:tcW w:w="1276" w:type="dxa"/>
            <w:vAlign w:val="center"/>
          </w:tcPr>
          <w:p>
            <w:pPr>
              <w:spacing w:line="300" w:lineRule="exact"/>
              <w:jc w:val="left"/>
              <w:rPr>
                <w:rFonts w:ascii="方正书宋_GBK" w:eastAsia="方正书宋_GBK"/>
              </w:rPr>
            </w:pPr>
            <w:r>
              <w:rPr>
                <w:rFonts w:ascii="方正书宋_GBK" w:eastAsia="方正书宋_GBK"/>
              </w:rPr>
              <w:t>47.40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负责机关综合业务管理和机关直属事业单位综合事务管理。</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促进司法系统执法能力全面提升</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、司法教育培训</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开展学历教育和政法干警试点生培养</w:t>
            </w:r>
            <w:r>
              <w:rPr>
                <w:rFonts w:ascii="方正书宋_GBK" w:eastAsia="方正书宋_GBK"/>
              </w:rPr>
              <w:t>,</w:t>
            </w:r>
            <w:r>
              <w:rPr>
                <w:rFonts w:hint="eastAsia" w:ascii="方正书宋_GBK" w:eastAsia="方正书宋_GBK"/>
              </w:rPr>
              <w:t>核心专业比例提高</w:t>
            </w:r>
            <w:r>
              <w:rPr>
                <w:rFonts w:ascii="方正书宋_GBK" w:eastAsia="方正书宋_GBK"/>
              </w:rPr>
              <w:t>0.1%</w:t>
            </w:r>
            <w:r>
              <w:rPr>
                <w:rFonts w:hint="eastAsia" w:ascii="方正书宋_GBK" w:eastAsia="方正书宋_GBK"/>
              </w:rPr>
              <w:t>，即具有法学类、教育学、心理学、信息工程、等专业人数占队伍总人数比例提高。</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开展学历教育和政法干警试点生培养</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培训完成率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47.40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负责系统物资装备管理；指导监督系统计划财务工作及队伍建设；优化支出结构，当年人员支出、项目支出比例进一步优化。</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加强纪检审计监督、信息化建设等，促进司法行政系统各项事业健康发展。</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、综合政务管理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负责机关和直属事业单位经济财务等活动的内部审计监督；承办区政府交办的其他事项。推动充分利用社会力量参与司法行政工作，工勤人员、合同制辅助人员总数与队伍总人数的比例提高</w:t>
            </w:r>
            <w:r>
              <w:rPr>
                <w:rFonts w:ascii="方正书宋_GBK" w:eastAsia="方正书宋_GBK"/>
              </w:rPr>
              <w:t>0.2%</w:t>
            </w:r>
            <w:r>
              <w:rPr>
                <w:rFonts w:hint="eastAsia" w:ascii="方正书宋_GBK" w:eastAsia="方正书宋_GBK"/>
              </w:rPr>
              <w:t>。</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加强机关后勤保障，确保正常办公化境需要</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综合事物工作任务完成率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rPr>
          <w:rFonts w:hint="eastAsia" w:ascii="方正楷体_GBK" w:eastAsia="方正楷体_GBK"/>
          <w:sz w:val="24"/>
          <w:lang w:val="en-US" w:eastAsia="zh-CN"/>
        </w:rPr>
      </w:pPr>
      <w:r>
        <w:rPr>
          <w:rFonts w:hint="eastAsia" w:ascii="方正楷体_GBK" w:eastAsia="方正楷体_GBK"/>
          <w:sz w:val="24"/>
          <w:lang w:val="en-US" w:eastAsia="zh-CN"/>
        </w:rPr>
        <w:t xml:space="preserve">    </w:t>
      </w:r>
    </w:p>
    <w:p>
      <w:pPr>
        <w:spacing w:line="300" w:lineRule="exact"/>
        <w:jc w:val="left"/>
        <w:outlineLvl w:val="0"/>
        <w:sectPr>
          <w:pgSz w:w="16839" w:h="11907" w:orient="landscape"/>
          <w:pgMar w:top="1020" w:right="1361" w:bottom="1020" w:left="1361"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方正楷体_GBK" w:eastAsia="方正楷体_GBK"/>
          <w:sz w:val="24"/>
          <w:lang w:val="en-US" w:eastAsia="zh-CN"/>
        </w:rPr>
        <w:t xml:space="preserve">    </w:t>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p>
      <w:pPr>
        <w:widowControl/>
        <w:spacing w:before="100" w:beforeAutospacing="1" w:after="100" w:afterAutospacing="1"/>
        <w:jc w:val="left"/>
        <w:rPr>
          <w:rFonts w:ascii="微软雅黑" w:hAnsi="微软雅黑" w:eastAsia="微软雅黑" w:cs="宋体"/>
          <w:color w:val="000000"/>
          <w:kern w:val="0"/>
          <w:sz w:val="44"/>
          <w:szCs w:val="44"/>
        </w:rPr>
      </w:pPr>
      <w:r>
        <w:rPr>
          <w:rFonts w:hint="eastAsia" w:ascii="仿宋" w:hAnsi="仿宋" w:eastAsia="仿宋" w:cs="宋体"/>
          <w:b/>
          <w:bCs/>
          <w:color w:val="000000"/>
          <w:kern w:val="0"/>
          <w:sz w:val="32"/>
          <w:szCs w:val="32"/>
        </w:rPr>
        <w:t>六、2018年度政府采购支出情况说明</w:t>
      </w:r>
      <w:r>
        <w:rPr>
          <w:rFonts w:hint="eastAsia" w:ascii="微软雅黑" w:hAnsi="微软雅黑" w:eastAsia="微软雅黑" w:cs="宋体"/>
          <w:color w:val="000000"/>
          <w:kern w:val="0"/>
          <w:sz w:val="44"/>
          <w:szCs w:val="44"/>
        </w:rPr>
        <w:t> </w:t>
      </w:r>
    </w:p>
    <w:p>
      <w:pPr>
        <w:widowControl/>
        <w:spacing w:before="100" w:beforeAutospacing="1" w:after="100" w:afterAutospacing="1"/>
        <w:ind w:firstLine="643"/>
        <w:jc w:val="left"/>
        <w:rPr>
          <w:rFonts w:ascii="微软雅黑" w:hAnsi="微软雅黑" w:eastAsia="微软雅黑" w:cs="宋体"/>
          <w:color w:val="000000"/>
          <w:kern w:val="0"/>
          <w:sz w:val="24"/>
          <w:szCs w:val="24"/>
        </w:rPr>
      </w:pPr>
      <w:r>
        <w:rPr>
          <w:rFonts w:hint="eastAsia" w:ascii="仿宋" w:hAnsi="仿宋" w:eastAsia="仿宋" w:cs="仿宋"/>
          <w:sz w:val="32"/>
          <w:szCs w:val="32"/>
        </w:rPr>
        <w:t>2019年，我局安排政府采购预算0万元。具体内容见下表。</w:t>
      </w:r>
    </w:p>
    <w:tbl>
      <w:tblPr>
        <w:tblStyle w:val="9"/>
        <w:tblW w:w="13628" w:type="dxa"/>
        <w:tblInd w:w="-544" w:type="dxa"/>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Layout w:type="fixed"/>
        <w:tblCellMar>
          <w:top w:w="17" w:type="dxa"/>
          <w:left w:w="17" w:type="dxa"/>
          <w:bottom w:w="17" w:type="dxa"/>
          <w:right w:w="17" w:type="dxa"/>
        </w:tblCellMar>
      </w:tblPr>
      <w:tblGrid>
        <w:gridCol w:w="1222"/>
        <w:gridCol w:w="1248"/>
        <w:gridCol w:w="1009"/>
        <w:gridCol w:w="1106"/>
        <w:gridCol w:w="789"/>
        <w:gridCol w:w="513"/>
        <w:gridCol w:w="640"/>
        <w:gridCol w:w="812"/>
        <w:gridCol w:w="1020"/>
        <w:gridCol w:w="1012"/>
        <w:gridCol w:w="1020"/>
        <w:gridCol w:w="1009"/>
        <w:gridCol w:w="1129"/>
        <w:gridCol w:w="1099"/>
      </w:tblGrid>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17" w:type="dxa"/>
            <w:left w:w="17" w:type="dxa"/>
            <w:bottom w:w="17" w:type="dxa"/>
            <w:right w:w="17" w:type="dxa"/>
          </w:tblCellMar>
        </w:tblPrEx>
        <w:trPr>
          <w:cantSplit/>
          <w:trHeight w:val="1137" w:hRule="atLeast"/>
        </w:trPr>
        <w:tc>
          <w:tcPr>
            <w:tcW w:w="2470" w:type="dxa"/>
            <w:gridSpan w:val="2"/>
            <w:tcBorders>
              <w:tl2br w:val="nil"/>
              <w:tr2bl w:val="nil"/>
            </w:tcBorders>
            <w:vAlign w:val="center"/>
          </w:tcPr>
          <w:p>
            <w:pPr>
              <w:widowControl/>
              <w:wordWrap/>
              <w:adjustRightInd/>
              <w:snapToGrid/>
              <w:spacing w:before="100" w:beforeAutospacing="1" w:after="100" w:afterAutospacing="1" w:line="42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政府采购项目来源</w:t>
            </w:r>
          </w:p>
        </w:tc>
        <w:tc>
          <w:tcPr>
            <w:tcW w:w="1009" w:type="dxa"/>
            <w:vMerge w:val="restart"/>
            <w:tcBorders>
              <w:tl2br w:val="nil"/>
              <w:tr2bl w:val="nil"/>
            </w:tcBorders>
            <w:vAlign w:val="center"/>
          </w:tcPr>
          <w:p>
            <w:pPr>
              <w:widowControl/>
              <w:wordWrap/>
              <w:adjustRightInd/>
              <w:snapToGrid/>
              <w:spacing w:before="100" w:beforeAutospacing="1" w:after="100" w:afterAutospacing="1" w:line="42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采购物品名称</w:t>
            </w:r>
          </w:p>
        </w:tc>
        <w:tc>
          <w:tcPr>
            <w:tcW w:w="1106" w:type="dxa"/>
            <w:tcBorders>
              <w:tl2br w:val="nil"/>
              <w:tr2bl w:val="nil"/>
            </w:tcBorders>
            <w:vAlign w:val="center"/>
          </w:tcPr>
          <w:p>
            <w:pPr>
              <w:widowControl/>
              <w:wordWrap/>
              <w:adjustRightInd/>
              <w:snapToGrid/>
              <w:spacing w:before="100" w:beforeAutospacing="1" w:after="100" w:afterAutospacing="1" w:line="42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政府采购目录序号</w:t>
            </w:r>
          </w:p>
        </w:tc>
        <w:tc>
          <w:tcPr>
            <w:tcW w:w="789" w:type="dxa"/>
            <w:tcBorders>
              <w:tl2br w:val="nil"/>
              <w:tr2bl w:val="nil"/>
            </w:tcBorders>
            <w:vAlign w:val="center"/>
          </w:tcPr>
          <w:p>
            <w:pPr>
              <w:widowControl/>
              <w:wordWrap/>
              <w:adjustRightInd/>
              <w:snapToGrid/>
              <w:spacing w:before="100" w:beforeAutospacing="1" w:after="100" w:afterAutospacing="1" w:line="360" w:lineRule="exact"/>
              <w:ind w:left="0" w:leftChars="0" w:right="0" w:firstLine="0" w:firstLineChars="0"/>
              <w:jc w:val="center"/>
              <w:textAlignment w:val="center"/>
              <w:outlineLvl w:val="9"/>
              <w:rPr>
                <w:rFonts w:hint="eastAsia"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数量</w:t>
            </w:r>
          </w:p>
          <w:p>
            <w:pPr>
              <w:widowControl/>
              <w:wordWrap/>
              <w:adjustRightInd/>
              <w:snapToGrid/>
              <w:spacing w:before="100" w:beforeAutospacing="1" w:after="100" w:afterAutospacing="1" w:line="36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单位</w:t>
            </w:r>
          </w:p>
        </w:tc>
        <w:tc>
          <w:tcPr>
            <w:tcW w:w="513" w:type="dxa"/>
            <w:tcBorders>
              <w:tl2br w:val="nil"/>
              <w:tr2bl w:val="nil"/>
            </w:tcBorders>
            <w:vAlign w:val="center"/>
          </w:tcPr>
          <w:p>
            <w:pPr>
              <w:widowControl/>
              <w:wordWrap/>
              <w:adjustRightInd/>
              <w:snapToGrid/>
              <w:spacing w:before="100" w:beforeAutospacing="1" w:after="100" w:afterAutospacing="1" w:line="42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数量</w:t>
            </w:r>
          </w:p>
        </w:tc>
        <w:tc>
          <w:tcPr>
            <w:tcW w:w="640" w:type="dxa"/>
            <w:tcBorders>
              <w:tl2br w:val="nil"/>
              <w:tr2bl w:val="nil"/>
            </w:tcBorders>
            <w:vAlign w:val="center"/>
          </w:tcPr>
          <w:p>
            <w:pPr>
              <w:widowControl/>
              <w:wordWrap/>
              <w:adjustRightInd/>
              <w:snapToGrid/>
              <w:spacing w:before="100" w:beforeAutospacing="1" w:after="100" w:afterAutospacing="1" w:line="42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单价</w:t>
            </w:r>
          </w:p>
        </w:tc>
        <w:tc>
          <w:tcPr>
            <w:tcW w:w="7101" w:type="dxa"/>
            <w:gridSpan w:val="7"/>
            <w:tcBorders>
              <w:tl2br w:val="nil"/>
              <w:tr2bl w:val="nil"/>
            </w:tcBorders>
            <w:vAlign w:val="center"/>
          </w:tcPr>
          <w:p>
            <w:pPr>
              <w:widowControl/>
              <w:wordWrap/>
              <w:adjustRightInd/>
              <w:snapToGrid/>
              <w:spacing w:before="100" w:beforeAutospacing="1" w:after="100" w:afterAutospacing="1" w:line="420" w:lineRule="exact"/>
              <w:ind w:left="0" w:leftChars="0" w:right="0" w:firstLine="0" w:firstLineChars="0"/>
              <w:jc w:val="center"/>
              <w:textAlignment w:val="center"/>
              <w:outlineLvl w:val="9"/>
              <w:rPr>
                <w:rFonts w:ascii="宋体" w:hAnsi="宋体" w:eastAsia="宋体" w:cs="宋体"/>
                <w:kern w:val="0"/>
                <w:sz w:val="24"/>
                <w:szCs w:val="24"/>
              </w:rPr>
            </w:pPr>
            <w:r>
              <w:rPr>
                <w:rFonts w:hint="eastAsia" w:ascii="方正书宋_GBK" w:hAnsi="宋体" w:eastAsia="方正书宋_GBK" w:cs="宋体"/>
                <w:b/>
                <w:bCs/>
                <w:color w:val="000000"/>
                <w:kern w:val="0"/>
                <w:szCs w:val="21"/>
              </w:rPr>
              <w:t>政府采购金额</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17" w:type="dxa"/>
            <w:left w:w="17" w:type="dxa"/>
            <w:bottom w:w="17" w:type="dxa"/>
            <w:right w:w="17" w:type="dxa"/>
          </w:tblCellMar>
        </w:tblPrEx>
        <w:trPr>
          <w:cantSplit/>
          <w:trHeight w:val="285" w:hRule="atLeast"/>
        </w:trPr>
        <w:tc>
          <w:tcPr>
            <w:tcW w:w="1222" w:type="dxa"/>
            <w:vMerge w:val="restart"/>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项目名称</w:t>
            </w:r>
          </w:p>
        </w:tc>
        <w:tc>
          <w:tcPr>
            <w:tcW w:w="1248" w:type="dxa"/>
            <w:vMerge w:val="restart"/>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预算资金</w:t>
            </w:r>
          </w:p>
        </w:tc>
        <w:tc>
          <w:tcPr>
            <w:tcW w:w="1009" w:type="dxa"/>
            <w:tcBorders>
              <w:tl2br w:val="nil"/>
              <w:tr2bl w:val="nil"/>
            </w:tcBorders>
            <w:vAlign w:val="center"/>
          </w:tcPr>
          <w:p>
            <w:pPr>
              <w:widowControl/>
              <w:jc w:val="left"/>
              <w:rPr>
                <w:rFonts w:ascii="宋体" w:hAnsi="宋体" w:eastAsia="宋体" w:cs="宋体"/>
                <w:kern w:val="0"/>
                <w:sz w:val="24"/>
                <w:szCs w:val="24"/>
              </w:rPr>
            </w:pPr>
          </w:p>
        </w:tc>
        <w:tc>
          <w:tcPr>
            <w:tcW w:w="1106" w:type="dxa"/>
            <w:tcBorders>
              <w:tl2br w:val="nil"/>
              <w:tr2bl w:val="nil"/>
            </w:tcBorders>
            <w:vAlign w:val="center"/>
          </w:tcPr>
          <w:p>
            <w:pPr>
              <w:widowControl/>
              <w:jc w:val="left"/>
              <w:rPr>
                <w:rFonts w:ascii="宋体" w:hAnsi="宋体" w:eastAsia="宋体" w:cs="宋体"/>
                <w:kern w:val="0"/>
                <w:sz w:val="24"/>
                <w:szCs w:val="24"/>
              </w:rPr>
            </w:pPr>
          </w:p>
        </w:tc>
        <w:tc>
          <w:tcPr>
            <w:tcW w:w="789" w:type="dxa"/>
            <w:tcBorders>
              <w:tl2br w:val="nil"/>
              <w:tr2bl w:val="nil"/>
            </w:tcBorders>
            <w:vAlign w:val="center"/>
          </w:tcPr>
          <w:p>
            <w:pPr>
              <w:widowControl/>
              <w:jc w:val="left"/>
              <w:rPr>
                <w:rFonts w:ascii="宋体" w:hAnsi="宋体" w:eastAsia="宋体" w:cs="宋体"/>
                <w:kern w:val="0"/>
                <w:sz w:val="24"/>
                <w:szCs w:val="24"/>
              </w:rPr>
            </w:pPr>
          </w:p>
        </w:tc>
        <w:tc>
          <w:tcPr>
            <w:tcW w:w="513" w:type="dxa"/>
            <w:tcBorders>
              <w:tl2br w:val="nil"/>
              <w:tr2bl w:val="nil"/>
            </w:tcBorders>
            <w:vAlign w:val="center"/>
          </w:tcPr>
          <w:p>
            <w:pPr>
              <w:widowControl/>
              <w:jc w:val="left"/>
              <w:rPr>
                <w:rFonts w:ascii="宋体" w:hAnsi="宋体" w:eastAsia="宋体" w:cs="宋体"/>
                <w:kern w:val="0"/>
                <w:sz w:val="24"/>
                <w:szCs w:val="24"/>
              </w:rPr>
            </w:pPr>
          </w:p>
        </w:tc>
        <w:tc>
          <w:tcPr>
            <w:tcW w:w="640" w:type="dxa"/>
            <w:tcBorders>
              <w:tl2br w:val="nil"/>
              <w:tr2bl w:val="nil"/>
            </w:tcBorders>
            <w:vAlign w:val="center"/>
          </w:tcPr>
          <w:p>
            <w:pPr>
              <w:widowControl/>
              <w:jc w:val="left"/>
              <w:rPr>
                <w:rFonts w:ascii="宋体" w:hAnsi="宋体" w:eastAsia="宋体" w:cs="宋体"/>
                <w:kern w:val="0"/>
                <w:sz w:val="24"/>
                <w:szCs w:val="24"/>
              </w:rPr>
            </w:pPr>
          </w:p>
        </w:tc>
        <w:tc>
          <w:tcPr>
            <w:tcW w:w="812" w:type="dxa"/>
            <w:vMerge w:val="restart"/>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总计</w:t>
            </w:r>
          </w:p>
        </w:tc>
        <w:tc>
          <w:tcPr>
            <w:tcW w:w="5190" w:type="dxa"/>
            <w:gridSpan w:val="5"/>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当年部门预算安排资金</w:t>
            </w:r>
          </w:p>
        </w:tc>
        <w:tc>
          <w:tcPr>
            <w:tcW w:w="1099"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其他渠道资金</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17" w:type="dxa"/>
            <w:left w:w="17" w:type="dxa"/>
            <w:bottom w:w="17" w:type="dxa"/>
            <w:right w:w="17" w:type="dxa"/>
          </w:tblCellMar>
        </w:tblPrEx>
        <w:trPr>
          <w:cantSplit/>
          <w:trHeight w:val="510" w:hRule="atLeast"/>
        </w:trPr>
        <w:tc>
          <w:tcPr>
            <w:tcW w:w="1222" w:type="dxa"/>
            <w:vMerge w:val="continue"/>
            <w:tcBorders>
              <w:tl2br w:val="nil"/>
              <w:tr2bl w:val="nil"/>
            </w:tcBorders>
            <w:vAlign w:val="center"/>
          </w:tcPr>
          <w:p>
            <w:pPr>
              <w:widowControl/>
              <w:jc w:val="left"/>
              <w:rPr>
                <w:rFonts w:ascii="宋体" w:hAnsi="宋体" w:eastAsia="宋体" w:cs="宋体"/>
                <w:kern w:val="0"/>
                <w:sz w:val="24"/>
                <w:szCs w:val="24"/>
              </w:rPr>
            </w:pPr>
          </w:p>
        </w:tc>
        <w:tc>
          <w:tcPr>
            <w:tcW w:w="1248" w:type="dxa"/>
            <w:vMerge w:val="continue"/>
            <w:tcBorders>
              <w:tl2br w:val="nil"/>
              <w:tr2bl w:val="nil"/>
            </w:tcBorders>
            <w:vAlign w:val="center"/>
          </w:tcPr>
          <w:p>
            <w:pPr>
              <w:widowControl/>
              <w:jc w:val="left"/>
              <w:rPr>
                <w:rFonts w:ascii="宋体" w:hAnsi="宋体" w:eastAsia="宋体" w:cs="宋体"/>
                <w:kern w:val="0"/>
                <w:sz w:val="24"/>
                <w:szCs w:val="24"/>
              </w:rPr>
            </w:pPr>
          </w:p>
        </w:tc>
        <w:tc>
          <w:tcPr>
            <w:tcW w:w="1009" w:type="dxa"/>
            <w:tcBorders>
              <w:tl2br w:val="nil"/>
              <w:tr2bl w:val="nil"/>
            </w:tcBorders>
            <w:vAlign w:val="center"/>
          </w:tcPr>
          <w:p>
            <w:pPr>
              <w:widowControl/>
              <w:jc w:val="left"/>
              <w:rPr>
                <w:rFonts w:ascii="宋体" w:hAnsi="宋体" w:eastAsia="宋体" w:cs="宋体"/>
                <w:kern w:val="0"/>
                <w:sz w:val="24"/>
                <w:szCs w:val="24"/>
              </w:rPr>
            </w:pPr>
          </w:p>
        </w:tc>
        <w:tc>
          <w:tcPr>
            <w:tcW w:w="1106" w:type="dxa"/>
            <w:tcBorders>
              <w:tl2br w:val="nil"/>
              <w:tr2bl w:val="nil"/>
            </w:tcBorders>
            <w:vAlign w:val="center"/>
          </w:tcPr>
          <w:p>
            <w:pPr>
              <w:widowControl/>
              <w:jc w:val="left"/>
              <w:rPr>
                <w:rFonts w:ascii="宋体" w:hAnsi="宋体" w:eastAsia="宋体" w:cs="宋体"/>
                <w:kern w:val="0"/>
                <w:sz w:val="24"/>
                <w:szCs w:val="24"/>
              </w:rPr>
            </w:pPr>
          </w:p>
        </w:tc>
        <w:tc>
          <w:tcPr>
            <w:tcW w:w="789" w:type="dxa"/>
            <w:tcBorders>
              <w:tl2br w:val="nil"/>
              <w:tr2bl w:val="nil"/>
            </w:tcBorders>
            <w:vAlign w:val="center"/>
          </w:tcPr>
          <w:p>
            <w:pPr>
              <w:widowControl/>
              <w:jc w:val="left"/>
              <w:rPr>
                <w:rFonts w:ascii="宋体" w:hAnsi="宋体" w:eastAsia="宋体" w:cs="宋体"/>
                <w:kern w:val="0"/>
                <w:sz w:val="24"/>
                <w:szCs w:val="24"/>
              </w:rPr>
            </w:pPr>
          </w:p>
        </w:tc>
        <w:tc>
          <w:tcPr>
            <w:tcW w:w="513" w:type="dxa"/>
            <w:tcBorders>
              <w:tl2br w:val="nil"/>
              <w:tr2bl w:val="nil"/>
            </w:tcBorders>
            <w:vAlign w:val="center"/>
          </w:tcPr>
          <w:p>
            <w:pPr>
              <w:widowControl/>
              <w:jc w:val="left"/>
              <w:rPr>
                <w:rFonts w:ascii="宋体" w:hAnsi="宋体" w:eastAsia="宋体" w:cs="宋体"/>
                <w:kern w:val="0"/>
                <w:sz w:val="24"/>
                <w:szCs w:val="24"/>
              </w:rPr>
            </w:pPr>
          </w:p>
        </w:tc>
        <w:tc>
          <w:tcPr>
            <w:tcW w:w="640" w:type="dxa"/>
            <w:tcBorders>
              <w:tl2br w:val="nil"/>
              <w:tr2bl w:val="nil"/>
            </w:tcBorders>
            <w:vAlign w:val="center"/>
          </w:tcPr>
          <w:p>
            <w:pPr>
              <w:widowControl/>
              <w:jc w:val="left"/>
              <w:rPr>
                <w:rFonts w:ascii="宋体" w:hAnsi="宋体" w:eastAsia="宋体" w:cs="宋体"/>
                <w:kern w:val="0"/>
                <w:sz w:val="24"/>
                <w:szCs w:val="24"/>
              </w:rPr>
            </w:pPr>
          </w:p>
        </w:tc>
        <w:tc>
          <w:tcPr>
            <w:tcW w:w="812" w:type="dxa"/>
            <w:vMerge w:val="continue"/>
            <w:tcBorders>
              <w:tl2br w:val="nil"/>
              <w:tr2bl w:val="nil"/>
            </w:tcBorders>
            <w:vAlign w:val="center"/>
          </w:tcPr>
          <w:p>
            <w:pPr>
              <w:widowControl/>
              <w:jc w:val="left"/>
              <w:rPr>
                <w:rFonts w:ascii="宋体" w:hAnsi="宋体" w:eastAsia="宋体" w:cs="宋体"/>
                <w:kern w:val="0"/>
                <w:sz w:val="24"/>
                <w:szCs w:val="24"/>
              </w:rPr>
            </w:pPr>
          </w:p>
        </w:tc>
        <w:tc>
          <w:tcPr>
            <w:tcW w:w="1020"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合计</w:t>
            </w:r>
          </w:p>
        </w:tc>
        <w:tc>
          <w:tcPr>
            <w:tcW w:w="1012"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一般公共预算拨款</w:t>
            </w:r>
          </w:p>
        </w:tc>
        <w:tc>
          <w:tcPr>
            <w:tcW w:w="1020"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基金预算拨款</w:t>
            </w:r>
          </w:p>
        </w:tc>
        <w:tc>
          <w:tcPr>
            <w:tcW w:w="1009"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财政专户核拨</w:t>
            </w:r>
          </w:p>
        </w:tc>
        <w:tc>
          <w:tcPr>
            <w:tcW w:w="1129"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其他来源收入</w:t>
            </w:r>
          </w:p>
        </w:tc>
        <w:tc>
          <w:tcPr>
            <w:tcW w:w="1099" w:type="dxa"/>
            <w:tcBorders>
              <w:tl2br w:val="nil"/>
              <w:tr2bl w:val="nil"/>
            </w:tcBorders>
            <w:vAlign w:val="center"/>
          </w:tcPr>
          <w:p>
            <w:pPr>
              <w:widowControl/>
              <w:jc w:val="left"/>
              <w:rPr>
                <w:rFonts w:ascii="宋体" w:hAnsi="宋体" w:eastAsia="宋体" w:cs="宋体"/>
                <w:kern w:val="0"/>
                <w:sz w:val="24"/>
                <w:szCs w:val="24"/>
              </w:rPr>
            </w:pP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17" w:type="dxa"/>
            <w:left w:w="17" w:type="dxa"/>
            <w:bottom w:w="17" w:type="dxa"/>
            <w:right w:w="17" w:type="dxa"/>
          </w:tblCellMar>
        </w:tblPrEx>
        <w:trPr>
          <w:cantSplit/>
          <w:trHeight w:val="285" w:hRule="atLeast"/>
        </w:trPr>
        <w:tc>
          <w:tcPr>
            <w:tcW w:w="1222" w:type="dxa"/>
            <w:tcBorders>
              <w:tl2br w:val="nil"/>
              <w:tr2bl w:val="nil"/>
            </w:tcBorders>
            <w:vAlign w:val="center"/>
          </w:tcPr>
          <w:p>
            <w:pPr>
              <w:widowControl/>
              <w:spacing w:before="100" w:beforeAutospacing="1" w:after="100" w:afterAutospacing="1"/>
              <w:jc w:val="center"/>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合　计</w:t>
            </w:r>
          </w:p>
        </w:tc>
        <w:tc>
          <w:tcPr>
            <w:tcW w:w="1248" w:type="dxa"/>
            <w:tcBorders>
              <w:tl2br w:val="nil"/>
              <w:tr2bl w:val="nil"/>
            </w:tcBorders>
            <w:vAlign w:val="center"/>
          </w:tcPr>
          <w:p>
            <w:pPr>
              <w:widowControl/>
              <w:spacing w:before="100" w:beforeAutospacing="1" w:after="100" w:afterAutospacing="1"/>
              <w:jc w:val="righ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009" w:type="dxa"/>
            <w:tcBorders>
              <w:tl2br w:val="nil"/>
              <w:tr2bl w:val="nil"/>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106" w:type="dxa"/>
            <w:tcBorders>
              <w:tl2br w:val="nil"/>
              <w:tr2bl w:val="nil"/>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789" w:type="dxa"/>
            <w:tcBorders>
              <w:tl2br w:val="nil"/>
              <w:tr2bl w:val="nil"/>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513" w:type="dxa"/>
            <w:tcBorders>
              <w:tl2br w:val="nil"/>
              <w:tr2bl w:val="nil"/>
            </w:tcBorders>
            <w:vAlign w:val="center"/>
          </w:tcPr>
          <w:p>
            <w:pPr>
              <w:widowControl/>
              <w:spacing w:before="100" w:beforeAutospacing="1" w:after="100" w:afterAutospacing="1"/>
              <w:jc w:val="righ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640" w:type="dxa"/>
            <w:tcBorders>
              <w:tl2br w:val="nil"/>
              <w:tr2bl w:val="nil"/>
            </w:tcBorders>
            <w:vAlign w:val="center"/>
          </w:tcPr>
          <w:p>
            <w:pPr>
              <w:widowControl/>
              <w:spacing w:before="100" w:beforeAutospacing="1" w:after="100" w:afterAutospacing="1"/>
              <w:jc w:val="righ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812" w:type="dxa"/>
            <w:tcBorders>
              <w:tl2br w:val="nil"/>
              <w:tr2bl w:val="nil"/>
            </w:tcBorders>
            <w:vAlign w:val="center"/>
          </w:tcPr>
          <w:p>
            <w:pPr>
              <w:widowControl/>
              <w:spacing w:before="100" w:beforeAutospacing="1" w:after="100" w:afterAutospacing="1"/>
              <w:jc w:val="right"/>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020" w:type="dxa"/>
            <w:tcBorders>
              <w:tl2br w:val="nil"/>
              <w:tr2bl w:val="nil"/>
            </w:tcBorders>
            <w:vAlign w:val="center"/>
          </w:tcPr>
          <w:p>
            <w:pPr>
              <w:widowControl/>
              <w:spacing w:before="100" w:beforeAutospacing="1" w:after="100" w:afterAutospacing="1"/>
              <w:jc w:val="right"/>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012" w:type="dxa"/>
            <w:tcBorders>
              <w:tl2br w:val="nil"/>
              <w:tr2bl w:val="nil"/>
            </w:tcBorders>
            <w:vAlign w:val="center"/>
          </w:tcPr>
          <w:p>
            <w:pPr>
              <w:widowControl/>
              <w:spacing w:before="100" w:beforeAutospacing="1" w:after="100" w:afterAutospacing="1"/>
              <w:jc w:val="right"/>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020" w:type="dxa"/>
            <w:tcBorders>
              <w:tl2br w:val="nil"/>
              <w:tr2bl w:val="nil"/>
            </w:tcBorders>
            <w:vAlign w:val="center"/>
          </w:tcPr>
          <w:p>
            <w:pPr>
              <w:widowControl/>
              <w:spacing w:before="100" w:beforeAutospacing="1" w:after="100" w:afterAutospacing="1"/>
              <w:jc w:val="right"/>
              <w:textAlignment w:val="center"/>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009" w:type="dxa"/>
            <w:tcBorders>
              <w:tl2br w:val="nil"/>
              <w:tr2bl w:val="nil"/>
            </w:tcBorders>
            <w:vAlign w:val="center"/>
          </w:tcPr>
          <w:p>
            <w:pPr>
              <w:widowControl/>
              <w:spacing w:before="100" w:beforeAutospacing="1" w:after="100" w:afterAutospacing="1"/>
              <w:jc w:val="righ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129" w:type="dxa"/>
            <w:tcBorders>
              <w:tl2br w:val="nil"/>
              <w:tr2bl w:val="nil"/>
            </w:tcBorders>
            <w:vAlign w:val="center"/>
          </w:tcPr>
          <w:p>
            <w:pPr>
              <w:widowControl/>
              <w:spacing w:before="100" w:beforeAutospacing="1" w:after="100" w:afterAutospacing="1"/>
              <w:jc w:val="righ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c>
          <w:tcPr>
            <w:tcW w:w="1099" w:type="dxa"/>
            <w:tcBorders>
              <w:tl2br w:val="nil"/>
              <w:tr2bl w:val="nil"/>
            </w:tcBorders>
            <w:vAlign w:val="center"/>
          </w:tcPr>
          <w:p>
            <w:pPr>
              <w:widowControl/>
              <w:spacing w:before="100" w:beforeAutospacing="1" w:after="100" w:afterAutospacing="1"/>
              <w:jc w:val="right"/>
              <w:rPr>
                <w:rFonts w:ascii="宋体" w:hAnsi="宋体" w:eastAsia="宋体" w:cs="宋体"/>
                <w:kern w:val="0"/>
                <w:sz w:val="24"/>
                <w:szCs w:val="24"/>
              </w:rPr>
            </w:pPr>
            <w:r>
              <w:rPr>
                <w:rFonts w:hint="eastAsia" w:ascii="方正书宋_GBK" w:hAnsi="宋体" w:eastAsia="方正书宋_GBK" w:cs="宋体"/>
                <w:b/>
                <w:bCs/>
                <w:color w:val="000000"/>
                <w:kern w:val="0"/>
                <w:szCs w:val="21"/>
              </w:rPr>
              <w:t> </w:t>
            </w:r>
          </w:p>
        </w:tc>
      </w:tr>
    </w:tbl>
    <w:p>
      <w:pPr>
        <w:widowControl/>
        <w:spacing w:before="100" w:beforeAutospacing="1" w:after="100" w:afterAutospacing="1" w:line="580" w:lineRule="atLeast"/>
        <w:ind w:firstLine="640"/>
        <w:jc w:val="left"/>
        <w:rPr>
          <w:rFonts w:ascii="微软雅黑" w:hAnsi="微软雅黑" w:eastAsia="微软雅黑" w:cs="宋体"/>
          <w:color w:val="000000"/>
          <w:kern w:val="0"/>
          <w:sz w:val="24"/>
          <w:szCs w:val="24"/>
        </w:rPr>
      </w:pPr>
      <w:r>
        <w:rPr>
          <w:rFonts w:hint="eastAsia" w:ascii="仿宋_GB2312" w:hAnsi="微软雅黑" w:eastAsia="仿宋_GB2312" w:cs="宋体"/>
          <w:color w:val="000000"/>
          <w:kern w:val="0"/>
          <w:sz w:val="32"/>
          <w:szCs w:val="32"/>
        </w:rPr>
        <w:t>2018年度我单位无政府采购预算，空表列示。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河北省财政厅（含所属单位）上年末固定资产金额为232.16万元（详见下表）。本年度拟购置固定资产总额为0.00万元，已按要求列入政府采购预算，详见政府采购预算表。</w:t>
      </w:r>
    </w:p>
    <w:tbl>
      <w:tblPr>
        <w:tblStyle w:val="9"/>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司法局部门固定资产占用情况表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编制部门：司法局</w:t>
            </w:r>
          </w:p>
        </w:tc>
        <w:tc>
          <w:tcPr>
            <w:tcW w:w="5103" w:type="dxa"/>
            <w:tcBorders>
              <w:top w:val="nil"/>
              <w:left w:val="nil"/>
              <w:bottom w:val="nil"/>
              <w:right w:val="nil"/>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232.16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0</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2372.58</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5</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74.11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0</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r>
              <w:rPr>
                <w:rFonts w:hint="eastAsia" w:ascii="Times New Roman" w:hAnsi="Times New Roman" w:cs="Times New Roman"/>
                <w:sz w:val="22"/>
              </w:rPr>
              <w:t>158.05</w:t>
            </w:r>
          </w:p>
        </w:tc>
      </w:tr>
    </w:tbl>
    <w:p>
      <w:pPr>
        <w:autoSpaceDE w:val="0"/>
        <w:autoSpaceDN w:val="0"/>
        <w:adjustRightInd w:val="0"/>
        <w:ind w:left="198" w:firstLine="640" w:firstLineChars="200"/>
        <w:jc w:val="left"/>
        <w:rPr>
          <w:rFonts w:hint="eastAsia" w:ascii="黑体" w:hAnsi="黑体" w:eastAsia="黑体" w:cs="Times New Roman"/>
          <w:sz w:val="32"/>
          <w:szCs w:val="32"/>
        </w:rPr>
      </w:pPr>
    </w:p>
    <w:p>
      <w:pPr>
        <w:autoSpaceDE w:val="0"/>
        <w:autoSpaceDN w:val="0"/>
        <w:adjustRightInd w:val="0"/>
        <w:ind w:left="198" w:firstLine="640" w:firstLineChars="200"/>
        <w:jc w:val="left"/>
        <w:rPr>
          <w:rFonts w:hint="eastAsia"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级财政当年拨付的资金。</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7、“三公”经费：纳入</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级财政预算管理的“三公”经费，是指</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我部门无其他需要说明的事项。</w:t>
      </w:r>
    </w:p>
    <w:sectPr>
      <w:pgSz w:w="16838" w:h="11906" w:orient="landscape"/>
      <w:pgMar w:top="1800" w:right="1440" w:bottom="1800" w:left="144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7"/>
        <w:rPr>
          <w:rFonts w:hint="eastAsia"/>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290F45"/>
    <w:multiLevelType w:val="singleLevel"/>
    <w:tmpl w:val="F8290F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F66032"/>
    <w:rsid w:val="00034786"/>
    <w:rsid w:val="00037AF6"/>
    <w:rsid w:val="00042F57"/>
    <w:rsid w:val="00055F5C"/>
    <w:rsid w:val="0006483E"/>
    <w:rsid w:val="00075D5F"/>
    <w:rsid w:val="00077D10"/>
    <w:rsid w:val="0008102F"/>
    <w:rsid w:val="000B529B"/>
    <w:rsid w:val="000C3A19"/>
    <w:rsid w:val="00110107"/>
    <w:rsid w:val="001245BB"/>
    <w:rsid w:val="001251A3"/>
    <w:rsid w:val="00165294"/>
    <w:rsid w:val="0017763C"/>
    <w:rsid w:val="001B4EF3"/>
    <w:rsid w:val="001F7873"/>
    <w:rsid w:val="00241FD4"/>
    <w:rsid w:val="00251B12"/>
    <w:rsid w:val="00296113"/>
    <w:rsid w:val="002A673A"/>
    <w:rsid w:val="002C07BE"/>
    <w:rsid w:val="002C5E13"/>
    <w:rsid w:val="002C62BC"/>
    <w:rsid w:val="002E0EB8"/>
    <w:rsid w:val="002F3E58"/>
    <w:rsid w:val="0030542C"/>
    <w:rsid w:val="00311B7A"/>
    <w:rsid w:val="00323017"/>
    <w:rsid w:val="003512C1"/>
    <w:rsid w:val="00372FA3"/>
    <w:rsid w:val="003D417F"/>
    <w:rsid w:val="003F60E9"/>
    <w:rsid w:val="00404145"/>
    <w:rsid w:val="004248B8"/>
    <w:rsid w:val="00424943"/>
    <w:rsid w:val="0043175C"/>
    <w:rsid w:val="00437296"/>
    <w:rsid w:val="00451590"/>
    <w:rsid w:val="00451871"/>
    <w:rsid w:val="004631FC"/>
    <w:rsid w:val="004706DE"/>
    <w:rsid w:val="00472923"/>
    <w:rsid w:val="00474E1A"/>
    <w:rsid w:val="00496109"/>
    <w:rsid w:val="004B0C3A"/>
    <w:rsid w:val="004D5788"/>
    <w:rsid w:val="004E3066"/>
    <w:rsid w:val="004E74CD"/>
    <w:rsid w:val="005028DE"/>
    <w:rsid w:val="00516E04"/>
    <w:rsid w:val="00523B8D"/>
    <w:rsid w:val="00565588"/>
    <w:rsid w:val="00572067"/>
    <w:rsid w:val="00573562"/>
    <w:rsid w:val="00590ECE"/>
    <w:rsid w:val="00592ADD"/>
    <w:rsid w:val="005D3BDF"/>
    <w:rsid w:val="0060003F"/>
    <w:rsid w:val="00605EE3"/>
    <w:rsid w:val="00614A29"/>
    <w:rsid w:val="00643AA7"/>
    <w:rsid w:val="00673D76"/>
    <w:rsid w:val="00674CD7"/>
    <w:rsid w:val="00677138"/>
    <w:rsid w:val="006854F0"/>
    <w:rsid w:val="006B1C4A"/>
    <w:rsid w:val="006B610D"/>
    <w:rsid w:val="006E49F5"/>
    <w:rsid w:val="006E7922"/>
    <w:rsid w:val="006F1383"/>
    <w:rsid w:val="007013C8"/>
    <w:rsid w:val="00705B09"/>
    <w:rsid w:val="00717B1E"/>
    <w:rsid w:val="00753836"/>
    <w:rsid w:val="0075393C"/>
    <w:rsid w:val="00754592"/>
    <w:rsid w:val="00771ED5"/>
    <w:rsid w:val="00776C08"/>
    <w:rsid w:val="007C219A"/>
    <w:rsid w:val="007D5D95"/>
    <w:rsid w:val="007E1DA8"/>
    <w:rsid w:val="007F6C26"/>
    <w:rsid w:val="00813208"/>
    <w:rsid w:val="008205E2"/>
    <w:rsid w:val="008334AE"/>
    <w:rsid w:val="00836FED"/>
    <w:rsid w:val="0083724E"/>
    <w:rsid w:val="00845CD2"/>
    <w:rsid w:val="00852B0D"/>
    <w:rsid w:val="00881692"/>
    <w:rsid w:val="00883D1A"/>
    <w:rsid w:val="008A25C2"/>
    <w:rsid w:val="008A3399"/>
    <w:rsid w:val="008A6576"/>
    <w:rsid w:val="008B3CC5"/>
    <w:rsid w:val="008B52CD"/>
    <w:rsid w:val="008D7C23"/>
    <w:rsid w:val="008E4261"/>
    <w:rsid w:val="008F4662"/>
    <w:rsid w:val="00905D08"/>
    <w:rsid w:val="00922AEB"/>
    <w:rsid w:val="00925753"/>
    <w:rsid w:val="009425F4"/>
    <w:rsid w:val="0096040E"/>
    <w:rsid w:val="00966C5C"/>
    <w:rsid w:val="00973104"/>
    <w:rsid w:val="00995BF0"/>
    <w:rsid w:val="009A16D5"/>
    <w:rsid w:val="009A353D"/>
    <w:rsid w:val="009B0B77"/>
    <w:rsid w:val="009B511E"/>
    <w:rsid w:val="009F7868"/>
    <w:rsid w:val="00A04089"/>
    <w:rsid w:val="00A44E3D"/>
    <w:rsid w:val="00A72D2E"/>
    <w:rsid w:val="00A74447"/>
    <w:rsid w:val="00A74CE5"/>
    <w:rsid w:val="00A81CA6"/>
    <w:rsid w:val="00A911E7"/>
    <w:rsid w:val="00A939D9"/>
    <w:rsid w:val="00B07D9E"/>
    <w:rsid w:val="00B20712"/>
    <w:rsid w:val="00B43238"/>
    <w:rsid w:val="00B45DD3"/>
    <w:rsid w:val="00B52632"/>
    <w:rsid w:val="00B727A9"/>
    <w:rsid w:val="00B75216"/>
    <w:rsid w:val="00B91D52"/>
    <w:rsid w:val="00B9490F"/>
    <w:rsid w:val="00BA1ACD"/>
    <w:rsid w:val="00BD09F8"/>
    <w:rsid w:val="00C001A5"/>
    <w:rsid w:val="00C3211A"/>
    <w:rsid w:val="00C41E08"/>
    <w:rsid w:val="00CA7176"/>
    <w:rsid w:val="00CB3D48"/>
    <w:rsid w:val="00CB4665"/>
    <w:rsid w:val="00CC75B0"/>
    <w:rsid w:val="00CD2773"/>
    <w:rsid w:val="00CE143B"/>
    <w:rsid w:val="00CF1D31"/>
    <w:rsid w:val="00D0024A"/>
    <w:rsid w:val="00D27003"/>
    <w:rsid w:val="00DB488C"/>
    <w:rsid w:val="00DB4A9B"/>
    <w:rsid w:val="00DE2CE2"/>
    <w:rsid w:val="00E167C7"/>
    <w:rsid w:val="00E24037"/>
    <w:rsid w:val="00E2482E"/>
    <w:rsid w:val="00E73D47"/>
    <w:rsid w:val="00EC47F6"/>
    <w:rsid w:val="00EE156D"/>
    <w:rsid w:val="00EE65B8"/>
    <w:rsid w:val="00F149E2"/>
    <w:rsid w:val="00F66032"/>
    <w:rsid w:val="00F87C1E"/>
    <w:rsid w:val="00F958C2"/>
    <w:rsid w:val="01383E84"/>
    <w:rsid w:val="03F13BCC"/>
    <w:rsid w:val="09414729"/>
    <w:rsid w:val="0B633B75"/>
    <w:rsid w:val="0BAB67C4"/>
    <w:rsid w:val="0D954F56"/>
    <w:rsid w:val="0FE4317D"/>
    <w:rsid w:val="11080F04"/>
    <w:rsid w:val="14670DF3"/>
    <w:rsid w:val="20894725"/>
    <w:rsid w:val="21225A4C"/>
    <w:rsid w:val="213B5097"/>
    <w:rsid w:val="22B26FB8"/>
    <w:rsid w:val="26901FF2"/>
    <w:rsid w:val="285128FD"/>
    <w:rsid w:val="34F52C3D"/>
    <w:rsid w:val="3652752E"/>
    <w:rsid w:val="36801CC7"/>
    <w:rsid w:val="3DD37B43"/>
    <w:rsid w:val="44EA3620"/>
    <w:rsid w:val="46E27392"/>
    <w:rsid w:val="55D842CC"/>
    <w:rsid w:val="5843765C"/>
    <w:rsid w:val="65AB21F9"/>
    <w:rsid w:val="6BB86AD7"/>
    <w:rsid w:val="723D5F4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qFormat="1" w:uiPriority="99" w:semiHidden="0" w:name="footnote text"/>
    <w:lsdException w:uiPriority="0" w:name="annotation text"/>
    <w:lsdException w:qFormat="1" w:unhideWhenUsed="0" w:uiPriority="99" w:semiHidden="0" w:name="header"/>
    <w:lsdException w:qFormat="1" w:unhideWhenUsed="0"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qFormat="1" w:uiPriority="99" w:semiHidden="0" w:name="footnote reference"/>
    <w:lsdException w:uiPriority="0" w:name="annotation reference"/>
    <w:lsdException w:uiPriority="0" w:name="line number"/>
    <w:lsdException w:qFormat="1" w:uiPriority="99"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7"/>
    <w:unhideWhenUsed/>
    <w:qFormat/>
    <w:uiPriority w:val="99"/>
    <w:rPr>
      <w:sz w:val="18"/>
      <w:szCs w:val="18"/>
    </w:rPr>
  </w:style>
  <w:style w:type="paragraph" w:styleId="4">
    <w:name w:val="footer"/>
    <w:basedOn w:val="1"/>
    <w:link w:val="16"/>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qFormat/>
    <w:uiPriority w:val="39"/>
    <w:rPr>
      <w:rFonts w:ascii="Times New Roman" w:hAnsi="Times New Roman" w:eastAsia="宋体" w:cs="Times New Roman"/>
      <w:szCs w:val="24"/>
    </w:rPr>
  </w:style>
  <w:style w:type="paragraph" w:styleId="7">
    <w:name w:val="footnote text"/>
    <w:basedOn w:val="1"/>
    <w:link w:val="18"/>
    <w:unhideWhenUsed/>
    <w:qFormat/>
    <w:uiPriority w:val="99"/>
    <w:pPr>
      <w:snapToGrid w:val="0"/>
      <w:jc w:val="left"/>
    </w:pPr>
    <w:rPr>
      <w:rFonts w:ascii="Calibri" w:hAnsi="Calibri" w:eastAsia="宋体" w:cs="Times New Roman"/>
      <w:sz w:val="18"/>
      <w:szCs w:val="18"/>
    </w:rPr>
  </w:style>
  <w:style w:type="paragraph" w:styleId="8">
    <w:name w:val="toc 2"/>
    <w:basedOn w:val="1"/>
    <w:next w:val="1"/>
    <w:qFormat/>
    <w:uiPriority w:val="39"/>
    <w:pPr>
      <w:ind w:left="420" w:leftChars="200"/>
    </w:pPr>
    <w:rPr>
      <w:rFonts w:ascii="Times New Roman" w:hAnsi="Times New Roman" w:eastAsia="宋体" w:cs="Times New Roman"/>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paragraph" w:customStyle="1" w:styleId="1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5">
    <w:name w:val="页眉 Char"/>
    <w:basedOn w:val="10"/>
    <w:link w:val="5"/>
    <w:qFormat/>
    <w:uiPriority w:val="99"/>
    <w:rPr>
      <w:rFonts w:ascii="Times New Roman" w:hAnsi="Times New Roman" w:eastAsia="宋体" w:cs="Times New Roman"/>
      <w:sz w:val="18"/>
      <w:szCs w:val="18"/>
    </w:rPr>
  </w:style>
  <w:style w:type="character" w:customStyle="1" w:styleId="16">
    <w:name w:val="页脚 Char"/>
    <w:basedOn w:val="10"/>
    <w:link w:val="4"/>
    <w:qFormat/>
    <w:uiPriority w:val="99"/>
    <w:rPr>
      <w:rFonts w:ascii="Times New Roman" w:hAnsi="Times New Roman" w:eastAsia="宋体" w:cs="Times New Roman"/>
      <w:sz w:val="18"/>
      <w:szCs w:val="18"/>
    </w:rPr>
  </w:style>
  <w:style w:type="character" w:customStyle="1" w:styleId="17">
    <w:name w:val="批注框文本 Char"/>
    <w:basedOn w:val="10"/>
    <w:link w:val="3"/>
    <w:semiHidden/>
    <w:qFormat/>
    <w:uiPriority w:val="99"/>
    <w:rPr>
      <w:sz w:val="18"/>
      <w:szCs w:val="18"/>
    </w:rPr>
  </w:style>
  <w:style w:type="character" w:customStyle="1" w:styleId="18">
    <w:name w:val="脚注文本 Char"/>
    <w:basedOn w:val="10"/>
    <w:link w:val="7"/>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705</Words>
  <Characters>4019</Characters>
  <Lines>33</Lines>
  <Paragraphs>9</Paragraphs>
  <TotalTime>1</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2024-01-15T06:12:08Z</dcterms:modified>
  <dc:title>河北省财政厅2019年部门预算信息公开情况说明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DD69FF5686D64A82AD61BE30FCB356F9</vt:lpwstr>
  </property>
</Properties>
</file>