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19</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一、石家庄市鹿泉区农业区划发展中心本级收支预算</w:t>
      </w:r>
      <w:r>
        <w:tab/>
      </w:r>
      <w:r>
        <w:fldChar w:fldCharType="begin"/>
      </w:r>
      <w:r>
        <w:instrText xml:space="preserve">PAGEREF _Toc_4_4_0000000019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96.46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96.46</w:t>
            </w:r>
          </w:p>
        </w:tc>
        <w:tc>
          <w:tcPr>
            <w:tcW w:w="4535" w:type="dxa"/>
            <w:vAlign w:val="center"/>
          </w:tcPr>
          <w:p>
            <w:pPr>
              <w:pStyle w:val="14"/>
            </w:pPr>
            <w:r>
              <w:t>本年支出合计</w:t>
            </w:r>
          </w:p>
        </w:tc>
        <w:tc>
          <w:tcPr>
            <w:tcW w:w="2126" w:type="dxa"/>
            <w:vAlign w:val="center"/>
          </w:tcPr>
          <w:p>
            <w:pPr>
              <w:pStyle w:val="15"/>
            </w:pPr>
            <w:r>
              <w:t>96.46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96.46</w:t>
            </w:r>
          </w:p>
        </w:tc>
        <w:tc>
          <w:tcPr>
            <w:tcW w:w="4535" w:type="dxa"/>
            <w:vAlign w:val="center"/>
          </w:tcPr>
          <w:p>
            <w:pPr>
              <w:pStyle w:val="14"/>
            </w:pPr>
            <w:r>
              <w:t>支出总计</w:t>
            </w:r>
          </w:p>
        </w:tc>
        <w:tc>
          <w:tcPr>
            <w:tcW w:w="2126" w:type="dxa"/>
            <w:vAlign w:val="center"/>
          </w:tcPr>
          <w:p>
            <w:pPr>
              <w:pStyle w:val="15"/>
            </w:pPr>
            <w:r>
              <w:t>96.46</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96.46</w:t>
            </w:r>
          </w:p>
        </w:tc>
        <w:tc>
          <w:tcPr>
            <w:tcW w:w="1134" w:type="dxa"/>
            <w:vAlign w:val="center"/>
          </w:tcPr>
          <w:p>
            <w:pPr>
              <w:pStyle w:val="15"/>
            </w:pPr>
            <w:r>
              <w:t>96.46</w:t>
            </w:r>
          </w:p>
        </w:tc>
        <w:tc>
          <w:tcPr>
            <w:tcW w:w="1134" w:type="dxa"/>
            <w:vAlign w:val="center"/>
          </w:tcPr>
          <w:p>
            <w:pPr>
              <w:pStyle w:val="15"/>
            </w:pPr>
            <w:r>
              <w:t>96.46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9.23</w:t>
            </w:r>
          </w:p>
        </w:tc>
        <w:tc>
          <w:tcPr>
            <w:tcW w:w="1134" w:type="dxa"/>
            <w:vAlign w:val="center"/>
          </w:tcPr>
          <w:p>
            <w:pPr>
              <w:pStyle w:val="11"/>
            </w:pPr>
            <w:r>
              <w:t>9.23</w:t>
            </w:r>
          </w:p>
        </w:tc>
        <w:tc>
          <w:tcPr>
            <w:tcW w:w="1134" w:type="dxa"/>
            <w:vAlign w:val="center"/>
          </w:tcPr>
          <w:p>
            <w:pPr>
              <w:pStyle w:val="11"/>
            </w:pPr>
            <w:r>
              <w:t>9.23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96.46</w:t>
            </w:r>
          </w:p>
        </w:tc>
        <w:tc>
          <w:tcPr>
            <w:tcW w:w="1361" w:type="dxa"/>
            <w:vAlign w:val="center"/>
          </w:tcPr>
          <w:p>
            <w:pPr>
              <w:pStyle w:val="15"/>
            </w:pPr>
            <w:r>
              <w:t>96.46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15.48</w:t>
            </w:r>
          </w:p>
        </w:tc>
        <w:tc>
          <w:tcPr>
            <w:tcW w:w="1361" w:type="dxa"/>
            <w:vAlign w:val="center"/>
          </w:tcPr>
          <w:p>
            <w:pPr>
              <w:pStyle w:val="11"/>
            </w:pPr>
            <w:r>
              <w:t>15.48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15.48</w:t>
            </w:r>
          </w:p>
        </w:tc>
        <w:tc>
          <w:tcPr>
            <w:tcW w:w="1361" w:type="dxa"/>
            <w:vAlign w:val="center"/>
          </w:tcPr>
          <w:p>
            <w:pPr>
              <w:pStyle w:val="11"/>
            </w:pPr>
            <w:r>
              <w:t>15.48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9.23</w:t>
            </w:r>
          </w:p>
        </w:tc>
        <w:tc>
          <w:tcPr>
            <w:tcW w:w="1361" w:type="dxa"/>
            <w:vAlign w:val="center"/>
          </w:tcPr>
          <w:p>
            <w:pPr>
              <w:pStyle w:val="11"/>
            </w:pPr>
            <w:r>
              <w:t>9.23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6.24</w:t>
            </w:r>
          </w:p>
        </w:tc>
        <w:tc>
          <w:tcPr>
            <w:tcW w:w="1361" w:type="dxa"/>
            <w:vAlign w:val="center"/>
          </w:tcPr>
          <w:p>
            <w:pPr>
              <w:pStyle w:val="11"/>
            </w:pPr>
            <w:r>
              <w:t>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5.88</w:t>
            </w:r>
          </w:p>
        </w:tc>
        <w:tc>
          <w:tcPr>
            <w:tcW w:w="1361" w:type="dxa"/>
            <w:vAlign w:val="center"/>
          </w:tcPr>
          <w:p>
            <w:pPr>
              <w:pStyle w:val="11"/>
            </w:pPr>
            <w:r>
              <w:t>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5.88</w:t>
            </w:r>
          </w:p>
        </w:tc>
        <w:tc>
          <w:tcPr>
            <w:tcW w:w="1361" w:type="dxa"/>
            <w:vAlign w:val="center"/>
          </w:tcPr>
          <w:p>
            <w:pPr>
              <w:pStyle w:val="11"/>
            </w:pPr>
            <w:r>
              <w:t>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5.88</w:t>
            </w:r>
          </w:p>
        </w:tc>
        <w:tc>
          <w:tcPr>
            <w:tcW w:w="1361" w:type="dxa"/>
            <w:vAlign w:val="center"/>
          </w:tcPr>
          <w:p>
            <w:pPr>
              <w:pStyle w:val="11"/>
            </w:pPr>
            <w:r>
              <w:t>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67.20</w:t>
            </w:r>
          </w:p>
        </w:tc>
        <w:tc>
          <w:tcPr>
            <w:tcW w:w="1361" w:type="dxa"/>
            <w:vAlign w:val="center"/>
          </w:tcPr>
          <w:p>
            <w:pPr>
              <w:pStyle w:val="11"/>
            </w:pPr>
            <w:r>
              <w:t>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67.20</w:t>
            </w:r>
          </w:p>
        </w:tc>
        <w:tc>
          <w:tcPr>
            <w:tcW w:w="1361" w:type="dxa"/>
            <w:vAlign w:val="center"/>
          </w:tcPr>
          <w:p>
            <w:pPr>
              <w:pStyle w:val="11"/>
            </w:pPr>
            <w:r>
              <w:t>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67.20</w:t>
            </w:r>
          </w:p>
        </w:tc>
        <w:tc>
          <w:tcPr>
            <w:tcW w:w="1361" w:type="dxa"/>
            <w:vAlign w:val="center"/>
          </w:tcPr>
          <w:p>
            <w:pPr>
              <w:pStyle w:val="11"/>
            </w:pPr>
            <w:r>
              <w:t>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96.46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15.48</w:t>
            </w:r>
          </w:p>
        </w:tc>
        <w:tc>
          <w:tcPr>
            <w:tcW w:w="1474" w:type="dxa"/>
            <w:vAlign w:val="center"/>
          </w:tcPr>
          <w:p>
            <w:pPr>
              <w:pStyle w:val="11"/>
            </w:pPr>
            <w:r>
              <w:t>15.48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5.88</w:t>
            </w:r>
          </w:p>
        </w:tc>
        <w:tc>
          <w:tcPr>
            <w:tcW w:w="1474" w:type="dxa"/>
            <w:vAlign w:val="center"/>
          </w:tcPr>
          <w:p>
            <w:pPr>
              <w:pStyle w:val="11"/>
            </w:pPr>
            <w:r>
              <w:t>5.88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67.20</w:t>
            </w:r>
          </w:p>
        </w:tc>
        <w:tc>
          <w:tcPr>
            <w:tcW w:w="1474" w:type="dxa"/>
            <w:vAlign w:val="center"/>
          </w:tcPr>
          <w:p>
            <w:pPr>
              <w:pStyle w:val="11"/>
            </w:pPr>
            <w:r>
              <w:t>67.20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7.90</w:t>
            </w:r>
          </w:p>
        </w:tc>
        <w:tc>
          <w:tcPr>
            <w:tcW w:w="1474" w:type="dxa"/>
            <w:vAlign w:val="center"/>
          </w:tcPr>
          <w:p>
            <w:pPr>
              <w:pStyle w:val="11"/>
            </w:pPr>
            <w:r>
              <w:t>7.90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96.46</w:t>
            </w:r>
          </w:p>
        </w:tc>
        <w:tc>
          <w:tcPr>
            <w:tcW w:w="3402" w:type="dxa"/>
            <w:vAlign w:val="center"/>
          </w:tcPr>
          <w:p>
            <w:pPr>
              <w:pStyle w:val="14"/>
            </w:pPr>
            <w:r>
              <w:t>本年支出合计</w:t>
            </w:r>
          </w:p>
        </w:tc>
        <w:tc>
          <w:tcPr>
            <w:tcW w:w="1474" w:type="dxa"/>
            <w:vAlign w:val="center"/>
          </w:tcPr>
          <w:p>
            <w:pPr>
              <w:pStyle w:val="15"/>
            </w:pPr>
            <w:r>
              <w:t>96.46</w:t>
            </w:r>
          </w:p>
        </w:tc>
        <w:tc>
          <w:tcPr>
            <w:tcW w:w="1474" w:type="dxa"/>
            <w:vAlign w:val="center"/>
          </w:tcPr>
          <w:p>
            <w:pPr>
              <w:pStyle w:val="15"/>
            </w:pPr>
            <w:r>
              <w:t>96.46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96.46</w:t>
            </w:r>
          </w:p>
        </w:tc>
        <w:tc>
          <w:tcPr>
            <w:tcW w:w="3402" w:type="dxa"/>
            <w:vAlign w:val="center"/>
          </w:tcPr>
          <w:p>
            <w:pPr>
              <w:pStyle w:val="14"/>
            </w:pPr>
            <w:r>
              <w:t>支出总计</w:t>
            </w:r>
          </w:p>
        </w:tc>
        <w:tc>
          <w:tcPr>
            <w:tcW w:w="1474" w:type="dxa"/>
            <w:vAlign w:val="center"/>
          </w:tcPr>
          <w:p>
            <w:pPr>
              <w:pStyle w:val="15"/>
            </w:pPr>
            <w:r>
              <w:t>96.46</w:t>
            </w:r>
          </w:p>
        </w:tc>
        <w:tc>
          <w:tcPr>
            <w:tcW w:w="1474" w:type="dxa"/>
            <w:vAlign w:val="center"/>
          </w:tcPr>
          <w:p>
            <w:pPr>
              <w:pStyle w:val="15"/>
            </w:pPr>
            <w:r>
              <w:t>96.46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96.46</w:t>
            </w:r>
          </w:p>
        </w:tc>
        <w:tc>
          <w:tcPr>
            <w:tcW w:w="2551" w:type="dxa"/>
            <w:vAlign w:val="center"/>
          </w:tcPr>
          <w:p>
            <w:pPr>
              <w:pStyle w:val="15"/>
            </w:pPr>
            <w:r>
              <w:t>96.46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15.48</w:t>
            </w:r>
          </w:p>
        </w:tc>
        <w:tc>
          <w:tcPr>
            <w:tcW w:w="2551" w:type="dxa"/>
            <w:vAlign w:val="center"/>
          </w:tcPr>
          <w:p>
            <w:pPr>
              <w:pStyle w:val="11"/>
            </w:pPr>
            <w:r>
              <w:t>15.48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15.48</w:t>
            </w:r>
          </w:p>
        </w:tc>
        <w:tc>
          <w:tcPr>
            <w:tcW w:w="2551" w:type="dxa"/>
            <w:vAlign w:val="center"/>
          </w:tcPr>
          <w:p>
            <w:pPr>
              <w:pStyle w:val="11"/>
            </w:pPr>
            <w:r>
              <w:t>15.48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9.23</w:t>
            </w:r>
          </w:p>
        </w:tc>
        <w:tc>
          <w:tcPr>
            <w:tcW w:w="2551" w:type="dxa"/>
            <w:vAlign w:val="center"/>
          </w:tcPr>
          <w:p>
            <w:pPr>
              <w:pStyle w:val="11"/>
            </w:pPr>
            <w:r>
              <w:t>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67.20</w:t>
            </w:r>
          </w:p>
        </w:tc>
        <w:tc>
          <w:tcPr>
            <w:tcW w:w="2551" w:type="dxa"/>
            <w:vAlign w:val="center"/>
          </w:tcPr>
          <w:p>
            <w:pPr>
              <w:pStyle w:val="11"/>
            </w:pPr>
            <w:r>
              <w:t>67.20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67.20</w:t>
            </w:r>
          </w:p>
        </w:tc>
        <w:tc>
          <w:tcPr>
            <w:tcW w:w="2551" w:type="dxa"/>
            <w:vAlign w:val="center"/>
          </w:tcPr>
          <w:p>
            <w:pPr>
              <w:pStyle w:val="11"/>
            </w:pPr>
            <w:r>
              <w:t>67.20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67.20</w:t>
            </w:r>
          </w:p>
        </w:tc>
        <w:tc>
          <w:tcPr>
            <w:tcW w:w="2551" w:type="dxa"/>
            <w:vAlign w:val="center"/>
          </w:tcPr>
          <w:p>
            <w:pPr>
              <w:pStyle w:val="11"/>
            </w:pPr>
            <w:r>
              <w:t>67.20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96.46</w:t>
            </w:r>
          </w:p>
        </w:tc>
        <w:tc>
          <w:tcPr>
            <w:tcW w:w="2551" w:type="dxa"/>
            <w:vAlign w:val="center"/>
          </w:tcPr>
          <w:p>
            <w:pPr>
              <w:pStyle w:val="15"/>
            </w:pPr>
            <w:r>
              <w:t>90.12</w:t>
            </w:r>
          </w:p>
        </w:tc>
        <w:tc>
          <w:tcPr>
            <w:tcW w:w="2551" w:type="dxa"/>
            <w:vAlign w:val="center"/>
          </w:tcPr>
          <w:p>
            <w:pPr>
              <w:pStyle w:val="15"/>
            </w:pPr>
            <w: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81.14</w:t>
            </w:r>
          </w:p>
        </w:tc>
        <w:tc>
          <w:tcPr>
            <w:tcW w:w="2551" w:type="dxa"/>
            <w:vAlign w:val="center"/>
          </w:tcPr>
          <w:p>
            <w:pPr>
              <w:pStyle w:val="11"/>
            </w:pPr>
            <w:r>
              <w:t>81.14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23.17</w:t>
            </w:r>
          </w:p>
        </w:tc>
        <w:tc>
          <w:tcPr>
            <w:tcW w:w="2551" w:type="dxa"/>
            <w:vAlign w:val="center"/>
          </w:tcPr>
          <w:p>
            <w:pPr>
              <w:pStyle w:val="11"/>
            </w:pPr>
            <w:r>
              <w:t>23.17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4.42</w:t>
            </w:r>
          </w:p>
        </w:tc>
        <w:tc>
          <w:tcPr>
            <w:tcW w:w="2551" w:type="dxa"/>
            <w:vAlign w:val="center"/>
          </w:tcPr>
          <w:p>
            <w:pPr>
              <w:pStyle w:val="11"/>
            </w:pPr>
            <w:r>
              <w:t>4.42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15.85</w:t>
            </w:r>
          </w:p>
        </w:tc>
        <w:tc>
          <w:tcPr>
            <w:tcW w:w="2551" w:type="dxa"/>
            <w:vAlign w:val="center"/>
          </w:tcPr>
          <w:p>
            <w:pPr>
              <w:pStyle w:val="11"/>
            </w:pPr>
            <w:r>
              <w:t>15.85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3.31</w:t>
            </w:r>
          </w:p>
        </w:tc>
        <w:tc>
          <w:tcPr>
            <w:tcW w:w="2551" w:type="dxa"/>
            <w:vAlign w:val="center"/>
          </w:tcPr>
          <w:p>
            <w:pPr>
              <w:pStyle w:val="11"/>
            </w:pPr>
            <w:r>
              <w:t>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2.56</w:t>
            </w:r>
          </w:p>
        </w:tc>
        <w:tc>
          <w:tcPr>
            <w:tcW w:w="2551" w:type="dxa"/>
            <w:vAlign w:val="center"/>
          </w:tcPr>
          <w:p>
            <w:pPr>
              <w:pStyle w:val="11"/>
            </w:pPr>
            <w:r>
              <w:t>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0.47</w:t>
            </w:r>
          </w:p>
        </w:tc>
        <w:tc>
          <w:tcPr>
            <w:tcW w:w="2551" w:type="dxa"/>
            <w:vAlign w:val="center"/>
          </w:tcPr>
          <w:p>
            <w:pPr>
              <w:pStyle w:val="11"/>
            </w:pPr>
            <w:r>
              <w:t>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17.20</w:t>
            </w:r>
          </w:p>
        </w:tc>
        <w:tc>
          <w:tcPr>
            <w:tcW w:w="2551" w:type="dxa"/>
            <w:vAlign w:val="center"/>
          </w:tcPr>
          <w:p>
            <w:pPr>
              <w:pStyle w:val="11"/>
            </w:pPr>
            <w:r>
              <w:t>17.20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5.74</w:t>
            </w:r>
          </w:p>
        </w:tc>
        <w:tc>
          <w:tcPr>
            <w:tcW w:w="2551" w:type="dxa"/>
            <w:vAlign w:val="center"/>
          </w:tcPr>
          <w:p>
            <w:pPr>
              <w:pStyle w:val="11"/>
            </w:pPr>
          </w:p>
        </w:tc>
        <w:tc>
          <w:tcPr>
            <w:tcW w:w="2551" w:type="dxa"/>
            <w:vAlign w:val="center"/>
          </w:tcPr>
          <w:p>
            <w:pPr>
              <w:pStyle w:val="11"/>
            </w:pPr>
            <w:r>
              <w:t>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0.47</w:t>
            </w:r>
          </w:p>
        </w:tc>
        <w:tc>
          <w:tcPr>
            <w:tcW w:w="2551" w:type="dxa"/>
            <w:vAlign w:val="center"/>
          </w:tcPr>
          <w:p>
            <w:pPr>
              <w:pStyle w:val="11"/>
            </w:pPr>
          </w:p>
        </w:tc>
        <w:tc>
          <w:tcPr>
            <w:tcW w:w="2551"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0.31</w:t>
            </w:r>
          </w:p>
        </w:tc>
        <w:tc>
          <w:tcPr>
            <w:tcW w:w="2551" w:type="dxa"/>
            <w:vAlign w:val="center"/>
          </w:tcPr>
          <w:p>
            <w:pPr>
              <w:pStyle w:val="11"/>
            </w:pPr>
          </w:p>
        </w:tc>
        <w:tc>
          <w:tcPr>
            <w:tcW w:w="2551"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8.98</w:t>
            </w:r>
          </w:p>
        </w:tc>
        <w:tc>
          <w:tcPr>
            <w:tcW w:w="2551" w:type="dxa"/>
            <w:vAlign w:val="center"/>
          </w:tcPr>
          <w:p>
            <w:pPr>
              <w:pStyle w:val="11"/>
            </w:pPr>
            <w:r>
              <w:t>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2.10</w:t>
            </w:r>
          </w:p>
        </w:tc>
        <w:tc>
          <w:tcPr>
            <w:tcW w:w="2551" w:type="dxa"/>
            <w:vAlign w:val="center"/>
          </w:tcPr>
          <w:p>
            <w:pPr>
              <w:pStyle w:val="11"/>
            </w:pPr>
            <w:r>
              <w:t>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6.88</w:t>
            </w:r>
          </w:p>
        </w:tc>
        <w:tc>
          <w:tcPr>
            <w:tcW w:w="2551" w:type="dxa"/>
            <w:vAlign w:val="center"/>
          </w:tcPr>
          <w:p>
            <w:pPr>
              <w:pStyle w:val="11"/>
            </w:pPr>
            <w:r>
              <w:t>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rPr>
          <w:rFonts w:ascii="方正小标宋_GBK" w:hAnsi="方正小标宋_GBK" w:eastAsia="方正小标宋_GBK" w:cs="方正小标宋_GBK"/>
          <w:color w:val="000000"/>
          <w:sz w:val="44"/>
          <w:lang w:eastAsia="zh-CN"/>
        </w:rPr>
      </w:pPr>
    </w:p>
    <w:p>
      <w:pPr>
        <w:jc w:val="center"/>
      </w:pPr>
      <w:r>
        <w:rPr>
          <w:rFonts w:ascii="方正小标宋_GBK" w:hAnsi="方正小标宋_GBK" w:eastAsia="方正小标宋_GBK" w:cs="方正小标宋_GBK"/>
          <w:color w:val="000000"/>
          <w:sz w:val="44"/>
        </w:rPr>
        <w:t>石家庄市鹿泉区农业区划发展中心2022年部门预算信息公开情况说明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预算法》、《地方预决算公开操作规程》和《关于进一步推进预算公开工作的实施意见》规定，现将石家庄市鹿泉区农业区划发展中心2022年部门预算公开如下：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区划中心部门职责</w:t>
      </w:r>
    </w:p>
    <w:p>
      <w:pPr>
        <w:pStyle w:val="17"/>
      </w:pPr>
      <w:r>
        <w:t>开展农业资源区划调查研究，建立农业资源监测制度；负责农业资源可持续发展和高效利用实验示范工作，掌握我区农业资源现状及动态变化。</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石家庄市鹿泉区农业区划发展中心本级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方正仿宋_GBK"/>
          <w:color w:val="000000"/>
          <w:sz w:val="28"/>
        </w:rPr>
      </w:pPr>
      <w:r>
        <w:rPr>
          <w:rFonts w:eastAsia="方正仿宋_GBK"/>
          <w:color w:val="000000"/>
          <w:sz w:val="28"/>
        </w:rPr>
        <w:t>按照预算管理有关规定，目前我部门预算的编制实行综合预算管理，即全部收入和支出都反映在预算中。石家庄市鹿泉区农业区划发展中心机关及所属事业单位的收支包含在部门预算中。</w:t>
      </w:r>
    </w:p>
    <w:p>
      <w:pPr>
        <w:spacing w:line="500" w:lineRule="exact"/>
        <w:ind w:firstLine="560"/>
        <w:rPr>
          <w:rFonts w:eastAsia="方正仿宋_GBK"/>
          <w:color w:val="000000"/>
          <w:sz w:val="28"/>
        </w:rPr>
      </w:pPr>
      <w:r>
        <w:rPr>
          <w:rFonts w:eastAsia="方正仿宋_GBK"/>
          <w:color w:val="000000"/>
          <w:sz w:val="28"/>
        </w:rPr>
        <w:t>1、收入说明</w:t>
      </w:r>
    </w:p>
    <w:p>
      <w:pPr>
        <w:spacing w:line="500" w:lineRule="exact"/>
        <w:ind w:firstLine="560"/>
        <w:rPr>
          <w:rFonts w:eastAsia="方正仿宋_GBK"/>
          <w:color w:val="000000"/>
          <w:sz w:val="28"/>
        </w:rPr>
      </w:pPr>
      <w:r>
        <w:rPr>
          <w:rFonts w:eastAsia="方正仿宋_GBK"/>
          <w:color w:val="000000"/>
          <w:sz w:val="28"/>
        </w:rPr>
        <w:t>反映本部门当年全部收入。2022年预算收入</w:t>
      </w:r>
      <w:r>
        <w:rPr>
          <w:rFonts w:hint="eastAsia" w:eastAsia="方正仿宋_GBK"/>
          <w:color w:val="000000"/>
          <w:sz w:val="28"/>
        </w:rPr>
        <w:t>96.46</w:t>
      </w:r>
      <w:r>
        <w:rPr>
          <w:rFonts w:eastAsia="方正仿宋_GBK"/>
          <w:color w:val="000000"/>
          <w:sz w:val="28"/>
        </w:rPr>
        <w:t>万元，其中：一般公共预算收入</w:t>
      </w:r>
      <w:r>
        <w:rPr>
          <w:rFonts w:hint="eastAsia" w:eastAsia="方正仿宋_GBK"/>
          <w:color w:val="000000"/>
          <w:sz w:val="28"/>
        </w:rPr>
        <w:t>96.46</w:t>
      </w:r>
      <w:r>
        <w:rPr>
          <w:rFonts w:eastAsia="方正仿宋_GBK"/>
          <w:color w:val="000000"/>
          <w:sz w:val="28"/>
        </w:rPr>
        <w:t>万元，</w:t>
      </w:r>
      <w:r>
        <w:rPr>
          <w:rFonts w:hint="eastAsia" w:eastAsia="方正仿宋_GBK"/>
          <w:color w:val="000000"/>
          <w:sz w:val="28"/>
        </w:rPr>
        <w:t>基金预算</w:t>
      </w:r>
      <w:r>
        <w:rPr>
          <w:rFonts w:eastAsia="方正仿宋_GBK"/>
          <w:color w:val="000000"/>
          <w:sz w:val="28"/>
        </w:rPr>
        <w:t>收入</w:t>
      </w:r>
      <w:r>
        <w:rPr>
          <w:rFonts w:hint="eastAsia" w:eastAsia="方正仿宋_GBK"/>
          <w:color w:val="000000"/>
          <w:sz w:val="28"/>
        </w:rPr>
        <w:t>0</w:t>
      </w:r>
      <w:r>
        <w:rPr>
          <w:rFonts w:eastAsia="方正仿宋_GBK"/>
          <w:color w:val="000000"/>
          <w:sz w:val="28"/>
        </w:rPr>
        <w:t>万元，</w:t>
      </w:r>
      <w:r>
        <w:rPr>
          <w:rFonts w:hint="eastAsia" w:eastAsia="方正仿宋_GBK"/>
          <w:color w:val="000000"/>
          <w:sz w:val="28"/>
        </w:rPr>
        <w:t>财政专户核拨收入0</w:t>
      </w:r>
      <w:r>
        <w:rPr>
          <w:rFonts w:eastAsia="方正仿宋_GBK"/>
          <w:color w:val="000000"/>
          <w:sz w:val="28"/>
        </w:rPr>
        <w:t>万元</w:t>
      </w:r>
      <w:r>
        <w:rPr>
          <w:rFonts w:hint="eastAsia" w:eastAsia="方正仿宋_GBK"/>
          <w:color w:val="000000"/>
          <w:sz w:val="28"/>
        </w:rPr>
        <w:t>，其他来源收入（单位资金）0万元，上年结转结余0万元。</w:t>
      </w:r>
    </w:p>
    <w:p>
      <w:pPr>
        <w:spacing w:line="500" w:lineRule="exact"/>
        <w:ind w:firstLine="560"/>
        <w:rPr>
          <w:rFonts w:eastAsia="方正仿宋_GBK"/>
          <w:color w:val="000000"/>
          <w:sz w:val="28"/>
        </w:rPr>
      </w:pPr>
      <w:r>
        <w:rPr>
          <w:rFonts w:eastAsia="方正仿宋_GBK"/>
          <w:color w:val="000000"/>
          <w:sz w:val="28"/>
        </w:rPr>
        <w:t>2、支出说明</w:t>
      </w:r>
    </w:p>
    <w:p>
      <w:pPr>
        <w:spacing w:line="500" w:lineRule="exact"/>
        <w:ind w:firstLine="560"/>
        <w:rPr>
          <w:rFonts w:eastAsia="方正仿宋_GBK"/>
          <w:color w:val="000000"/>
          <w:sz w:val="28"/>
        </w:rPr>
      </w:pPr>
      <w:r>
        <w:rPr>
          <w:rFonts w:eastAsia="方正仿宋_GBK"/>
          <w:color w:val="000000"/>
          <w:sz w:val="28"/>
        </w:rPr>
        <w:t>收支预算总表支出栏、基本支出表、项目支出表按经济分类和支出功能分类科目编制，反映</w:t>
      </w:r>
      <w:r>
        <w:rPr>
          <w:rFonts w:hint="eastAsia" w:eastAsia="方正仿宋_GBK"/>
          <w:color w:val="000000"/>
          <w:sz w:val="28"/>
        </w:rPr>
        <w:t>石家庄市鹿泉区农业区划发展中心</w:t>
      </w:r>
      <w:r>
        <w:rPr>
          <w:rFonts w:eastAsia="方正仿宋_GBK"/>
          <w:color w:val="000000"/>
          <w:sz w:val="28"/>
        </w:rPr>
        <w:t>年度部门预算中支出预算的总体情况。2022年支出预算</w:t>
      </w:r>
      <w:r>
        <w:rPr>
          <w:rFonts w:hint="eastAsia" w:eastAsia="方正仿宋_GBK"/>
          <w:color w:val="000000"/>
          <w:sz w:val="28"/>
        </w:rPr>
        <w:t>96.46</w:t>
      </w:r>
      <w:r>
        <w:rPr>
          <w:rFonts w:eastAsia="方正仿宋_GBK"/>
          <w:color w:val="000000"/>
          <w:sz w:val="28"/>
        </w:rPr>
        <w:t>万元，其中基本支出</w:t>
      </w:r>
      <w:r>
        <w:rPr>
          <w:rFonts w:hint="eastAsia" w:eastAsia="方正仿宋_GBK"/>
          <w:color w:val="000000"/>
          <w:sz w:val="28"/>
        </w:rPr>
        <w:t>96.46</w:t>
      </w:r>
      <w:r>
        <w:rPr>
          <w:rFonts w:eastAsia="方正仿宋_GBK"/>
          <w:color w:val="000000"/>
          <w:sz w:val="28"/>
        </w:rPr>
        <w:t>万元，包括人员经费</w:t>
      </w:r>
      <w:r>
        <w:rPr>
          <w:rFonts w:hint="eastAsia" w:eastAsia="方正仿宋_GBK"/>
          <w:color w:val="000000"/>
          <w:sz w:val="28"/>
        </w:rPr>
        <w:t>90.12万元</w:t>
      </w:r>
      <w:r>
        <w:rPr>
          <w:rFonts w:eastAsia="方正仿宋_GBK"/>
          <w:color w:val="000000"/>
          <w:sz w:val="28"/>
        </w:rPr>
        <w:t>和日常公用经费</w:t>
      </w:r>
      <w:r>
        <w:rPr>
          <w:rFonts w:hint="eastAsia" w:eastAsia="方正仿宋_GBK"/>
          <w:color w:val="000000"/>
          <w:sz w:val="28"/>
        </w:rPr>
        <w:t>6.34万元</w:t>
      </w:r>
      <w:r>
        <w:rPr>
          <w:rFonts w:eastAsia="方正仿宋_GBK"/>
          <w:color w:val="000000"/>
          <w:sz w:val="28"/>
        </w:rPr>
        <w:t>；项目支出</w:t>
      </w:r>
      <w:r>
        <w:rPr>
          <w:rFonts w:hint="eastAsia" w:eastAsia="方正仿宋_GBK"/>
          <w:color w:val="000000"/>
          <w:sz w:val="28"/>
        </w:rPr>
        <w:t>0</w:t>
      </w:r>
      <w:r>
        <w:rPr>
          <w:rFonts w:eastAsia="方正仿宋_GBK"/>
          <w:color w:val="000000"/>
          <w:sz w:val="28"/>
        </w:rPr>
        <w:t>万元</w:t>
      </w:r>
      <w:r>
        <w:rPr>
          <w:rFonts w:hint="eastAsia" w:eastAsia="方正仿宋_GBK"/>
          <w:color w:val="000000"/>
          <w:sz w:val="28"/>
        </w:rPr>
        <w:t>，上年结转安排0万元。</w:t>
      </w:r>
    </w:p>
    <w:p>
      <w:pPr>
        <w:spacing w:line="500" w:lineRule="exact"/>
        <w:ind w:firstLine="560"/>
        <w:rPr>
          <w:rFonts w:eastAsia="方正仿宋_GBK"/>
          <w:color w:val="000000"/>
          <w:sz w:val="28"/>
        </w:rPr>
      </w:pPr>
      <w:r>
        <w:rPr>
          <w:rFonts w:eastAsia="方正仿宋_GBK"/>
          <w:color w:val="000000"/>
          <w:sz w:val="28"/>
        </w:rPr>
        <w:t>3、比上年增减情况</w:t>
      </w:r>
    </w:p>
    <w:p>
      <w:pPr>
        <w:spacing w:line="500" w:lineRule="exact"/>
        <w:ind w:firstLine="560"/>
        <w:rPr>
          <w:rFonts w:eastAsia="方正仿宋_GBK"/>
          <w:color w:val="000000"/>
          <w:sz w:val="28"/>
        </w:rPr>
      </w:pPr>
      <w:r>
        <w:rPr>
          <w:rFonts w:eastAsia="方正仿宋_GBK"/>
          <w:color w:val="000000"/>
          <w:sz w:val="28"/>
        </w:rPr>
        <w:t>2022年预算收支安排</w:t>
      </w:r>
      <w:r>
        <w:rPr>
          <w:rFonts w:hint="eastAsia" w:eastAsia="方正仿宋_GBK"/>
          <w:color w:val="000000"/>
          <w:sz w:val="28"/>
        </w:rPr>
        <w:t>96.46</w:t>
      </w:r>
      <w:r>
        <w:rPr>
          <w:rFonts w:eastAsia="方正仿宋_GBK"/>
          <w:color w:val="000000"/>
          <w:sz w:val="28"/>
        </w:rPr>
        <w:t>万元，较2021年预算</w:t>
      </w:r>
      <w:r>
        <w:rPr>
          <w:rFonts w:hint="eastAsia" w:eastAsia="方正仿宋_GBK"/>
          <w:color w:val="000000"/>
          <w:sz w:val="28"/>
        </w:rPr>
        <w:t>增加2.18</w:t>
      </w:r>
      <w:r>
        <w:rPr>
          <w:rFonts w:eastAsia="方正仿宋_GBK"/>
          <w:color w:val="000000"/>
          <w:sz w:val="28"/>
        </w:rPr>
        <w:t>万元，其中：基本支出</w:t>
      </w:r>
      <w:r>
        <w:rPr>
          <w:rFonts w:hint="eastAsia" w:eastAsia="方正仿宋_GBK"/>
          <w:color w:val="000000"/>
          <w:sz w:val="28"/>
        </w:rPr>
        <w:t>增加2.18</w:t>
      </w:r>
      <w:r>
        <w:rPr>
          <w:rFonts w:eastAsia="方正仿宋_GBK"/>
          <w:color w:val="000000"/>
          <w:sz w:val="28"/>
        </w:rPr>
        <w:t>万元，主要为人员经费支出</w:t>
      </w:r>
      <w:r>
        <w:rPr>
          <w:rFonts w:hint="eastAsia" w:eastAsia="方正仿宋_GBK"/>
          <w:color w:val="000000"/>
          <w:sz w:val="28"/>
        </w:rPr>
        <w:t>增加</w:t>
      </w:r>
      <w:r>
        <w:rPr>
          <w:rFonts w:eastAsia="方正仿宋_GBK"/>
          <w:color w:val="000000"/>
          <w:sz w:val="28"/>
        </w:rPr>
        <w:t>；项目支出</w:t>
      </w:r>
      <w:r>
        <w:rPr>
          <w:rFonts w:hint="eastAsia" w:eastAsia="方正仿宋_GBK"/>
          <w:color w:val="000000"/>
          <w:sz w:val="28"/>
        </w:rPr>
        <w:t>增加0</w:t>
      </w:r>
      <w:r>
        <w:rPr>
          <w:rFonts w:eastAsia="方正仿宋_GBK"/>
          <w:color w:val="000000"/>
          <w:sz w:val="28"/>
        </w:rPr>
        <w:t>万元，</w:t>
      </w:r>
      <w:r>
        <w:rPr>
          <w:rFonts w:hint="eastAsia" w:eastAsia="方正仿宋_GBK"/>
          <w:color w:val="000000"/>
          <w:sz w:val="28"/>
        </w:rPr>
        <w:t>结转安排增加0万元</w:t>
      </w:r>
      <w:r>
        <w:rPr>
          <w:rFonts w:eastAsia="方正仿宋_GBK"/>
          <w:color w:val="000000"/>
          <w:sz w:val="28"/>
        </w:rPr>
        <w:t>。</w:t>
      </w:r>
    </w:p>
    <w:p>
      <w:pPr>
        <w:pStyle w:val="18"/>
      </w:pPr>
    </w:p>
    <w:p>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pStyle w:val="17"/>
      </w:pPr>
      <w:r>
        <w:rPr>
          <w:rFonts w:hint="eastAsia"/>
        </w:rPr>
        <w:t>区划中心是财政拨款补助事业单位，无机关运行费。</w:t>
      </w:r>
    </w:p>
    <w:p>
      <w:pPr>
        <w:pStyle w:val="19"/>
      </w:pPr>
    </w:p>
    <w:p>
      <w:pPr>
        <w:spacing w:before="10" w:after="10" w:line="360" w:lineRule="auto"/>
        <w:ind w:firstLine="640"/>
        <w:outlineLvl w:val="2"/>
        <w:rPr>
          <w:rFonts w:ascii="黑体" w:hAnsi="黑体" w:eastAsia="黑体" w:cs="黑体"/>
          <w:color w:val="000000"/>
          <w:sz w:val="32"/>
          <w:lang w:eastAsia="zh-CN"/>
        </w:rPr>
      </w:pPr>
      <w:bookmarkStart w:id="12" w:name="_Toc_3_3_0000000013"/>
      <w:r>
        <w:rPr>
          <w:rFonts w:ascii="黑体" w:hAnsi="黑体" w:eastAsia="黑体" w:cs="黑体"/>
          <w:color w:val="000000"/>
          <w:sz w:val="32"/>
        </w:rPr>
        <w:t>四、财政拨款“三公”经费预算情况及增减变化原因</w:t>
      </w:r>
      <w:bookmarkEnd w:id="12"/>
    </w:p>
    <w:p>
      <w:pPr>
        <w:pStyle w:val="17"/>
      </w:pPr>
      <w:r>
        <w:rPr>
          <w:rFonts w:hint="eastAsia"/>
        </w:rPr>
        <w:t>202</w:t>
      </w:r>
      <w:r>
        <w:rPr>
          <w:rFonts w:hint="eastAsia"/>
          <w:lang w:eastAsia="zh-CN"/>
        </w:rPr>
        <w:t>2</w:t>
      </w:r>
      <w:r>
        <w:rPr>
          <w:rFonts w:hint="eastAsia"/>
        </w:rPr>
        <w:t>年，我部门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360" w:lineRule="auto"/>
        <w:ind w:firstLine="640"/>
        <w:outlineLvl w:val="2"/>
        <w:rPr>
          <w:lang w:eastAsia="zh-CN"/>
        </w:rPr>
      </w:pPr>
    </w:p>
    <w:p>
      <w:pPr>
        <w:pStyle w:val="20"/>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spacing w:line="500" w:lineRule="exact"/>
        <w:ind w:firstLine="560"/>
      </w:pPr>
      <w:r>
        <w:rPr>
          <w:rFonts w:eastAsia="方正仿宋_GBK"/>
          <w:color w:val="000000"/>
          <w:sz w:val="28"/>
        </w:rPr>
        <w:t>以习近平新时代中国特色社会主义思想为指导，深入贯彻党的十九大和十九届二中、三中、四中、五中全会精神，全面落实省委九届九次、十次、十一次全会精神，认真履行部门职责，积极拓宽工作领域，以服务“三农”为中心，加大开展农业资源区划工作力度。继续对农业，农村，农民问题开展深入细致的调查研究。有针对性的开展各类农业资源的调查、检测和评价工作。研究农业资源合理利用与保护中的重大问题，提出开发、利用和保护的建议。在实际工作中,根据国家乡村振兴战略的步骤实施，推进农村一二三产业融合发展，深入推进农业供给侧结构性改革，切实提高农业区划工作能力和水平。紧紧围绕优化资源配置和促进农业区域协调发展为目标，保质保量完成下达的各类任务。　</w:t>
      </w:r>
      <w:r>
        <w:t>　</w:t>
      </w:r>
    </w:p>
    <w:p>
      <w:pPr>
        <w:spacing w:line="500" w:lineRule="exact"/>
        <w:ind w:firstLine="560"/>
        <w:rPr>
          <w:rFonts w:eastAsia="方正仿宋_GBK"/>
          <w:color w:val="000000"/>
          <w:sz w:val="28"/>
          <w:lang w:eastAsia="zh-CN"/>
        </w:rPr>
      </w:pPr>
      <w:r>
        <w:rPr>
          <w:rFonts w:eastAsia="方正仿宋_GBK"/>
          <w:color w:val="000000"/>
          <w:sz w:val="28"/>
        </w:rPr>
        <w:t>（二）分项绩效目标</w:t>
      </w:r>
    </w:p>
    <w:p>
      <w:pPr>
        <w:pStyle w:val="21"/>
        <w:rPr>
          <w:lang w:eastAsia="zh-CN"/>
        </w:rPr>
      </w:pPr>
      <w:r>
        <w:t>区划中心工作活动，开展农业资源区划调查研究。工作活动要点，建立农业资源监测制度；负责农业资源可持续发展和高效利用实验示范工作。工作活动绩效目标，掌握我区农业资源现状及动态变化。工作活动绩效指标，开展农业农村专题研究并形成报告。</w:t>
      </w:r>
    </w:p>
    <w:p>
      <w:pPr>
        <w:spacing w:line="500" w:lineRule="exact"/>
        <w:ind w:firstLine="560"/>
        <w:rPr>
          <w:rFonts w:eastAsia="方正仿宋_GBK"/>
          <w:color w:val="000000"/>
          <w:sz w:val="28"/>
          <w:lang w:eastAsia="zh-CN"/>
        </w:rPr>
      </w:pPr>
      <w:r>
        <w:rPr>
          <w:rFonts w:eastAsia="方正仿宋_GBK"/>
          <w:color w:val="000000"/>
          <w:sz w:val="28"/>
        </w:rPr>
        <w:t>（三）工作保障措施</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2、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pStyle w:val="23"/>
      </w:pP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方正楷体_GBK" w:hAnsi="方正楷体_GBK" w:cs="方正楷体_GBK" w:eastAsiaTheme="minorEastAsia"/>
          <w:b/>
          <w:color w:val="000000"/>
          <w:sz w:val="32"/>
          <w:lang w:eastAsia="zh-CN"/>
        </w:rPr>
      </w:pPr>
    </w:p>
    <w:p>
      <w:pPr>
        <w:ind w:firstLine="640"/>
        <w:rPr>
          <w:rFonts w:eastAsia="方正仿宋_GBK"/>
          <w:sz w:val="28"/>
          <w:lang w:eastAsia="zh-CN"/>
        </w:rPr>
      </w:pPr>
      <w:r>
        <w:rPr>
          <w:rFonts w:hint="eastAsia" w:eastAsia="方正仿宋_GBK"/>
          <w:sz w:val="28"/>
        </w:rPr>
        <w:t>区划中心2022年度无专项资金项目</w:t>
      </w:r>
      <w:r>
        <w:rPr>
          <w:rFonts w:hint="eastAsia" w:eastAsia="方正仿宋_GBK"/>
          <w:sz w:val="28"/>
          <w:lang w:eastAsia="zh-CN"/>
        </w:rPr>
        <w:t>。</w:t>
      </w:r>
    </w:p>
    <w:p>
      <w:pPr>
        <w:rPr>
          <w:sz w:val="28"/>
        </w:rPr>
      </w:pPr>
    </w:p>
    <w:p>
      <w:pPr>
        <w:tabs>
          <w:tab w:val="left" w:pos="640"/>
        </w:tabs>
      </w:pPr>
      <w:r>
        <w:rPr>
          <w:sz w:val="28"/>
        </w:rPr>
        <w:tab/>
      </w:r>
      <w:r>
        <w:rPr>
          <w:rFonts w:ascii="方正楷体_GBK" w:hAnsi="方正楷体_GBK" w:eastAsia="方正楷体_GBK" w:cs="方正楷体_GBK"/>
          <w:b/>
          <w:color w:val="000000"/>
          <w:sz w:val="32"/>
        </w:rPr>
        <w:t>第三部分  预算项目绩效目标</w:t>
      </w:r>
    </w:p>
    <w:p/>
    <w:p/>
    <w:p>
      <w:pPr>
        <w:tabs>
          <w:tab w:val="left" w:pos="600"/>
        </w:tabs>
        <w:rPr>
          <w:lang w:eastAsia="zh-CN"/>
        </w:rPr>
      </w:pPr>
      <w:r>
        <w:tab/>
      </w:r>
      <w:r>
        <w:rPr>
          <w:rFonts w:hint="eastAsia" w:eastAsia="方正仿宋_GBK"/>
          <w:sz w:val="28"/>
        </w:rPr>
        <w:t>区划中心2022年度无</w:t>
      </w:r>
      <w:r>
        <w:rPr>
          <w:rFonts w:hint="eastAsia" w:eastAsia="方正仿宋_GBK"/>
          <w:sz w:val="28"/>
          <w:lang w:eastAsia="zh-CN"/>
        </w:rPr>
        <w:t>预算</w:t>
      </w:r>
      <w:r>
        <w:rPr>
          <w:rFonts w:hint="eastAsia" w:eastAsia="方正仿宋_GBK"/>
          <w:sz w:val="28"/>
        </w:rPr>
        <w:t>项</w:t>
      </w:r>
      <w:r>
        <w:rPr>
          <w:rFonts w:hint="eastAsia" w:eastAsia="方正仿宋_GBK"/>
          <w:sz w:val="28"/>
          <w:lang w:eastAsia="zh-CN"/>
        </w:rPr>
        <w:t>目</w:t>
      </w:r>
      <w:r>
        <w:rPr>
          <w:rFonts w:hint="eastAsia" w:eastAsia="方正仿宋_GBK"/>
          <w:sz w:val="28"/>
        </w:rPr>
        <w:t>资金</w:t>
      </w:r>
      <w:r>
        <w:rPr>
          <w:rFonts w:hint="eastAsia" w:eastAsia="方正仿宋_GBK"/>
          <w:sz w:val="28"/>
          <w:lang w:eastAsia="zh-CN"/>
        </w:rPr>
        <w:t>。</w:t>
      </w:r>
    </w:p>
    <w:p/>
    <w:p/>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2022年，石家庄市鹿泉区农业区划发展中心安排政府采购预算0.00万元。具体内容见下表。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石家庄市鹿泉区农业区划发展中心（含所属单位）上年末固定资产金额为3.09万元（详见下表）。本年度拟购置固定资产总额为0.00万元，已按要求列入政府采购预算，详见政府采购预算表。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325石家庄市鹿泉区农业区划发展中心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w:t>
            </w:r>
          </w:p>
        </w:tc>
        <w:tc>
          <w:tcPr>
            <w:tcW w:w="2835" w:type="dxa"/>
            <w:vAlign w:val="center"/>
          </w:tcPr>
          <w:p>
            <w:pPr>
              <w:pStyle w:val="11"/>
            </w:pPr>
            <w:r>
              <w:t>3.09</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一、石家庄市鹿泉区农业区划发展中心本级收支预算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96.46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96.46</w:t>
            </w:r>
          </w:p>
        </w:tc>
        <w:tc>
          <w:tcPr>
            <w:tcW w:w="4535" w:type="dxa"/>
            <w:vAlign w:val="center"/>
          </w:tcPr>
          <w:p>
            <w:pPr>
              <w:pStyle w:val="14"/>
            </w:pPr>
            <w:r>
              <w:t>本年支出合计</w:t>
            </w:r>
          </w:p>
        </w:tc>
        <w:tc>
          <w:tcPr>
            <w:tcW w:w="2126" w:type="dxa"/>
            <w:vAlign w:val="center"/>
          </w:tcPr>
          <w:p>
            <w:pPr>
              <w:pStyle w:val="15"/>
            </w:pPr>
            <w:r>
              <w:t>96.46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96.46</w:t>
            </w:r>
          </w:p>
        </w:tc>
        <w:tc>
          <w:tcPr>
            <w:tcW w:w="4535" w:type="dxa"/>
            <w:vAlign w:val="center"/>
          </w:tcPr>
          <w:p>
            <w:pPr>
              <w:pStyle w:val="14"/>
            </w:pPr>
            <w:r>
              <w:t>支出总计</w:t>
            </w:r>
          </w:p>
        </w:tc>
        <w:tc>
          <w:tcPr>
            <w:tcW w:w="2126" w:type="dxa"/>
            <w:vAlign w:val="center"/>
          </w:tcPr>
          <w:p>
            <w:pPr>
              <w:pStyle w:val="15"/>
            </w:pPr>
            <w:r>
              <w:t>96.46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96.46</w:t>
            </w:r>
          </w:p>
        </w:tc>
        <w:tc>
          <w:tcPr>
            <w:tcW w:w="1134" w:type="dxa"/>
            <w:vAlign w:val="center"/>
          </w:tcPr>
          <w:p>
            <w:pPr>
              <w:pStyle w:val="15"/>
            </w:pPr>
            <w:r>
              <w:t>96.46</w:t>
            </w:r>
          </w:p>
        </w:tc>
        <w:tc>
          <w:tcPr>
            <w:tcW w:w="1134" w:type="dxa"/>
            <w:vAlign w:val="center"/>
          </w:tcPr>
          <w:p>
            <w:pPr>
              <w:pStyle w:val="15"/>
            </w:pPr>
            <w:r>
              <w:t>96.46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r>
              <w:t>15.48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9.23</w:t>
            </w:r>
          </w:p>
        </w:tc>
        <w:tc>
          <w:tcPr>
            <w:tcW w:w="1134" w:type="dxa"/>
            <w:vAlign w:val="center"/>
          </w:tcPr>
          <w:p>
            <w:pPr>
              <w:pStyle w:val="11"/>
            </w:pPr>
            <w:r>
              <w:t>9.23</w:t>
            </w:r>
          </w:p>
        </w:tc>
        <w:tc>
          <w:tcPr>
            <w:tcW w:w="1134" w:type="dxa"/>
            <w:vAlign w:val="center"/>
          </w:tcPr>
          <w:p>
            <w:pPr>
              <w:pStyle w:val="11"/>
            </w:pPr>
            <w:r>
              <w:t>9.23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r>
              <w:t>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r>
              <w:t>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96.46</w:t>
            </w:r>
          </w:p>
        </w:tc>
        <w:tc>
          <w:tcPr>
            <w:tcW w:w="1361" w:type="dxa"/>
            <w:vAlign w:val="center"/>
          </w:tcPr>
          <w:p>
            <w:pPr>
              <w:pStyle w:val="15"/>
            </w:pPr>
            <w:r>
              <w:t>96.46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15.48</w:t>
            </w:r>
          </w:p>
        </w:tc>
        <w:tc>
          <w:tcPr>
            <w:tcW w:w="1361" w:type="dxa"/>
            <w:vAlign w:val="center"/>
          </w:tcPr>
          <w:p>
            <w:pPr>
              <w:pStyle w:val="11"/>
            </w:pPr>
            <w:r>
              <w:t>15.48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15.48</w:t>
            </w:r>
          </w:p>
        </w:tc>
        <w:tc>
          <w:tcPr>
            <w:tcW w:w="1361" w:type="dxa"/>
            <w:vAlign w:val="center"/>
          </w:tcPr>
          <w:p>
            <w:pPr>
              <w:pStyle w:val="11"/>
            </w:pPr>
            <w:r>
              <w:t>15.48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9.23</w:t>
            </w:r>
          </w:p>
        </w:tc>
        <w:tc>
          <w:tcPr>
            <w:tcW w:w="1361" w:type="dxa"/>
            <w:vAlign w:val="center"/>
          </w:tcPr>
          <w:p>
            <w:pPr>
              <w:pStyle w:val="11"/>
            </w:pPr>
            <w:r>
              <w:t>9.23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6.24</w:t>
            </w:r>
          </w:p>
        </w:tc>
        <w:tc>
          <w:tcPr>
            <w:tcW w:w="1361" w:type="dxa"/>
            <w:vAlign w:val="center"/>
          </w:tcPr>
          <w:p>
            <w:pPr>
              <w:pStyle w:val="11"/>
            </w:pPr>
            <w:r>
              <w:t>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5.88</w:t>
            </w:r>
          </w:p>
        </w:tc>
        <w:tc>
          <w:tcPr>
            <w:tcW w:w="1361" w:type="dxa"/>
            <w:vAlign w:val="center"/>
          </w:tcPr>
          <w:p>
            <w:pPr>
              <w:pStyle w:val="11"/>
            </w:pPr>
            <w:r>
              <w:t>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5.88</w:t>
            </w:r>
          </w:p>
        </w:tc>
        <w:tc>
          <w:tcPr>
            <w:tcW w:w="1361" w:type="dxa"/>
            <w:vAlign w:val="center"/>
          </w:tcPr>
          <w:p>
            <w:pPr>
              <w:pStyle w:val="11"/>
            </w:pPr>
            <w:r>
              <w:t>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5.88</w:t>
            </w:r>
          </w:p>
        </w:tc>
        <w:tc>
          <w:tcPr>
            <w:tcW w:w="1361" w:type="dxa"/>
            <w:vAlign w:val="center"/>
          </w:tcPr>
          <w:p>
            <w:pPr>
              <w:pStyle w:val="11"/>
            </w:pPr>
            <w:r>
              <w:t>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67.20</w:t>
            </w:r>
          </w:p>
        </w:tc>
        <w:tc>
          <w:tcPr>
            <w:tcW w:w="1361" w:type="dxa"/>
            <w:vAlign w:val="center"/>
          </w:tcPr>
          <w:p>
            <w:pPr>
              <w:pStyle w:val="11"/>
            </w:pPr>
            <w:r>
              <w:t>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67.20</w:t>
            </w:r>
          </w:p>
        </w:tc>
        <w:tc>
          <w:tcPr>
            <w:tcW w:w="1361" w:type="dxa"/>
            <w:vAlign w:val="center"/>
          </w:tcPr>
          <w:p>
            <w:pPr>
              <w:pStyle w:val="11"/>
            </w:pPr>
            <w:r>
              <w:t>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67.20</w:t>
            </w:r>
          </w:p>
        </w:tc>
        <w:tc>
          <w:tcPr>
            <w:tcW w:w="1361" w:type="dxa"/>
            <w:vAlign w:val="center"/>
          </w:tcPr>
          <w:p>
            <w:pPr>
              <w:pStyle w:val="11"/>
            </w:pPr>
            <w:r>
              <w:t>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96.46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15.48</w:t>
            </w:r>
          </w:p>
        </w:tc>
        <w:tc>
          <w:tcPr>
            <w:tcW w:w="1474" w:type="dxa"/>
            <w:vAlign w:val="center"/>
          </w:tcPr>
          <w:p>
            <w:pPr>
              <w:pStyle w:val="11"/>
            </w:pPr>
            <w:r>
              <w:t>15.48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5.88</w:t>
            </w:r>
          </w:p>
        </w:tc>
        <w:tc>
          <w:tcPr>
            <w:tcW w:w="1474" w:type="dxa"/>
            <w:vAlign w:val="center"/>
          </w:tcPr>
          <w:p>
            <w:pPr>
              <w:pStyle w:val="11"/>
            </w:pPr>
            <w:r>
              <w:t>5.88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67.20</w:t>
            </w:r>
          </w:p>
        </w:tc>
        <w:tc>
          <w:tcPr>
            <w:tcW w:w="1474" w:type="dxa"/>
            <w:vAlign w:val="center"/>
          </w:tcPr>
          <w:p>
            <w:pPr>
              <w:pStyle w:val="11"/>
            </w:pPr>
            <w:r>
              <w:t>67.20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7.90</w:t>
            </w:r>
          </w:p>
        </w:tc>
        <w:tc>
          <w:tcPr>
            <w:tcW w:w="1474" w:type="dxa"/>
            <w:vAlign w:val="center"/>
          </w:tcPr>
          <w:p>
            <w:pPr>
              <w:pStyle w:val="11"/>
            </w:pPr>
            <w:r>
              <w:t>7.90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96.46</w:t>
            </w:r>
          </w:p>
        </w:tc>
        <w:tc>
          <w:tcPr>
            <w:tcW w:w="3402" w:type="dxa"/>
            <w:vAlign w:val="center"/>
          </w:tcPr>
          <w:p>
            <w:pPr>
              <w:pStyle w:val="14"/>
            </w:pPr>
            <w:r>
              <w:t>本年支出合计</w:t>
            </w:r>
          </w:p>
        </w:tc>
        <w:tc>
          <w:tcPr>
            <w:tcW w:w="1474" w:type="dxa"/>
            <w:vAlign w:val="center"/>
          </w:tcPr>
          <w:p>
            <w:pPr>
              <w:pStyle w:val="15"/>
            </w:pPr>
            <w:r>
              <w:t>96.46</w:t>
            </w:r>
          </w:p>
        </w:tc>
        <w:tc>
          <w:tcPr>
            <w:tcW w:w="1474" w:type="dxa"/>
            <w:vAlign w:val="center"/>
          </w:tcPr>
          <w:p>
            <w:pPr>
              <w:pStyle w:val="15"/>
            </w:pPr>
            <w:r>
              <w:t>96.46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96.46</w:t>
            </w:r>
          </w:p>
        </w:tc>
        <w:tc>
          <w:tcPr>
            <w:tcW w:w="3402" w:type="dxa"/>
            <w:vAlign w:val="center"/>
          </w:tcPr>
          <w:p>
            <w:pPr>
              <w:pStyle w:val="14"/>
            </w:pPr>
            <w:r>
              <w:t>支出总计</w:t>
            </w:r>
          </w:p>
        </w:tc>
        <w:tc>
          <w:tcPr>
            <w:tcW w:w="1474" w:type="dxa"/>
            <w:vAlign w:val="center"/>
          </w:tcPr>
          <w:p>
            <w:pPr>
              <w:pStyle w:val="15"/>
            </w:pPr>
            <w:r>
              <w:t>96.46</w:t>
            </w:r>
          </w:p>
        </w:tc>
        <w:tc>
          <w:tcPr>
            <w:tcW w:w="1474" w:type="dxa"/>
            <w:vAlign w:val="center"/>
          </w:tcPr>
          <w:p>
            <w:pPr>
              <w:pStyle w:val="15"/>
            </w:pPr>
            <w:r>
              <w:t>96.46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96.46</w:t>
            </w:r>
          </w:p>
        </w:tc>
        <w:tc>
          <w:tcPr>
            <w:tcW w:w="2551" w:type="dxa"/>
            <w:vAlign w:val="center"/>
          </w:tcPr>
          <w:p>
            <w:pPr>
              <w:pStyle w:val="15"/>
            </w:pPr>
            <w:r>
              <w:t>96.46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15.48</w:t>
            </w:r>
          </w:p>
        </w:tc>
        <w:tc>
          <w:tcPr>
            <w:tcW w:w="2551" w:type="dxa"/>
            <w:vAlign w:val="center"/>
          </w:tcPr>
          <w:p>
            <w:pPr>
              <w:pStyle w:val="11"/>
            </w:pPr>
            <w:r>
              <w:t>15.48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15.48</w:t>
            </w:r>
          </w:p>
        </w:tc>
        <w:tc>
          <w:tcPr>
            <w:tcW w:w="2551" w:type="dxa"/>
            <w:vAlign w:val="center"/>
          </w:tcPr>
          <w:p>
            <w:pPr>
              <w:pStyle w:val="11"/>
            </w:pPr>
            <w:r>
              <w:t>15.48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9.23</w:t>
            </w:r>
          </w:p>
        </w:tc>
        <w:tc>
          <w:tcPr>
            <w:tcW w:w="2551" w:type="dxa"/>
            <w:vAlign w:val="center"/>
          </w:tcPr>
          <w:p>
            <w:pPr>
              <w:pStyle w:val="11"/>
            </w:pPr>
            <w:r>
              <w:t>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67.20</w:t>
            </w:r>
          </w:p>
        </w:tc>
        <w:tc>
          <w:tcPr>
            <w:tcW w:w="2551" w:type="dxa"/>
            <w:vAlign w:val="center"/>
          </w:tcPr>
          <w:p>
            <w:pPr>
              <w:pStyle w:val="11"/>
            </w:pPr>
            <w:r>
              <w:t>67.20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67.20</w:t>
            </w:r>
          </w:p>
        </w:tc>
        <w:tc>
          <w:tcPr>
            <w:tcW w:w="2551" w:type="dxa"/>
            <w:vAlign w:val="center"/>
          </w:tcPr>
          <w:p>
            <w:pPr>
              <w:pStyle w:val="11"/>
            </w:pPr>
            <w:r>
              <w:t>67.20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67.20</w:t>
            </w:r>
          </w:p>
        </w:tc>
        <w:tc>
          <w:tcPr>
            <w:tcW w:w="2551" w:type="dxa"/>
            <w:vAlign w:val="center"/>
          </w:tcPr>
          <w:p>
            <w:pPr>
              <w:pStyle w:val="11"/>
            </w:pPr>
            <w:r>
              <w:t>67.20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96.46</w:t>
            </w:r>
          </w:p>
        </w:tc>
        <w:tc>
          <w:tcPr>
            <w:tcW w:w="2551" w:type="dxa"/>
            <w:vAlign w:val="center"/>
          </w:tcPr>
          <w:p>
            <w:pPr>
              <w:pStyle w:val="15"/>
            </w:pPr>
            <w:r>
              <w:t>90.12</w:t>
            </w:r>
          </w:p>
        </w:tc>
        <w:tc>
          <w:tcPr>
            <w:tcW w:w="2551" w:type="dxa"/>
            <w:vAlign w:val="center"/>
          </w:tcPr>
          <w:p>
            <w:pPr>
              <w:pStyle w:val="15"/>
            </w:pPr>
            <w: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81.14</w:t>
            </w:r>
          </w:p>
        </w:tc>
        <w:tc>
          <w:tcPr>
            <w:tcW w:w="2551" w:type="dxa"/>
            <w:vAlign w:val="center"/>
          </w:tcPr>
          <w:p>
            <w:pPr>
              <w:pStyle w:val="11"/>
            </w:pPr>
            <w:r>
              <w:t>81.14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23.17</w:t>
            </w:r>
          </w:p>
        </w:tc>
        <w:tc>
          <w:tcPr>
            <w:tcW w:w="2551" w:type="dxa"/>
            <w:vAlign w:val="center"/>
          </w:tcPr>
          <w:p>
            <w:pPr>
              <w:pStyle w:val="11"/>
            </w:pPr>
            <w:r>
              <w:t>23.17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4.42</w:t>
            </w:r>
          </w:p>
        </w:tc>
        <w:tc>
          <w:tcPr>
            <w:tcW w:w="2551" w:type="dxa"/>
            <w:vAlign w:val="center"/>
          </w:tcPr>
          <w:p>
            <w:pPr>
              <w:pStyle w:val="11"/>
            </w:pPr>
            <w:r>
              <w:t>4.42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15.85</w:t>
            </w:r>
          </w:p>
        </w:tc>
        <w:tc>
          <w:tcPr>
            <w:tcW w:w="2551" w:type="dxa"/>
            <w:vAlign w:val="center"/>
          </w:tcPr>
          <w:p>
            <w:pPr>
              <w:pStyle w:val="11"/>
            </w:pPr>
            <w:r>
              <w:t>15.85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3.31</w:t>
            </w:r>
          </w:p>
        </w:tc>
        <w:tc>
          <w:tcPr>
            <w:tcW w:w="2551" w:type="dxa"/>
            <w:vAlign w:val="center"/>
          </w:tcPr>
          <w:p>
            <w:pPr>
              <w:pStyle w:val="11"/>
            </w:pPr>
            <w:r>
              <w:t>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2.56</w:t>
            </w:r>
          </w:p>
        </w:tc>
        <w:tc>
          <w:tcPr>
            <w:tcW w:w="2551" w:type="dxa"/>
            <w:vAlign w:val="center"/>
          </w:tcPr>
          <w:p>
            <w:pPr>
              <w:pStyle w:val="11"/>
            </w:pPr>
            <w:r>
              <w:t>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0.47</w:t>
            </w:r>
          </w:p>
        </w:tc>
        <w:tc>
          <w:tcPr>
            <w:tcW w:w="2551" w:type="dxa"/>
            <w:vAlign w:val="center"/>
          </w:tcPr>
          <w:p>
            <w:pPr>
              <w:pStyle w:val="11"/>
            </w:pPr>
            <w:r>
              <w:t>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17.20</w:t>
            </w:r>
          </w:p>
        </w:tc>
        <w:tc>
          <w:tcPr>
            <w:tcW w:w="2551" w:type="dxa"/>
            <w:vAlign w:val="center"/>
          </w:tcPr>
          <w:p>
            <w:pPr>
              <w:pStyle w:val="11"/>
            </w:pPr>
            <w:r>
              <w:t>17.20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5.74</w:t>
            </w:r>
          </w:p>
        </w:tc>
        <w:tc>
          <w:tcPr>
            <w:tcW w:w="2551" w:type="dxa"/>
            <w:vAlign w:val="center"/>
          </w:tcPr>
          <w:p>
            <w:pPr>
              <w:pStyle w:val="11"/>
            </w:pPr>
          </w:p>
        </w:tc>
        <w:tc>
          <w:tcPr>
            <w:tcW w:w="2551" w:type="dxa"/>
            <w:vAlign w:val="center"/>
          </w:tcPr>
          <w:p>
            <w:pPr>
              <w:pStyle w:val="11"/>
            </w:pPr>
            <w:r>
              <w:t>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0.47</w:t>
            </w:r>
          </w:p>
        </w:tc>
        <w:tc>
          <w:tcPr>
            <w:tcW w:w="2551" w:type="dxa"/>
            <w:vAlign w:val="center"/>
          </w:tcPr>
          <w:p>
            <w:pPr>
              <w:pStyle w:val="11"/>
            </w:pPr>
          </w:p>
        </w:tc>
        <w:tc>
          <w:tcPr>
            <w:tcW w:w="2551"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0.31</w:t>
            </w:r>
          </w:p>
        </w:tc>
        <w:tc>
          <w:tcPr>
            <w:tcW w:w="2551" w:type="dxa"/>
            <w:vAlign w:val="center"/>
          </w:tcPr>
          <w:p>
            <w:pPr>
              <w:pStyle w:val="11"/>
            </w:pPr>
          </w:p>
        </w:tc>
        <w:tc>
          <w:tcPr>
            <w:tcW w:w="2551"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8.98</w:t>
            </w:r>
          </w:p>
        </w:tc>
        <w:tc>
          <w:tcPr>
            <w:tcW w:w="2551" w:type="dxa"/>
            <w:vAlign w:val="center"/>
          </w:tcPr>
          <w:p>
            <w:pPr>
              <w:pStyle w:val="11"/>
            </w:pPr>
            <w:r>
              <w:t>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2.10</w:t>
            </w:r>
          </w:p>
        </w:tc>
        <w:tc>
          <w:tcPr>
            <w:tcW w:w="2551" w:type="dxa"/>
            <w:vAlign w:val="center"/>
          </w:tcPr>
          <w:p>
            <w:pPr>
              <w:pStyle w:val="11"/>
            </w:pPr>
            <w:r>
              <w:t>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6.88</w:t>
            </w:r>
          </w:p>
        </w:tc>
        <w:tc>
          <w:tcPr>
            <w:tcW w:w="2551" w:type="dxa"/>
            <w:vAlign w:val="center"/>
          </w:tcPr>
          <w:p>
            <w:pPr>
              <w:pStyle w:val="11"/>
            </w:pPr>
            <w:r>
              <w:t>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石家庄市鹿泉区农业区划发展中心本级2022年单位预算信息公开情况说明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bookmarkStart w:id="19" w:name="_GoBack"/>
      <w:bookmarkEnd w:id="19"/>
      <w:r>
        <w:rPr>
          <w:rFonts w:eastAsia="方正仿宋_GBK"/>
          <w:color w:val="000000"/>
          <w:sz w:val="28"/>
        </w:rPr>
        <w:t>预算法》、《地方预决算公开操作规程》和《关于进一步推进预算公开工作的实施意见》规定，现将石家庄市鹿泉区农业区划发展中心本级2022年单位预算公开如下：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区划中心部门职责</w:t>
      </w:r>
    </w:p>
    <w:p>
      <w:pPr>
        <w:pStyle w:val="25"/>
      </w:pPr>
      <w:r>
        <w:t>开展农业资源区划调查研究。部门职责要点，建立农业资源监测制度；负责农业资源可持续发展和高效利用实验示范工作。部门职责绩效目标，掌握我区农业资源现状及动态变化。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石家庄市鹿泉区农业区划发展中心本级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lang w:eastAsia="zh-CN"/>
        </w:rPr>
      </w:pPr>
      <w:r>
        <w:rPr>
          <w:rFonts w:eastAsia="方正仿宋_GBK"/>
          <w:color w:val="000000"/>
          <w:sz w:val="28"/>
        </w:rPr>
        <w:t>按照预算管理有关规定，目前我单位预算的编制实行综合预算管理，即全部收入和支出都反映在预算中。</w:t>
      </w:r>
    </w:p>
    <w:p>
      <w:pPr>
        <w:spacing w:line="500" w:lineRule="exact"/>
        <w:ind w:firstLine="560"/>
        <w:rPr>
          <w:rFonts w:eastAsia="方正仿宋_GBK"/>
          <w:color w:val="000000"/>
          <w:sz w:val="28"/>
        </w:rPr>
      </w:pPr>
      <w:r>
        <w:rPr>
          <w:rFonts w:eastAsia="方正仿宋_GBK"/>
          <w:color w:val="000000"/>
          <w:sz w:val="28"/>
        </w:rPr>
        <w:t>1、收入说明</w:t>
      </w:r>
    </w:p>
    <w:p>
      <w:pPr>
        <w:spacing w:line="500" w:lineRule="exact"/>
        <w:ind w:firstLine="560"/>
        <w:rPr>
          <w:rFonts w:eastAsia="方正仿宋_GBK"/>
          <w:color w:val="000000"/>
          <w:sz w:val="28"/>
        </w:rPr>
      </w:pPr>
      <w:r>
        <w:rPr>
          <w:rFonts w:eastAsia="方正仿宋_GBK"/>
          <w:color w:val="000000"/>
          <w:sz w:val="28"/>
        </w:rPr>
        <w:t>反映本部门当年全部收入。2022年预算收入</w:t>
      </w:r>
      <w:r>
        <w:rPr>
          <w:rFonts w:hint="eastAsia" w:eastAsia="方正仿宋_GBK"/>
          <w:color w:val="000000"/>
          <w:sz w:val="28"/>
        </w:rPr>
        <w:t>96.46</w:t>
      </w:r>
      <w:r>
        <w:rPr>
          <w:rFonts w:eastAsia="方正仿宋_GBK"/>
          <w:color w:val="000000"/>
          <w:sz w:val="28"/>
        </w:rPr>
        <w:t>万元，其中：一般公共预算收入</w:t>
      </w:r>
      <w:r>
        <w:rPr>
          <w:rFonts w:hint="eastAsia" w:eastAsia="方正仿宋_GBK"/>
          <w:color w:val="000000"/>
          <w:sz w:val="28"/>
        </w:rPr>
        <w:t>96.46</w:t>
      </w:r>
      <w:r>
        <w:rPr>
          <w:rFonts w:eastAsia="方正仿宋_GBK"/>
          <w:color w:val="000000"/>
          <w:sz w:val="28"/>
        </w:rPr>
        <w:t>万元，</w:t>
      </w:r>
      <w:r>
        <w:rPr>
          <w:rFonts w:hint="eastAsia" w:eastAsia="方正仿宋_GBK"/>
          <w:color w:val="000000"/>
          <w:sz w:val="28"/>
        </w:rPr>
        <w:t>基金预算</w:t>
      </w:r>
      <w:r>
        <w:rPr>
          <w:rFonts w:eastAsia="方正仿宋_GBK"/>
          <w:color w:val="000000"/>
          <w:sz w:val="28"/>
        </w:rPr>
        <w:t>收入</w:t>
      </w:r>
      <w:r>
        <w:rPr>
          <w:rFonts w:hint="eastAsia" w:eastAsia="方正仿宋_GBK"/>
          <w:color w:val="000000"/>
          <w:sz w:val="28"/>
        </w:rPr>
        <w:t>0</w:t>
      </w:r>
      <w:r>
        <w:rPr>
          <w:rFonts w:eastAsia="方正仿宋_GBK"/>
          <w:color w:val="000000"/>
          <w:sz w:val="28"/>
        </w:rPr>
        <w:t>万元，</w:t>
      </w:r>
      <w:r>
        <w:rPr>
          <w:rFonts w:hint="eastAsia" w:eastAsia="方正仿宋_GBK"/>
          <w:color w:val="000000"/>
          <w:sz w:val="28"/>
        </w:rPr>
        <w:t>财政专户核拨收入0</w:t>
      </w:r>
      <w:r>
        <w:rPr>
          <w:rFonts w:eastAsia="方正仿宋_GBK"/>
          <w:color w:val="000000"/>
          <w:sz w:val="28"/>
        </w:rPr>
        <w:t>万元</w:t>
      </w:r>
      <w:r>
        <w:rPr>
          <w:rFonts w:hint="eastAsia" w:eastAsia="方正仿宋_GBK"/>
          <w:color w:val="000000"/>
          <w:sz w:val="28"/>
        </w:rPr>
        <w:t>，其他来源收入（单位资金）0万元，上年结转结余0万元。</w:t>
      </w:r>
    </w:p>
    <w:p>
      <w:pPr>
        <w:spacing w:line="500" w:lineRule="exact"/>
        <w:ind w:firstLine="560"/>
        <w:rPr>
          <w:rFonts w:eastAsia="方正仿宋_GBK"/>
          <w:color w:val="000000"/>
          <w:sz w:val="28"/>
        </w:rPr>
      </w:pPr>
      <w:r>
        <w:rPr>
          <w:rFonts w:eastAsia="方正仿宋_GBK"/>
          <w:color w:val="000000"/>
          <w:sz w:val="28"/>
        </w:rPr>
        <w:t>2、支出说明</w:t>
      </w:r>
    </w:p>
    <w:p>
      <w:pPr>
        <w:spacing w:line="500" w:lineRule="exact"/>
        <w:ind w:firstLine="560"/>
        <w:rPr>
          <w:rFonts w:eastAsia="方正仿宋_GBK"/>
          <w:color w:val="000000"/>
          <w:sz w:val="28"/>
        </w:rPr>
      </w:pPr>
      <w:r>
        <w:rPr>
          <w:rFonts w:eastAsia="方正仿宋_GBK"/>
          <w:color w:val="000000"/>
          <w:sz w:val="28"/>
        </w:rPr>
        <w:t>收支预算总表支出栏、基本支出表、项目支出表按经济分类和支出功能分类科目编制，反映</w:t>
      </w:r>
      <w:r>
        <w:rPr>
          <w:rFonts w:hint="eastAsia" w:eastAsia="方正仿宋_GBK"/>
          <w:color w:val="000000"/>
          <w:sz w:val="28"/>
        </w:rPr>
        <w:t>石家庄市鹿泉区农业区划发展中心</w:t>
      </w:r>
      <w:r>
        <w:rPr>
          <w:rFonts w:eastAsia="方正仿宋_GBK"/>
          <w:color w:val="000000"/>
          <w:sz w:val="28"/>
        </w:rPr>
        <w:t>年度部门预算中支出预算的总体情况。2022年支出预算</w:t>
      </w:r>
      <w:r>
        <w:rPr>
          <w:rFonts w:hint="eastAsia" w:eastAsia="方正仿宋_GBK"/>
          <w:color w:val="000000"/>
          <w:sz w:val="28"/>
        </w:rPr>
        <w:t>96.46</w:t>
      </w:r>
      <w:r>
        <w:rPr>
          <w:rFonts w:eastAsia="方正仿宋_GBK"/>
          <w:color w:val="000000"/>
          <w:sz w:val="28"/>
        </w:rPr>
        <w:t>万元，其中基本支出</w:t>
      </w:r>
      <w:r>
        <w:rPr>
          <w:rFonts w:hint="eastAsia" w:eastAsia="方正仿宋_GBK"/>
          <w:color w:val="000000"/>
          <w:sz w:val="28"/>
        </w:rPr>
        <w:t>96.46</w:t>
      </w:r>
      <w:r>
        <w:rPr>
          <w:rFonts w:eastAsia="方正仿宋_GBK"/>
          <w:color w:val="000000"/>
          <w:sz w:val="28"/>
        </w:rPr>
        <w:t>万元，包括人员经费</w:t>
      </w:r>
      <w:r>
        <w:rPr>
          <w:rFonts w:hint="eastAsia" w:eastAsia="方正仿宋_GBK"/>
          <w:color w:val="000000"/>
          <w:sz w:val="28"/>
        </w:rPr>
        <w:t>90.12万元</w:t>
      </w:r>
      <w:r>
        <w:rPr>
          <w:rFonts w:eastAsia="方正仿宋_GBK"/>
          <w:color w:val="000000"/>
          <w:sz w:val="28"/>
        </w:rPr>
        <w:t>和日常公用经费</w:t>
      </w:r>
      <w:r>
        <w:rPr>
          <w:rFonts w:hint="eastAsia" w:eastAsia="方正仿宋_GBK"/>
          <w:color w:val="000000"/>
          <w:sz w:val="28"/>
        </w:rPr>
        <w:t>6.34万元</w:t>
      </w:r>
      <w:r>
        <w:rPr>
          <w:rFonts w:eastAsia="方正仿宋_GBK"/>
          <w:color w:val="000000"/>
          <w:sz w:val="28"/>
        </w:rPr>
        <w:t>；项目支出</w:t>
      </w:r>
      <w:r>
        <w:rPr>
          <w:rFonts w:hint="eastAsia" w:eastAsia="方正仿宋_GBK"/>
          <w:color w:val="000000"/>
          <w:sz w:val="28"/>
        </w:rPr>
        <w:t>0</w:t>
      </w:r>
      <w:r>
        <w:rPr>
          <w:rFonts w:eastAsia="方正仿宋_GBK"/>
          <w:color w:val="000000"/>
          <w:sz w:val="28"/>
        </w:rPr>
        <w:t>万元</w:t>
      </w:r>
      <w:r>
        <w:rPr>
          <w:rFonts w:hint="eastAsia" w:eastAsia="方正仿宋_GBK"/>
          <w:color w:val="000000"/>
          <w:sz w:val="28"/>
        </w:rPr>
        <w:t>，上年结转安排0万元。</w:t>
      </w:r>
    </w:p>
    <w:p>
      <w:pPr>
        <w:spacing w:line="500" w:lineRule="exact"/>
        <w:ind w:firstLine="560"/>
        <w:rPr>
          <w:rFonts w:eastAsia="方正仿宋_GBK"/>
          <w:color w:val="000000"/>
          <w:sz w:val="28"/>
        </w:rPr>
      </w:pPr>
      <w:r>
        <w:rPr>
          <w:rFonts w:eastAsia="方正仿宋_GBK"/>
          <w:color w:val="000000"/>
          <w:sz w:val="28"/>
        </w:rPr>
        <w:t>3、比上年增减情况</w:t>
      </w:r>
    </w:p>
    <w:p>
      <w:pPr>
        <w:spacing w:line="500" w:lineRule="exact"/>
        <w:ind w:firstLine="560"/>
        <w:rPr>
          <w:rFonts w:eastAsia="方正仿宋_GBK"/>
          <w:color w:val="000000"/>
          <w:sz w:val="28"/>
        </w:rPr>
      </w:pPr>
      <w:r>
        <w:rPr>
          <w:rFonts w:eastAsia="方正仿宋_GBK"/>
          <w:color w:val="000000"/>
          <w:sz w:val="28"/>
        </w:rPr>
        <w:t>2022年预算收支安排</w:t>
      </w:r>
      <w:r>
        <w:rPr>
          <w:rFonts w:hint="eastAsia" w:eastAsia="方正仿宋_GBK"/>
          <w:color w:val="000000"/>
          <w:sz w:val="28"/>
        </w:rPr>
        <w:t>96.46</w:t>
      </w:r>
      <w:r>
        <w:rPr>
          <w:rFonts w:eastAsia="方正仿宋_GBK"/>
          <w:color w:val="000000"/>
          <w:sz w:val="28"/>
        </w:rPr>
        <w:t>万元，较2021年预算</w:t>
      </w:r>
      <w:r>
        <w:rPr>
          <w:rFonts w:hint="eastAsia" w:eastAsia="方正仿宋_GBK"/>
          <w:color w:val="000000"/>
          <w:sz w:val="28"/>
        </w:rPr>
        <w:t>增加2.18</w:t>
      </w:r>
      <w:r>
        <w:rPr>
          <w:rFonts w:eastAsia="方正仿宋_GBK"/>
          <w:color w:val="000000"/>
          <w:sz w:val="28"/>
        </w:rPr>
        <w:t>万元，其中：基本支出</w:t>
      </w:r>
      <w:r>
        <w:rPr>
          <w:rFonts w:hint="eastAsia" w:eastAsia="方正仿宋_GBK"/>
          <w:color w:val="000000"/>
          <w:sz w:val="28"/>
        </w:rPr>
        <w:t>增加2.18</w:t>
      </w:r>
      <w:r>
        <w:rPr>
          <w:rFonts w:eastAsia="方正仿宋_GBK"/>
          <w:color w:val="000000"/>
          <w:sz w:val="28"/>
        </w:rPr>
        <w:t>万元，主要为人员经费支出</w:t>
      </w:r>
      <w:r>
        <w:rPr>
          <w:rFonts w:hint="eastAsia" w:eastAsia="方正仿宋_GBK"/>
          <w:color w:val="000000"/>
          <w:sz w:val="28"/>
        </w:rPr>
        <w:t>增加</w:t>
      </w:r>
      <w:r>
        <w:rPr>
          <w:rFonts w:eastAsia="方正仿宋_GBK"/>
          <w:color w:val="000000"/>
          <w:sz w:val="28"/>
        </w:rPr>
        <w:t>；项目支出</w:t>
      </w:r>
      <w:r>
        <w:rPr>
          <w:rFonts w:hint="eastAsia" w:eastAsia="方正仿宋_GBK"/>
          <w:color w:val="000000"/>
          <w:sz w:val="28"/>
        </w:rPr>
        <w:t>增加0</w:t>
      </w:r>
      <w:r>
        <w:rPr>
          <w:rFonts w:eastAsia="方正仿宋_GBK"/>
          <w:color w:val="000000"/>
          <w:sz w:val="28"/>
        </w:rPr>
        <w:t>万元，</w:t>
      </w:r>
      <w:r>
        <w:rPr>
          <w:rFonts w:hint="eastAsia" w:eastAsia="方正仿宋_GBK"/>
          <w:color w:val="000000"/>
          <w:sz w:val="28"/>
        </w:rPr>
        <w:t>结转安排增加0万元</w:t>
      </w:r>
      <w:r>
        <w:rPr>
          <w:rFonts w:eastAsia="方正仿宋_GBK"/>
          <w:color w:val="000000"/>
          <w:sz w:val="28"/>
        </w:rPr>
        <w:t>。</w:t>
      </w:r>
    </w:p>
    <w:p>
      <w:pPr>
        <w:pStyle w:val="26"/>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pPr>
        <w:pStyle w:val="17"/>
      </w:pPr>
      <w:r>
        <w:rPr>
          <w:rFonts w:hint="eastAsia"/>
        </w:rPr>
        <w:t>区划中心是财政拨款补助事业单位，无机关运行费。</w:t>
      </w:r>
    </w:p>
    <w:p>
      <w:pPr>
        <w:pStyle w:val="27"/>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pStyle w:val="17"/>
      </w:pPr>
      <w:r>
        <w:rPr>
          <w:rFonts w:hint="eastAsia"/>
        </w:rPr>
        <w:t>202</w:t>
      </w:r>
      <w:r>
        <w:rPr>
          <w:rFonts w:hint="eastAsia"/>
          <w:lang w:eastAsia="zh-CN"/>
        </w:rPr>
        <w:t>2</w:t>
      </w:r>
      <w:r>
        <w:rPr>
          <w:rFonts w:hint="eastAsia"/>
        </w:rPr>
        <w:t>年，我部门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rPr>
          <w:lang w:eastAsia="zh-CN"/>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spacing w:line="500" w:lineRule="exact"/>
        <w:ind w:firstLine="560"/>
      </w:pPr>
      <w:r>
        <w:rPr>
          <w:rFonts w:eastAsia="方正仿宋_GBK"/>
          <w:color w:val="000000"/>
          <w:sz w:val="28"/>
        </w:rPr>
        <w:t>以习近平新时代中国特色社会主义思想为指导，深入贯彻党的十九大和十九届二中、三中、四中、五中全会精神，全面落实省委九届九次、十次、十一次全会精神，认真履行部门职责，积极拓宽工作领域，以服务“三农”为中心，加大开展农业资源区划工作力度。继续对农业，农村，农民问题开展深入细致的调查研究。有针对性的开展各类农业资源的调查、检测和评价工作。研究农业资源合理利用与保护中的重大问题，提出开发、利用和保护的建议。在实际工作中,根据国家乡村振兴战略的步骤实施，推进农村一二三产业融合发展，深入推进农业供给侧结构性改革，切实提高农业区划工作能力和水平。紧紧围绕优化资源配置和促进农业区域协调发展为目标，保质保量完成下达的各类任务。　</w:t>
      </w:r>
      <w:r>
        <w:t>　</w:t>
      </w:r>
    </w:p>
    <w:p>
      <w:pPr>
        <w:spacing w:line="500" w:lineRule="exact"/>
        <w:ind w:firstLine="560"/>
        <w:rPr>
          <w:rFonts w:eastAsia="方正仿宋_GBK"/>
          <w:color w:val="000000"/>
          <w:sz w:val="28"/>
          <w:lang w:eastAsia="zh-CN"/>
        </w:rPr>
      </w:pPr>
      <w:r>
        <w:rPr>
          <w:rFonts w:eastAsia="方正仿宋_GBK"/>
          <w:color w:val="000000"/>
          <w:sz w:val="28"/>
        </w:rPr>
        <w:t>（二）分项绩效目标</w:t>
      </w:r>
    </w:p>
    <w:p>
      <w:pPr>
        <w:pStyle w:val="21"/>
        <w:rPr>
          <w:lang w:eastAsia="zh-CN"/>
        </w:rPr>
      </w:pPr>
      <w:r>
        <w:t>区划中心工作活动，开展农业资源区划调查研究。工作活动要点，建立农业资源监测制度；负责农业资源可持续发展和高效利用实验示范工作。工作活动绩效目标，掌握我区农业资源现状及动态变化。工作活动绩效指标，开展农业农村专题研究并形成报告。</w:t>
      </w:r>
    </w:p>
    <w:p>
      <w:pPr>
        <w:spacing w:line="500" w:lineRule="exact"/>
        <w:ind w:firstLine="560"/>
        <w:rPr>
          <w:rFonts w:eastAsia="方正仿宋_GBK"/>
          <w:color w:val="000000"/>
          <w:sz w:val="28"/>
          <w:lang w:eastAsia="zh-CN"/>
        </w:rPr>
      </w:pPr>
      <w:r>
        <w:rPr>
          <w:rFonts w:eastAsia="方正仿宋_GBK"/>
          <w:color w:val="000000"/>
          <w:sz w:val="28"/>
        </w:rPr>
        <w:t>（三）工作保障措施</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2、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autoSpaceDE w:val="0"/>
        <w:autoSpaceDN w:val="0"/>
        <w:adjustRightInd w:val="0"/>
        <w:spacing w:line="500" w:lineRule="exact"/>
        <w:ind w:left="200" w:firstLine="560" w:firstLineChars="200"/>
        <w:rPr>
          <w:rFonts w:eastAsia="方正仿宋_GBK"/>
          <w:sz w:val="28"/>
        </w:rPr>
      </w:pPr>
      <w:r>
        <w:rPr>
          <w:rFonts w:hint="eastAsia" w:eastAsia="方正仿宋_GBK"/>
          <w:sz w:val="28"/>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pStyle w:val="23"/>
      </w:pP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方正楷体_GBK" w:hAnsi="方正楷体_GBK" w:cs="方正楷体_GBK" w:eastAsiaTheme="minorEastAsia"/>
          <w:b/>
          <w:color w:val="000000"/>
          <w:sz w:val="32"/>
          <w:lang w:eastAsia="zh-CN"/>
        </w:rPr>
      </w:pPr>
    </w:p>
    <w:p>
      <w:pPr>
        <w:ind w:firstLine="640"/>
        <w:rPr>
          <w:rFonts w:eastAsia="方正仿宋_GBK"/>
          <w:sz w:val="28"/>
          <w:lang w:eastAsia="zh-CN"/>
        </w:rPr>
      </w:pPr>
      <w:r>
        <w:rPr>
          <w:rFonts w:hint="eastAsia" w:eastAsia="方正仿宋_GBK"/>
          <w:sz w:val="28"/>
        </w:rPr>
        <w:t>区划中心2022年度无专项资金项目</w:t>
      </w:r>
      <w:r>
        <w:rPr>
          <w:rFonts w:hint="eastAsia" w:eastAsia="方正仿宋_GBK"/>
          <w:sz w:val="28"/>
          <w:lang w:eastAsia="zh-CN"/>
        </w:rPr>
        <w:t>。</w:t>
      </w:r>
    </w:p>
    <w:p>
      <w:pPr>
        <w:rPr>
          <w:sz w:val="28"/>
        </w:rPr>
      </w:pPr>
    </w:p>
    <w:p>
      <w:pPr>
        <w:tabs>
          <w:tab w:val="left" w:pos="505"/>
        </w:tabs>
      </w:pPr>
      <w:r>
        <w:rPr>
          <w:sz w:val="28"/>
        </w:rPr>
        <w:tab/>
      </w:r>
      <w:r>
        <w:rPr>
          <w:rFonts w:ascii="方正楷体_GBK" w:hAnsi="方正楷体_GBK" w:eastAsia="方正楷体_GBK" w:cs="方正楷体_GBK"/>
          <w:b/>
          <w:color w:val="000000"/>
          <w:sz w:val="32"/>
        </w:rPr>
        <w:t>第三部分  预算项目绩效目标</w:t>
      </w:r>
    </w:p>
    <w:p/>
    <w:p>
      <w:pPr>
        <w:tabs>
          <w:tab w:val="left" w:pos="480"/>
        </w:tabs>
        <w:rPr>
          <w:lang w:eastAsia="zh-CN"/>
        </w:rPr>
      </w:pPr>
      <w:r>
        <w:tab/>
      </w:r>
      <w:r>
        <w:rPr>
          <w:rFonts w:hint="eastAsia" w:eastAsia="方正仿宋_GBK"/>
          <w:sz w:val="28"/>
        </w:rPr>
        <w:t>区划中心2022年度无</w:t>
      </w:r>
      <w:r>
        <w:rPr>
          <w:rFonts w:hint="eastAsia" w:eastAsia="方正仿宋_GBK"/>
          <w:sz w:val="28"/>
          <w:lang w:eastAsia="zh-CN"/>
        </w:rPr>
        <w:t>预算</w:t>
      </w:r>
      <w:r>
        <w:rPr>
          <w:rFonts w:hint="eastAsia" w:eastAsia="方正仿宋_GBK"/>
          <w:sz w:val="28"/>
        </w:rPr>
        <w:t>项</w:t>
      </w:r>
      <w:r>
        <w:rPr>
          <w:rFonts w:hint="eastAsia" w:eastAsia="方正仿宋_GBK"/>
          <w:sz w:val="28"/>
          <w:lang w:eastAsia="zh-CN"/>
        </w:rPr>
        <w:t>目</w:t>
      </w:r>
      <w:r>
        <w:rPr>
          <w:rFonts w:hint="eastAsia" w:eastAsia="方正仿宋_GBK"/>
          <w:sz w:val="28"/>
        </w:rPr>
        <w:t>资金</w:t>
      </w:r>
      <w:r>
        <w:rPr>
          <w:rFonts w:hint="eastAsia" w:eastAsia="方正仿宋_GBK"/>
          <w:sz w:val="28"/>
          <w:lang w:eastAsia="zh-CN"/>
        </w:rPr>
        <w:t>。</w:t>
      </w:r>
    </w:p>
    <w:p>
      <w:pPr>
        <w:spacing w:before="10" w:after="10"/>
        <w:ind w:firstLine="640"/>
        <w:outlineLvl w:val="5"/>
        <w:rPr>
          <w:lang w:eastAsia="zh-CN"/>
        </w:rPr>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2022年，石家庄市鹿泉区农业区划发展中心本级安排政府采购预算0.00万元。具体内容见下表。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石家庄市鹿泉区农业区划发展中心本级上年末固定资产金额为3.09万元（详见下表）。本年度拟购置固定资产总额为0.00万元，已按要求列入政府采购预算，详见政府采购预算表。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325001石家庄市鹿泉区农业区划发展中心本级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w:t>
            </w:r>
          </w:p>
        </w:tc>
        <w:tc>
          <w:tcPr>
            <w:tcW w:w="2835" w:type="dxa"/>
            <w:vAlign w:val="center"/>
          </w:tcPr>
          <w:p>
            <w:pPr>
              <w:pStyle w:val="11"/>
            </w:pPr>
            <w:r>
              <w:t>3.09</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13DDC"/>
    <w:rsid w:val="000246BF"/>
    <w:rsid w:val="000C6B43"/>
    <w:rsid w:val="00104207"/>
    <w:rsid w:val="00104279"/>
    <w:rsid w:val="00167915"/>
    <w:rsid w:val="00177F9C"/>
    <w:rsid w:val="00191A7D"/>
    <w:rsid w:val="003746FE"/>
    <w:rsid w:val="003910EE"/>
    <w:rsid w:val="00403266"/>
    <w:rsid w:val="00510D47"/>
    <w:rsid w:val="005679DF"/>
    <w:rsid w:val="006B1D19"/>
    <w:rsid w:val="006C08CF"/>
    <w:rsid w:val="00744840"/>
    <w:rsid w:val="007C798C"/>
    <w:rsid w:val="00803957"/>
    <w:rsid w:val="008814BE"/>
    <w:rsid w:val="008B2D8F"/>
    <w:rsid w:val="008D5401"/>
    <w:rsid w:val="00994987"/>
    <w:rsid w:val="009B71C2"/>
    <w:rsid w:val="009E549F"/>
    <w:rsid w:val="00A40762"/>
    <w:rsid w:val="00A463E9"/>
    <w:rsid w:val="00A478C8"/>
    <w:rsid w:val="00AE76F2"/>
    <w:rsid w:val="00B134F7"/>
    <w:rsid w:val="00EF2DF7"/>
    <w:rsid w:val="00EF6A29"/>
    <w:rsid w:val="00F13DDC"/>
    <w:rsid w:val="00F25C67"/>
    <w:rsid w:val="218830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2022-02-28T10:24:53Z</dcterms:created>
  <dcterms:modified xsi:type="dcterms:W3CDTF">2022-02-28T02:24:53Z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2022-02-28T10:24:48Z</dcterms:created>
  <dcterms:modified xsi:type="dcterms:W3CDTF">2022-02-28T02:24:48Z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2022-02-28T10:24:53Z</dcterms:created>
  <dcterms:modified xsi:type="dcterms:W3CDTF">2022-02-28T02:24:53Z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2022-02-28T10:24:48Z</dcterms:created>
  <dcterms:modified xsi:type="dcterms:W3CDTF">2022-02-28T02:24:48Z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2022-02-28T10:24:49Z</dcterms:created>
  <dcterms:modified xsi:type="dcterms:W3CDTF">2022-02-28T02:24:49Z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EF44A9F-5B57-4F8F-BAFD-5F1F911D4854}">
  <ds:schemaRefs/>
</ds:datastoreItem>
</file>

<file path=customXml/itemProps11.xml><?xml version="1.0" encoding="utf-8"?>
<ds:datastoreItem xmlns:ds="http://schemas.openxmlformats.org/officeDocument/2006/customXml" ds:itemID="{FF6EB8F4-5464-4D67-B389-225673E695ED}">
  <ds:schemaRefs/>
</ds:datastoreItem>
</file>

<file path=customXml/itemProps2.xml><?xml version="1.0" encoding="utf-8"?>
<ds:datastoreItem xmlns:ds="http://schemas.openxmlformats.org/officeDocument/2006/customXml" ds:itemID="{1FF82DEA-FA06-4934-BC21-1124B44F9885}">
  <ds:schemaRefs/>
</ds:datastoreItem>
</file>

<file path=customXml/itemProps3.xml><?xml version="1.0" encoding="utf-8"?>
<ds:datastoreItem xmlns:ds="http://schemas.openxmlformats.org/officeDocument/2006/customXml" ds:itemID="{17D033AD-52ED-449C-A191-4491161FEECB}">
  <ds:schemaRefs/>
</ds:datastoreItem>
</file>

<file path=customXml/itemProps4.xml><?xml version="1.0" encoding="utf-8"?>
<ds:datastoreItem xmlns:ds="http://schemas.openxmlformats.org/officeDocument/2006/customXml" ds:itemID="{E9588109-6928-44C7-A2BB-E557094D629B}">
  <ds:schemaRefs/>
</ds:datastoreItem>
</file>

<file path=customXml/itemProps5.xml><?xml version="1.0" encoding="utf-8"?>
<ds:datastoreItem xmlns:ds="http://schemas.openxmlformats.org/officeDocument/2006/customXml" ds:itemID="{7FB04FD5-460B-41FB-80DD-B4948B52C88A}">
  <ds:schemaRefs/>
</ds:datastoreItem>
</file>

<file path=customXml/itemProps6.xml><?xml version="1.0" encoding="utf-8"?>
<ds:datastoreItem xmlns:ds="http://schemas.openxmlformats.org/officeDocument/2006/customXml" ds:itemID="{65A0AF03-669B-4652-9D74-939E98CC5EE0}">
  <ds:schemaRefs/>
</ds:datastoreItem>
</file>

<file path=customXml/itemProps7.xml><?xml version="1.0" encoding="utf-8"?>
<ds:datastoreItem xmlns:ds="http://schemas.openxmlformats.org/officeDocument/2006/customXml" ds:itemID="{42E718E7-EE9F-4D6F-BA5B-93C8403865E7}">
  <ds:schemaRefs/>
</ds:datastoreItem>
</file>

<file path=customXml/itemProps8.xml><?xml version="1.0" encoding="utf-8"?>
<ds:datastoreItem xmlns:ds="http://schemas.openxmlformats.org/officeDocument/2006/customXml" ds:itemID="{1C6FC931-07D5-4006-93EF-BAF44485B27A}">
  <ds:schemaRefs/>
</ds:datastoreItem>
</file>

<file path=customXml/itemProps9.xml><?xml version="1.0" encoding="utf-8"?>
<ds:datastoreItem xmlns:ds="http://schemas.openxmlformats.org/officeDocument/2006/customXml" ds:itemID="{27485C5B-4E1F-4562-AE0D-98F1054C1EED}">
  <ds:schemaRefs/>
</ds:datastoreItem>
</file>

<file path=docProps/app.xml><?xml version="1.0" encoding="utf-8"?>
<Properties xmlns="http://schemas.openxmlformats.org/officeDocument/2006/extended-properties" xmlns:vt="http://schemas.openxmlformats.org/officeDocument/2006/docPropsVTypes">
  <Template>Normal.dotm</Template>
  <Pages>42</Pages>
  <Words>2730</Words>
  <Characters>15562</Characters>
  <Lines>129</Lines>
  <Paragraphs>36</Paragraphs>
  <TotalTime>73</TotalTime>
  <ScaleCrop>false</ScaleCrop>
  <LinksUpToDate>false</LinksUpToDate>
  <CharactersWithSpaces>18256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2022-02-28T01:49:00Z</dcterms:created>
  <dc:creator>Administrator</dc:creator>
  <cp:lastModifiedBy>lenovo</cp:lastModifiedBy>
  <dcterms:modified xsi:type="dcterms:W3CDTF">2024-01-15T02:27:53Z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