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石家庄市鹿泉区发展改革局</w:t>
      </w:r>
    </w:p>
    <w:p>
      <w:pPr>
        <w:ind w:firstLine="880" w:firstLineChars="200"/>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val="en-US" w:eastAsia="zh-CN"/>
        </w:rPr>
        <w:t>中华人民</w:t>
      </w:r>
      <w:bookmarkStart w:id="3" w:name="_GoBack"/>
      <w:bookmarkEnd w:id="3"/>
      <w:r>
        <w:rPr>
          <w:rFonts w:hint="eastAsia" w:ascii="仿宋" w:hAnsi="仿宋" w:eastAsia="仿宋" w:cs="仿宋"/>
          <w:sz w:val="32"/>
          <w:szCs w:val="32"/>
          <w:lang w:val="en-US" w:eastAsia="zh-CN"/>
        </w:rPr>
        <w:t>共和国</w:t>
      </w:r>
      <w:r>
        <w:rPr>
          <w:rFonts w:hint="eastAsia" w:ascii="仿宋" w:hAnsi="仿宋" w:eastAsia="仿宋" w:cs="仿宋"/>
          <w:sz w:val="32"/>
          <w:szCs w:val="32"/>
        </w:rPr>
        <w:t>预算法》、《地方预决算公开操作规程》和《河北省省级预算公开办法》规定，现将石家庄市鹿泉区发展改革局2019年部门预算公开如下：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pPr>
        <w:ind w:firstLine="640" w:firstLineChars="200"/>
        <w:rPr>
          <w:rFonts w:ascii="仿宋_GB2312" w:eastAsia="仿宋_GB2312"/>
          <w:sz w:val="32"/>
          <w:szCs w:val="32"/>
        </w:rPr>
      </w:pPr>
      <w:r>
        <w:rPr>
          <w:rFonts w:hint="eastAsia" w:ascii="仿宋_GB2312" w:eastAsia="仿宋_GB2312"/>
          <w:sz w:val="32"/>
          <w:szCs w:val="32"/>
        </w:rPr>
        <w:t>1.负责全区国民经济和社会发展的中长期规划、年度计划及有关专项规划的编制、下达和管理，并搞好宏观调控、综合平衡，实现国民经济和社会发展的连续性、可靠性和先进性。</w:t>
      </w:r>
    </w:p>
    <w:p>
      <w:pPr>
        <w:ind w:firstLine="640" w:firstLineChars="200"/>
        <w:rPr>
          <w:rFonts w:ascii="仿宋_GB2312" w:eastAsia="仿宋_GB2312"/>
          <w:sz w:val="32"/>
          <w:szCs w:val="32"/>
        </w:rPr>
      </w:pPr>
      <w:r>
        <w:rPr>
          <w:rFonts w:hint="eastAsia" w:ascii="仿宋_GB2312" w:eastAsia="仿宋_GB2312"/>
          <w:sz w:val="32"/>
          <w:szCs w:val="32"/>
        </w:rPr>
        <w:t>2.做好社会总需求和总供给等重要经济问题的平衡和重大比例关系的协调；搞好资源开发、生产力布局和生态环境建设规划；引导和促进全市经济结构合理化和区域经济协调发展；推动实施可持续发展战略。</w:t>
      </w:r>
    </w:p>
    <w:p>
      <w:pPr>
        <w:ind w:firstLine="640" w:firstLineChars="200"/>
        <w:rPr>
          <w:rFonts w:ascii="仿宋_GB2312" w:eastAsia="仿宋_GB2312"/>
          <w:sz w:val="32"/>
          <w:szCs w:val="32"/>
        </w:rPr>
      </w:pPr>
      <w:r>
        <w:rPr>
          <w:rFonts w:hint="eastAsia" w:ascii="仿宋_GB2312" w:eastAsia="仿宋_GB2312"/>
          <w:sz w:val="32"/>
          <w:szCs w:val="32"/>
        </w:rPr>
        <w:t>3.负责汇总区域国民经济和社会发展情况；分析研究区内外经济形势，进行宏观经济预测、预警，提出相应的对策寻访参与研究国家各项产业政策以及其他调控政策的措施，提出对策建议。</w:t>
      </w:r>
    </w:p>
    <w:p>
      <w:pPr>
        <w:ind w:firstLine="640" w:firstLineChars="200"/>
        <w:rPr>
          <w:rFonts w:ascii="仿宋_GB2312" w:eastAsia="仿宋_GB2312"/>
          <w:sz w:val="32"/>
          <w:szCs w:val="32"/>
        </w:rPr>
      </w:pPr>
      <w:r>
        <w:rPr>
          <w:rFonts w:hint="eastAsia" w:ascii="仿宋_GB2312" w:eastAsia="仿宋_GB2312"/>
          <w:sz w:val="32"/>
          <w:szCs w:val="32"/>
        </w:rPr>
        <w:t>4.提出本区全社会固定资产投资总规模，负责基本建设项目的计划编制、管理、申报，并督促检查计划的实施。</w:t>
      </w:r>
    </w:p>
    <w:p>
      <w:pPr>
        <w:ind w:firstLine="640" w:firstLineChars="200"/>
        <w:rPr>
          <w:rFonts w:ascii="仿宋_GB2312" w:eastAsia="仿宋_GB2312"/>
          <w:sz w:val="32"/>
          <w:szCs w:val="32"/>
        </w:rPr>
      </w:pPr>
      <w:r>
        <w:rPr>
          <w:rFonts w:hint="eastAsia" w:ascii="仿宋_GB2312" w:eastAsia="仿宋_GB2312"/>
          <w:sz w:val="32"/>
          <w:szCs w:val="32"/>
        </w:rPr>
        <w:t>5.负责各类政府投资项目的审定、审批、申报，协调服务及指导协调全区招投标工作、竣工验收工作。做好区域内拨款项目的资金争取和管理工作。</w:t>
      </w:r>
    </w:p>
    <w:p>
      <w:pPr>
        <w:ind w:firstLine="640" w:firstLineChars="200"/>
        <w:rPr>
          <w:rFonts w:ascii="仿宋_GB2312" w:eastAsia="仿宋_GB2312"/>
          <w:sz w:val="32"/>
          <w:szCs w:val="32"/>
        </w:rPr>
      </w:pPr>
      <w:r>
        <w:rPr>
          <w:rFonts w:hint="eastAsia" w:ascii="仿宋_GB2312" w:eastAsia="仿宋_GB2312"/>
          <w:sz w:val="32"/>
          <w:szCs w:val="32"/>
        </w:rPr>
        <w:t>6.做好大项目谋划、筛选、贮备、前期调研、项目招商工作；加强重点项目组织协调，推进产业基地和产业聚集区建设。</w:t>
      </w:r>
    </w:p>
    <w:p>
      <w:pPr>
        <w:ind w:firstLine="640" w:firstLineChars="200"/>
        <w:rPr>
          <w:rFonts w:ascii="仿宋_GB2312" w:eastAsia="仿宋_GB2312"/>
          <w:sz w:val="32"/>
          <w:szCs w:val="32"/>
        </w:rPr>
      </w:pPr>
      <w:r>
        <w:rPr>
          <w:rFonts w:hint="eastAsia" w:ascii="仿宋_GB2312" w:eastAsia="仿宋_GB2312"/>
          <w:sz w:val="32"/>
          <w:szCs w:val="32"/>
        </w:rPr>
        <w:t>7.做好在建重点项目的督导检查，及时解决项目建设问题，促进项目建设。</w:t>
      </w:r>
    </w:p>
    <w:p>
      <w:pPr>
        <w:ind w:firstLine="640" w:firstLineChars="200"/>
        <w:rPr>
          <w:rFonts w:ascii="仿宋_GB2312" w:eastAsia="仿宋_GB2312"/>
          <w:sz w:val="32"/>
          <w:szCs w:val="32"/>
        </w:rPr>
      </w:pPr>
      <w:r>
        <w:rPr>
          <w:rFonts w:hint="eastAsia" w:ascii="仿宋_GB2312" w:eastAsia="仿宋_GB2312"/>
          <w:sz w:val="32"/>
          <w:szCs w:val="32"/>
        </w:rPr>
        <w:t>8.承担指导推进和综合协调经济体制改革的责任，研究解决全区经济体制改革重大问题，会同有关部门搞好重要专项经济体制改革之间的衔接。</w:t>
      </w:r>
    </w:p>
    <w:p>
      <w:pPr>
        <w:ind w:firstLine="640" w:firstLineChars="200"/>
        <w:rPr>
          <w:rFonts w:ascii="仿宋_GB2312" w:eastAsia="仿宋_GB2312"/>
          <w:sz w:val="32"/>
          <w:szCs w:val="32"/>
        </w:rPr>
      </w:pPr>
      <w:r>
        <w:rPr>
          <w:rFonts w:hint="eastAsia" w:ascii="仿宋_GB2312" w:eastAsia="仿宋_GB2312"/>
          <w:sz w:val="32"/>
          <w:szCs w:val="32"/>
        </w:rPr>
        <w:t>9.负责组织制订服务业发展规划。负责全区各类市场建设的规划协调服务工作。</w:t>
      </w:r>
    </w:p>
    <w:p>
      <w:pPr>
        <w:ind w:firstLine="640" w:firstLineChars="200"/>
        <w:rPr>
          <w:rFonts w:ascii="仿宋_GB2312" w:eastAsia="仿宋_GB2312"/>
          <w:sz w:val="32"/>
          <w:szCs w:val="32"/>
        </w:rPr>
      </w:pPr>
      <w:r>
        <w:rPr>
          <w:rFonts w:hint="eastAsia" w:ascii="仿宋_GB2312" w:eastAsia="仿宋_GB2312"/>
          <w:sz w:val="32"/>
          <w:szCs w:val="32"/>
        </w:rPr>
        <w:t>10.推进可持续发展战略。负责节能减排的综合协调工作，组织协调实施发展循环经济、全社会能源节约和综合利用规划及政策措施。</w:t>
      </w:r>
    </w:p>
    <w:p>
      <w:pPr>
        <w:ind w:firstLine="640" w:firstLineChars="200"/>
        <w:rPr>
          <w:rFonts w:ascii="仿宋_GB2312" w:eastAsia="仿宋_GB2312"/>
          <w:sz w:val="32"/>
          <w:szCs w:val="32"/>
        </w:rPr>
      </w:pPr>
      <w:r>
        <w:rPr>
          <w:rFonts w:hint="eastAsia" w:ascii="仿宋_GB2312" w:eastAsia="仿宋_GB2312"/>
          <w:sz w:val="32"/>
          <w:szCs w:val="32"/>
        </w:rPr>
        <w:t>11.负责全区的农业区划工作。合理利用农业资源，因地制宜地指导、促进全区大农业的发展。</w:t>
      </w:r>
    </w:p>
    <w:p>
      <w:pPr>
        <w:ind w:firstLine="640" w:firstLineChars="200"/>
        <w:rPr>
          <w:rFonts w:ascii="仿宋_GB2312" w:eastAsia="仿宋_GB2312"/>
          <w:sz w:val="32"/>
          <w:szCs w:val="32"/>
        </w:rPr>
      </w:pPr>
      <w:r>
        <w:rPr>
          <w:rFonts w:hint="eastAsia" w:ascii="仿宋_GB2312" w:eastAsia="仿宋_GB2312"/>
          <w:sz w:val="32"/>
          <w:szCs w:val="32"/>
        </w:rPr>
        <w:t>12.贯彻执行国家的价格方针、政策和法规；组织监督实施国家和省、市制定的价格（收费）改革方案。</w:t>
      </w:r>
    </w:p>
    <w:p>
      <w:pPr>
        <w:ind w:firstLine="640" w:firstLineChars="200"/>
        <w:rPr>
          <w:rFonts w:ascii="仿宋_GB2312" w:eastAsia="仿宋_GB2312"/>
          <w:sz w:val="32"/>
          <w:szCs w:val="32"/>
        </w:rPr>
      </w:pPr>
      <w:r>
        <w:rPr>
          <w:rFonts w:hint="eastAsia" w:ascii="仿宋_GB2312" w:eastAsia="仿宋_GB2312"/>
          <w:sz w:val="32"/>
          <w:szCs w:val="32"/>
        </w:rPr>
        <w:t>13.监测市场物价动态，分析市场物价趋势，提出对市场物价进行调控的意见和建议。</w:t>
      </w:r>
    </w:p>
    <w:p>
      <w:pPr>
        <w:ind w:firstLine="640" w:firstLineChars="200"/>
        <w:rPr>
          <w:rFonts w:ascii="仿宋_GB2312" w:eastAsia="仿宋_GB2312"/>
          <w:sz w:val="32"/>
          <w:szCs w:val="32"/>
        </w:rPr>
      </w:pPr>
      <w:r>
        <w:rPr>
          <w:rFonts w:hint="eastAsia" w:ascii="仿宋_GB2312" w:eastAsia="仿宋_GB2312"/>
          <w:sz w:val="32"/>
          <w:szCs w:val="32"/>
        </w:rPr>
        <w:t>14.对市场调节的商品价格和服务价格，通过监审、提价申报和差率控制等措施进行间接调控。</w:t>
      </w:r>
    </w:p>
    <w:p>
      <w:pPr>
        <w:ind w:firstLine="640" w:firstLineChars="200"/>
        <w:rPr>
          <w:rFonts w:ascii="仿宋_GB2312" w:eastAsia="仿宋_GB2312"/>
          <w:sz w:val="32"/>
          <w:szCs w:val="32"/>
        </w:rPr>
      </w:pPr>
      <w:r>
        <w:rPr>
          <w:rFonts w:hint="eastAsia" w:ascii="仿宋_GB2312" w:eastAsia="仿宋_GB2312"/>
          <w:sz w:val="32"/>
          <w:szCs w:val="32"/>
        </w:rPr>
        <w:t>15.负责市场物价变化情况监测分析，向区委、区政府反馈市场物价方面的重要情况，为政府实施宏观调控提供决策依据；完善价格信息网络，及时向企业发布价格信息，指导企业的生产和经营。</w:t>
      </w:r>
    </w:p>
    <w:p>
      <w:pPr>
        <w:ind w:firstLine="640" w:firstLineChars="200"/>
        <w:rPr>
          <w:rFonts w:ascii="仿宋_GB2312" w:eastAsia="仿宋_GB2312"/>
          <w:sz w:val="32"/>
          <w:szCs w:val="32"/>
        </w:rPr>
      </w:pPr>
      <w:r>
        <w:rPr>
          <w:rFonts w:hint="eastAsia" w:ascii="仿宋_GB2312" w:eastAsia="仿宋_GB2312"/>
          <w:sz w:val="32"/>
          <w:szCs w:val="32"/>
        </w:rPr>
        <w:t>16.管理国家机关收费、公益事业收费、公用事业收费、中介服务收费和重要的经营收费。</w:t>
      </w:r>
    </w:p>
    <w:p>
      <w:pPr>
        <w:ind w:firstLine="640" w:firstLineChars="200"/>
        <w:rPr>
          <w:rFonts w:ascii="仿宋_GB2312" w:eastAsia="仿宋_GB2312"/>
          <w:sz w:val="32"/>
          <w:szCs w:val="32"/>
        </w:rPr>
      </w:pPr>
      <w:r>
        <w:rPr>
          <w:rFonts w:hint="eastAsia" w:ascii="仿宋_GB2312" w:eastAsia="仿宋_GB2312"/>
          <w:sz w:val="32"/>
          <w:szCs w:val="32"/>
        </w:rPr>
        <w:t>17.根据国家和省市有关价格（收费）法律、法规、规章，组织全区价格（收费）的监督检查，查处价格违法行为；管理对价格（收费）违法行为的举报和投诉。</w:t>
      </w:r>
    </w:p>
    <w:p>
      <w:pPr>
        <w:ind w:firstLine="640" w:firstLineChars="200"/>
        <w:rPr>
          <w:rFonts w:ascii="仿宋_GB2312" w:eastAsia="仿宋_GB2312"/>
          <w:sz w:val="32"/>
          <w:szCs w:val="32"/>
        </w:rPr>
      </w:pPr>
      <w:r>
        <w:rPr>
          <w:rFonts w:hint="eastAsia" w:ascii="仿宋_GB2312" w:eastAsia="仿宋_GB2312"/>
          <w:sz w:val="32"/>
          <w:szCs w:val="32"/>
        </w:rPr>
        <w:t>18.负责全区工农业产品成本调查工作，审核、汇总工农业产品成本、收益，提出相应对策、建议，为领导决策提供依据。</w:t>
      </w:r>
    </w:p>
    <w:p>
      <w:pPr>
        <w:ind w:firstLine="640" w:firstLineChars="200"/>
        <w:rPr>
          <w:rFonts w:ascii="仿宋_GB2312" w:eastAsia="仿宋_GB2312"/>
          <w:sz w:val="32"/>
          <w:szCs w:val="32"/>
        </w:rPr>
      </w:pPr>
      <w:r>
        <w:rPr>
          <w:rFonts w:hint="eastAsia" w:ascii="仿宋_GB2312" w:eastAsia="仿宋_GB2312"/>
          <w:sz w:val="32"/>
          <w:szCs w:val="32"/>
        </w:rPr>
        <w:t>19.负责全区刑事、民事、经济、行政以及仲裁案件的各种扣押、追缴、没收及纠纷财务的价格鉴定；涉纪、涉税、财务价格认定；价格行为合法性和价格水平合理性认证；价格争议调解处理工作。</w:t>
      </w:r>
    </w:p>
    <w:p>
      <w:pPr>
        <w:ind w:firstLine="640" w:firstLineChars="200"/>
        <w:rPr>
          <w:rFonts w:ascii="仿宋_GB2312" w:eastAsia="仿宋_GB2312"/>
          <w:sz w:val="32"/>
          <w:szCs w:val="32"/>
        </w:rPr>
        <w:sectPr>
          <w:pgSz w:w="11906" w:h="16838"/>
          <w:pgMar w:top="1440" w:right="1800" w:bottom="1440" w:left="1800" w:header="851" w:footer="992" w:gutter="0"/>
          <w:cols w:space="425" w:num="1"/>
          <w:docGrid w:type="lines" w:linePitch="312" w:charSpace="0"/>
        </w:sectPr>
      </w:pPr>
      <w:r>
        <w:rPr>
          <w:rFonts w:hint="eastAsia" w:ascii="仿宋_GB2312" w:eastAsia="仿宋_GB2312"/>
          <w:sz w:val="32"/>
          <w:szCs w:val="32"/>
        </w:rPr>
        <w:t>20.指导、监督区直有关部门的价格和收费管理工作；指导企业用好市场调节商品价格的定价权，协调商品生产和经营的价格矛盾，仲裁收费标准争议，负责有关业务主管部门和企事业单位物价人员的业务培训。</w:t>
      </w:r>
    </w:p>
    <w:p>
      <w:pPr>
        <w:ind w:firstLine="640" w:firstLineChars="200"/>
        <w:rPr>
          <w:rFonts w:ascii="仿宋_GB2312" w:eastAsia="仿宋_GB2312"/>
          <w:sz w:val="32"/>
          <w:szCs w:val="32"/>
        </w:rPr>
      </w:pPr>
    </w:p>
    <w:p>
      <w:pPr>
        <w:ind w:firstLine="640" w:firstLineChars="200"/>
        <w:rPr>
          <w:rFonts w:ascii="仿宋_GB2312" w:eastAsia="仿宋_GB2312"/>
          <w:sz w:val="32"/>
          <w:szCs w:val="32"/>
        </w:rPr>
      </w:pPr>
    </w:p>
    <w:p>
      <w:pPr>
        <w:autoSpaceDE w:val="0"/>
        <w:autoSpaceDN w:val="0"/>
        <w:adjustRightInd w:val="0"/>
        <w:jc w:val="left"/>
        <w:rPr>
          <w:rFonts w:ascii="方正仿宋_GBK" w:hAnsi="Times New Roman" w:eastAsia="方正仿宋_GBK" w:cs="Times New Roman"/>
          <w:b/>
          <w:sz w:val="32"/>
          <w:szCs w:val="32"/>
        </w:rPr>
      </w:pPr>
    </w:p>
    <w:p>
      <w:pPr>
        <w:autoSpaceDE w:val="0"/>
        <w:autoSpaceDN w:val="0"/>
        <w:adjustRightInd w:val="0"/>
        <w:ind w:left="198" w:firstLine="640"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303</w:t>
            </w:r>
            <w:r>
              <w:rPr>
                <w:rFonts w:hint="eastAsia" w:ascii="方正小标宋_GBK" w:eastAsia="方正小标宋_GBK"/>
                <w:sz w:val="24"/>
              </w:rPr>
              <w:t>石家庄市鹿泉区发展改革局</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车辆实有数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c>
          <w:tcPr>
            <w:tcW w:w="709" w:type="dxa"/>
            <w:vMerge w:val="continue"/>
            <w:shd w:val="clear" w:color="auto" w:fill="auto"/>
            <w:vAlign w:val="center"/>
          </w:tcPr>
          <w:p>
            <w:pPr>
              <w:spacing w:line="300" w:lineRule="exact"/>
              <w:jc w:val="left"/>
              <w:outlineLvl w:val="0"/>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2353"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33</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26</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45</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12</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22</w:t>
            </w:r>
          </w:p>
        </w:tc>
        <w:tc>
          <w:tcPr>
            <w:tcW w:w="709"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石家庄市鹿泉区发展改革局</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33</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14</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45</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22</w:t>
            </w: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石家庄市鹿泉区价格认证中心</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正股级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财政性资金零补助</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bl>
    <w:p>
      <w:pPr>
        <w:rPr>
          <w:rFonts w:ascii="黑体" w:hAnsi="黑体" w:eastAsia="黑体" w:cs="Times New Roman"/>
          <w:sz w:val="32"/>
          <w:szCs w:val="32"/>
        </w:rPr>
      </w:pPr>
    </w:p>
    <w:p>
      <w:pPr>
        <w:ind w:firstLine="640"/>
        <w:rPr>
          <w:rFonts w:ascii="黑体" w:hAnsi="黑体" w:eastAsia="黑体" w:cs="Times New Roman"/>
          <w:sz w:val="32"/>
          <w:szCs w:val="32"/>
        </w:rPr>
      </w:pPr>
    </w:p>
    <w:p>
      <w:pPr>
        <w:ind w:firstLine="640"/>
        <w:rPr>
          <w:rFonts w:ascii="黑体" w:hAnsi="黑体" w:eastAsia="黑体" w:cs="Times New Roman"/>
          <w:sz w:val="32"/>
          <w:szCs w:val="32"/>
        </w:rPr>
      </w:pPr>
    </w:p>
    <w:p>
      <w:pPr>
        <w:ind w:firstLine="640"/>
        <w:rPr>
          <w:rFonts w:ascii="黑体" w:hAnsi="黑体" w:eastAsia="黑体" w:cs="Times New Roman"/>
          <w:sz w:val="32"/>
          <w:szCs w:val="32"/>
        </w:rPr>
      </w:pPr>
    </w:p>
    <w:p>
      <w:pPr>
        <w:rPr>
          <w:rFonts w:ascii="黑体" w:hAnsi="黑体" w:eastAsia="黑体" w:cs="Times New Roman"/>
          <w:sz w:val="32"/>
          <w:szCs w:val="32"/>
        </w:rPr>
        <w:sectPr>
          <w:pgSz w:w="16838" w:h="11906" w:orient="landscape"/>
          <w:pgMar w:top="1800" w:right="1440" w:bottom="1800" w:left="1440" w:header="851" w:footer="992" w:gutter="0"/>
          <w:cols w:space="425" w:num="1"/>
          <w:docGrid w:type="lines" w:linePitch="312" w:charSpace="0"/>
        </w:sectPr>
      </w:pPr>
    </w:p>
    <w:p>
      <w:pPr>
        <w:rPr>
          <w:rFonts w:ascii="黑体" w:hAnsi="黑体" w:eastAsia="黑体" w:cs="Times New Roman"/>
          <w:sz w:val="32"/>
          <w:szCs w:val="32"/>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按照预算管理有关规定，目前我部门预算的编制实行综合预算管理，即全部收入和支出都反映在预算中。</w:t>
      </w:r>
      <w:r>
        <w:rPr>
          <w:rFonts w:hint="eastAsia" w:ascii="仿宋_GB2312" w:hAnsi="仿宋_GB2312" w:eastAsia="仿宋_GB2312" w:cs="仿宋_GB2312"/>
          <w:sz w:val="32"/>
          <w:szCs w:val="32"/>
          <w:lang w:eastAsia="zh-CN"/>
        </w:rPr>
        <w:t>石家庄市鹿泉区发展改革局及所属事业单位的收支包含在部门预算中。</w:t>
      </w:r>
    </w:p>
    <w:p>
      <w:pPr>
        <w:ind w:firstLine="640" w:firstLineChars="200"/>
        <w:rPr>
          <w:rFonts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ascii="仿宋" w:hAnsi="仿宋" w:eastAsia="仿宋" w:cs="仿宋"/>
          <w:sz w:val="32"/>
          <w:szCs w:val="32"/>
        </w:rPr>
      </w:pPr>
      <w:r>
        <w:rPr>
          <w:rFonts w:hint="eastAsia" w:ascii="仿宋" w:hAnsi="仿宋" w:eastAsia="仿宋" w:cs="仿宋"/>
          <w:sz w:val="32"/>
          <w:szCs w:val="32"/>
          <w:lang w:eastAsia="zh-CN"/>
        </w:rPr>
        <w:t>反映石家庄市鹿泉区发展改革局当年全部收入。</w:t>
      </w:r>
      <w:r>
        <w:rPr>
          <w:rFonts w:hint="eastAsia" w:ascii="仿宋" w:hAnsi="仿宋" w:eastAsia="仿宋" w:cs="仿宋"/>
          <w:sz w:val="32"/>
          <w:szCs w:val="32"/>
        </w:rPr>
        <w:t>石家庄市鹿泉区发展改革局2019年预算收入4641.25万元，其中：一般公共预算收入4641.25万元，基金预算收入0万元，财政专户核拨收入0万元。</w:t>
      </w:r>
    </w:p>
    <w:p>
      <w:pPr>
        <w:ind w:firstLine="640" w:firstLineChars="200"/>
        <w:rPr>
          <w:rFonts w:ascii="仿宋" w:hAnsi="仿宋" w:eastAsia="仿宋" w:cs="仿宋"/>
          <w:sz w:val="32"/>
          <w:szCs w:val="32"/>
        </w:rPr>
      </w:pPr>
      <w:r>
        <w:rPr>
          <w:rFonts w:hint="eastAsia" w:ascii="仿宋" w:hAnsi="仿宋" w:eastAsia="仿宋" w:cs="仿宋"/>
          <w:sz w:val="32"/>
          <w:szCs w:val="32"/>
        </w:rPr>
        <w:t>2、支出说明</w:t>
      </w:r>
    </w:p>
    <w:p>
      <w:pPr>
        <w:ind w:firstLine="640" w:firstLineChars="200"/>
        <w:rPr>
          <w:rFonts w:ascii="仿宋" w:hAnsi="仿宋" w:eastAsia="仿宋" w:cs="仿宋"/>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w:t>
      </w:r>
      <w:r>
        <w:rPr>
          <w:rFonts w:hint="eastAsia" w:ascii="仿宋_GB2312" w:hAnsi="仿宋_GB2312" w:eastAsia="仿宋_GB2312" w:cs="仿宋_GB2312"/>
          <w:sz w:val="32"/>
          <w:szCs w:val="32"/>
          <w:lang w:eastAsia="zh-CN"/>
        </w:rPr>
        <w:t>石家庄市鹿泉区发展改革局</w:t>
      </w:r>
      <w:r>
        <w:rPr>
          <w:rFonts w:hint="eastAsia" w:ascii="仿宋_GB2312" w:hAnsi="仿宋_GB2312" w:eastAsia="仿宋_GB2312" w:cs="仿宋_GB2312"/>
          <w:sz w:val="32"/>
          <w:szCs w:val="32"/>
        </w:rPr>
        <w:t>年度部门预算中支出预算的总体情况。</w:t>
      </w:r>
      <w:r>
        <w:rPr>
          <w:rFonts w:hint="eastAsia" w:ascii="仿宋" w:hAnsi="仿宋" w:eastAsia="仿宋" w:cs="仿宋"/>
          <w:sz w:val="32"/>
          <w:szCs w:val="32"/>
        </w:rPr>
        <w:t>石家庄市鹿泉区发展改革局2019年支出预算4641.25万元，其中基本支出1124.59万元，包括人员经费897.29万元和日常公用经费227.3万元；项目支出3516.66万元，包括本级支出3516.66万元，对下补助支出0万元。</w:t>
      </w:r>
    </w:p>
    <w:p>
      <w:pPr>
        <w:ind w:firstLine="640" w:firstLineChars="200"/>
        <w:rPr>
          <w:rFonts w:ascii="仿宋" w:hAnsi="仿宋" w:eastAsia="仿宋" w:cs="仿宋"/>
          <w:sz w:val="32"/>
          <w:szCs w:val="32"/>
        </w:rPr>
      </w:pPr>
      <w:r>
        <w:rPr>
          <w:rFonts w:hint="eastAsia" w:ascii="仿宋" w:hAnsi="仿宋" w:eastAsia="仿宋" w:cs="仿宋"/>
          <w:sz w:val="32"/>
          <w:szCs w:val="32"/>
        </w:rPr>
        <w:t>3、比上年增减情况</w:t>
      </w:r>
    </w:p>
    <w:p>
      <w:pPr>
        <w:ind w:firstLine="640" w:firstLineChars="200"/>
        <w:jc w:val="left"/>
        <w:outlineLvl w:val="0"/>
        <w:rPr>
          <w:rFonts w:ascii="仿宋" w:hAnsi="仿宋" w:eastAsia="仿宋" w:cs="仿宋"/>
          <w:sz w:val="32"/>
          <w:szCs w:val="32"/>
        </w:rPr>
      </w:pPr>
      <w:r>
        <w:rPr>
          <w:rFonts w:hint="eastAsia" w:ascii="仿宋" w:hAnsi="仿宋" w:eastAsia="仿宋" w:cs="仿宋"/>
          <w:sz w:val="32"/>
          <w:szCs w:val="32"/>
        </w:rPr>
        <w:t>2019年预算收支安排4641.25万元，较2018年预算增加3021.52万元，其中：基本支出增加235.86万元，主要为增加人员经费支出；项目支出增加2785.66万元，</w:t>
      </w:r>
      <w:r>
        <w:rPr>
          <w:rFonts w:hint="eastAsia" w:ascii="仿宋_GB2312" w:hAnsi="宋体" w:eastAsia="仿宋_GB2312"/>
          <w:sz w:val="32"/>
          <w:szCs w:val="32"/>
        </w:rPr>
        <w:t>主要为推进区域经济与可持续发展开展的智慧城市项目支出。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ind w:firstLine="640" w:firstLineChars="200"/>
        <w:rPr>
          <w:rFonts w:ascii="仿宋" w:hAnsi="仿宋" w:eastAsia="仿宋" w:cs="仿宋"/>
          <w:sz w:val="32"/>
          <w:szCs w:val="32"/>
        </w:rPr>
      </w:pPr>
      <w:r>
        <w:rPr>
          <w:rFonts w:hint="eastAsia" w:ascii="仿宋" w:hAnsi="仿宋" w:eastAsia="仿宋" w:cs="仿宋"/>
          <w:sz w:val="32"/>
          <w:szCs w:val="32"/>
        </w:rPr>
        <w:t>2019年，我局机关运行经费共计安排227.3万元，其中日常公用经费91.64万元，公车运行维护费10.8万元，委托业务费124.86万元。</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rPr>
          <w:rFonts w:ascii="仿宋" w:hAnsi="仿宋" w:eastAsia="仿宋" w:cs="仿宋"/>
          <w:sz w:val="32"/>
          <w:szCs w:val="32"/>
        </w:rPr>
      </w:pPr>
      <w:r>
        <w:rPr>
          <w:rFonts w:hint="eastAsia" w:ascii="仿宋" w:hAnsi="仿宋" w:eastAsia="仿宋" w:cs="仿宋"/>
          <w:sz w:val="32"/>
          <w:szCs w:val="32"/>
        </w:rPr>
        <w:t>2019年，我局财政拨款“三公”经费预算安排14.8万元，其中：</w:t>
      </w:r>
    </w:p>
    <w:p>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rPr>
        <w:t>因公出国（境）费0万元，与2018年度持平，无增减变化。</w:t>
      </w:r>
    </w:p>
    <w:p>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rPr>
        <w:t>公务用车购置及运维费10.8万元（其中：公务用车购置费为0万元，公务用车运维费10.8万元)，与2018年度相比</w:t>
      </w:r>
      <w:r>
        <w:rPr>
          <w:rFonts w:hint="eastAsia" w:ascii="仿宋" w:hAnsi="仿宋" w:eastAsia="仿宋" w:cs="仿宋"/>
          <w:sz w:val="32"/>
          <w:szCs w:val="32"/>
          <w:lang w:eastAsia="zh-CN"/>
        </w:rPr>
        <w:t>，公务用车购置费持平，公务用车运维费</w:t>
      </w:r>
      <w:r>
        <w:rPr>
          <w:rFonts w:hint="eastAsia" w:ascii="仿宋" w:hAnsi="仿宋" w:eastAsia="仿宋" w:cs="仿宋"/>
          <w:sz w:val="32"/>
          <w:szCs w:val="32"/>
        </w:rPr>
        <w:t>减少2.79万元，</w:t>
      </w:r>
      <w:r>
        <w:rPr>
          <w:rFonts w:hint="eastAsia" w:ascii="仿宋_GB2312" w:hAnsi="宋体" w:eastAsia="仿宋_GB2312" w:cs="宋体"/>
          <w:color w:val="000000"/>
          <w:kern w:val="0"/>
          <w:sz w:val="32"/>
          <w:szCs w:val="32"/>
        </w:rPr>
        <w:t>主要是单位执行区委、区政府相关政策，厉行节约。</w:t>
      </w:r>
    </w:p>
    <w:p>
      <w:pPr>
        <w:numPr>
          <w:ilvl w:val="0"/>
          <w:numId w:val="1"/>
        </w:numPr>
        <w:ind w:firstLine="640" w:firstLineChars="200"/>
        <w:jc w:val="left"/>
        <w:outlineLvl w:val="0"/>
        <w:rPr>
          <w:rFonts w:ascii="仿宋" w:hAnsi="仿宋" w:eastAsia="仿宋" w:cs="仿宋"/>
          <w:sz w:val="32"/>
          <w:szCs w:val="32"/>
        </w:rPr>
      </w:pPr>
      <w:r>
        <w:rPr>
          <w:rFonts w:hint="eastAsia" w:ascii="仿宋" w:hAnsi="仿宋" w:eastAsia="仿宋" w:cs="仿宋"/>
          <w:sz w:val="32"/>
          <w:szCs w:val="32"/>
        </w:rPr>
        <w:t>公务接待费4万元。与2018年</w:t>
      </w:r>
      <w:r>
        <w:rPr>
          <w:rFonts w:hint="eastAsia" w:ascii="仿宋_GB2312" w:hAnsi="宋体" w:eastAsia="仿宋_GB2312"/>
          <w:sz w:val="32"/>
          <w:szCs w:val="32"/>
        </w:rPr>
        <w:t>持平，无增减变化。</w:t>
      </w:r>
    </w:p>
    <w:p>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0" w:firstLineChars="200"/>
        <w:jc w:val="left"/>
        <w:rPr>
          <w:rFonts w:ascii="方正楷体_GBK" w:eastAsia="方正楷体_GBK"/>
          <w:b/>
          <w:sz w:val="32"/>
          <w:szCs w:val="32"/>
        </w:rPr>
      </w:pPr>
      <w:bookmarkStart w:id="0" w:name="_Toc471398463"/>
      <w:r>
        <w:rPr>
          <w:rFonts w:hint="eastAsia" w:ascii="方正楷体_GBK" w:eastAsia="方正楷体_GBK"/>
          <w:b/>
          <w:sz w:val="32"/>
          <w:szCs w:val="32"/>
        </w:rPr>
        <w:t>第一部分 部门整体绩效目标</w:t>
      </w:r>
    </w:p>
    <w:p>
      <w:pPr>
        <w:keepNext w:val="0"/>
        <w:keepLines w:val="0"/>
        <w:pageBreakBefore w:val="0"/>
        <w:widowControl w:val="0"/>
        <w:kinsoku/>
        <w:wordWrap/>
        <w:overflowPunct/>
        <w:topLinePunct w:val="0"/>
        <w:bidi w:val="0"/>
        <w:snapToGrid/>
        <w:spacing w:line="240" w:lineRule="auto"/>
        <w:ind w:firstLine="640" w:firstLineChars="200"/>
        <w:jc w:val="left"/>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lang w:eastAsia="zh-CN"/>
        </w:rPr>
        <w:t>（一）</w:t>
      </w:r>
      <w:r>
        <w:rPr>
          <w:rFonts w:hint="eastAsia" w:ascii="仿宋_GB2312" w:hAnsi="仿宋_GB2312" w:eastAsia="仿宋_GB2312" w:cs="仿宋_GB2312"/>
          <w:b w:val="0"/>
          <w:bCs/>
          <w:sz w:val="32"/>
          <w:szCs w:val="32"/>
        </w:rPr>
        <w:t>总体绩效目标</w:t>
      </w:r>
    </w:p>
    <w:p>
      <w:pPr>
        <w:keepNext w:val="0"/>
        <w:keepLines w:val="0"/>
        <w:pageBreakBefore w:val="0"/>
        <w:widowControl w:val="0"/>
        <w:kinsoku/>
        <w:wordWrap/>
        <w:overflowPunct/>
        <w:topLinePunct w:val="0"/>
        <w:bidi w:val="0"/>
        <w:snapToGrid/>
        <w:spacing w:line="240" w:lineRule="auto"/>
        <w:ind w:firstLine="560"/>
        <w:textAlignment w:val="auto"/>
        <w:rPr>
          <w:rFonts w:hint="eastAsia" w:ascii="仿宋" w:hAnsi="仿宋" w:eastAsia="仿宋" w:cs="仿宋"/>
          <w:sz w:val="32"/>
          <w:szCs w:val="32"/>
        </w:rPr>
      </w:pPr>
      <w:r>
        <w:rPr>
          <w:rFonts w:hint="eastAsia" w:ascii="仿宋" w:hAnsi="仿宋" w:eastAsia="仿宋" w:cs="仿宋"/>
          <w:sz w:val="32"/>
          <w:szCs w:val="32"/>
        </w:rPr>
        <w:t>2019年固定资产投资预期目标初步确定为6%。</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ascii="仿宋" w:hAnsi="仿宋" w:eastAsia="仿宋" w:cs="仿宋"/>
          <w:sz w:val="32"/>
          <w:szCs w:val="32"/>
        </w:rPr>
      </w:pPr>
      <w:r>
        <w:rPr>
          <w:rFonts w:hint="eastAsia" w:ascii="仿宋" w:hAnsi="仿宋" w:eastAsia="仿宋" w:cs="仿宋"/>
          <w:sz w:val="32"/>
          <w:szCs w:val="32"/>
        </w:rPr>
        <w:t>一是抓好重大项目管理，促进经济发展。</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仿宋" w:hAnsi="仿宋" w:eastAsia="仿宋" w:cs="仿宋"/>
          <w:sz w:val="32"/>
          <w:szCs w:val="32"/>
          <w:lang w:eastAsia="zh-CN"/>
        </w:rPr>
      </w:pPr>
      <w:r>
        <w:rPr>
          <w:rFonts w:hint="eastAsia" w:ascii="仿宋" w:hAnsi="仿宋" w:eastAsia="仿宋" w:cs="仿宋"/>
          <w:sz w:val="32"/>
          <w:szCs w:val="32"/>
        </w:rPr>
        <w:t>二是加大招商引资力度，增强发展后劲</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仿宋" w:hAnsi="仿宋" w:eastAsia="仿宋" w:cs="仿宋"/>
          <w:sz w:val="32"/>
          <w:szCs w:val="32"/>
          <w:lang w:eastAsia="zh-CN"/>
        </w:rPr>
      </w:pPr>
      <w:r>
        <w:rPr>
          <w:rFonts w:hint="eastAsia" w:ascii="仿宋" w:hAnsi="仿宋" w:eastAsia="仿宋" w:cs="仿宋"/>
          <w:sz w:val="32"/>
          <w:szCs w:val="32"/>
        </w:rPr>
        <w:t>三是抢抓京津冀发展机遇，促进鹿泉跨越式发展</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仿宋" w:hAnsi="仿宋" w:eastAsia="仿宋" w:cs="仿宋"/>
          <w:sz w:val="32"/>
          <w:szCs w:val="32"/>
          <w:lang w:eastAsia="zh-CN"/>
        </w:rPr>
      </w:pPr>
      <w:r>
        <w:rPr>
          <w:rFonts w:hint="eastAsia" w:ascii="仿宋" w:hAnsi="仿宋" w:eastAsia="仿宋" w:cs="仿宋"/>
          <w:sz w:val="32"/>
          <w:szCs w:val="32"/>
        </w:rPr>
        <w:t>四是强化能源管理职能，推动节能降耗</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仿宋" w:hAnsi="仿宋" w:eastAsia="仿宋" w:cs="仿宋"/>
          <w:sz w:val="32"/>
          <w:szCs w:val="32"/>
          <w:lang w:eastAsia="zh-CN"/>
        </w:rPr>
      </w:pPr>
      <w:r>
        <w:rPr>
          <w:rFonts w:hint="eastAsia" w:ascii="仿宋" w:hAnsi="仿宋" w:eastAsia="仿宋" w:cs="仿宋"/>
          <w:sz w:val="32"/>
          <w:szCs w:val="32"/>
        </w:rPr>
        <w:t>五是加强价格监督检查，确保物价稳定</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bidi w:val="0"/>
        <w:snapToGrid/>
        <w:spacing w:line="240" w:lineRule="auto"/>
        <w:ind w:firstLine="560"/>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lang w:eastAsia="zh-CN"/>
        </w:rPr>
        <w:t>（二）</w:t>
      </w:r>
      <w:r>
        <w:rPr>
          <w:rFonts w:hint="eastAsia" w:ascii="仿宋_GB2312" w:hAnsi="仿宋_GB2312" w:eastAsia="仿宋_GB2312" w:cs="仿宋_GB2312"/>
          <w:b w:val="0"/>
          <w:bCs/>
          <w:sz w:val="32"/>
          <w:szCs w:val="32"/>
        </w:rPr>
        <w:t>分</w:t>
      </w:r>
      <w:r>
        <w:rPr>
          <w:rFonts w:hint="eastAsia" w:ascii="仿宋_GB2312" w:hAnsi="仿宋_GB2312" w:eastAsia="仿宋_GB2312" w:cs="仿宋_GB2312"/>
          <w:b w:val="0"/>
          <w:bCs/>
          <w:sz w:val="32"/>
          <w:szCs w:val="32"/>
          <w:lang w:eastAsia="zh-CN"/>
        </w:rPr>
        <w:t>项</w:t>
      </w:r>
      <w:r>
        <w:rPr>
          <w:rFonts w:hint="eastAsia" w:ascii="仿宋_GB2312" w:hAnsi="仿宋_GB2312" w:eastAsia="仿宋_GB2312" w:cs="仿宋_GB2312"/>
          <w:b w:val="0"/>
          <w:bCs/>
          <w:sz w:val="32"/>
          <w:szCs w:val="32"/>
        </w:rPr>
        <w:t>绩效目标</w:t>
      </w:r>
    </w:p>
    <w:p>
      <w:pPr>
        <w:keepNext w:val="0"/>
        <w:keepLines w:val="0"/>
        <w:pageBreakBefore w:val="0"/>
        <w:widowControl w:val="0"/>
        <w:kinsoku/>
        <w:wordWrap/>
        <w:overflowPunct/>
        <w:topLinePunct w:val="0"/>
        <w:bidi w:val="0"/>
        <w:snapToGrid/>
        <w:spacing w:line="240" w:lineRule="auto"/>
        <w:ind w:firstLine="560"/>
        <w:textAlignment w:val="auto"/>
        <w:rPr>
          <w:rFonts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抓好重大项目管理，促进经济发展。</w:t>
      </w:r>
    </w:p>
    <w:p>
      <w:pPr>
        <w:keepNext w:val="0"/>
        <w:keepLines w:val="0"/>
        <w:pageBreakBefore w:val="0"/>
        <w:widowControl w:val="0"/>
        <w:kinsoku/>
        <w:wordWrap/>
        <w:overflowPunct/>
        <w:topLinePunct w:val="0"/>
        <w:bidi w:val="0"/>
        <w:snapToGrid/>
        <w:spacing w:line="240" w:lineRule="auto"/>
        <w:ind w:firstLine="560"/>
        <w:textAlignment w:val="auto"/>
        <w:rPr>
          <w:rFonts w:ascii="仿宋" w:hAnsi="仿宋" w:eastAsia="仿宋" w:cs="仿宋"/>
          <w:sz w:val="32"/>
          <w:szCs w:val="32"/>
        </w:rPr>
      </w:pPr>
      <w:r>
        <w:rPr>
          <w:rFonts w:hint="eastAsia" w:ascii="仿宋" w:hAnsi="仿宋" w:eastAsia="仿宋" w:cs="仿宋"/>
          <w:sz w:val="32"/>
          <w:szCs w:val="32"/>
        </w:rPr>
        <w:t>坚持领导分包责任制和项目周调度制度，重点项目实行领导分包责任制，确保每个重点项目都有一名区级领导分包、一套班子推进，确保压茬推进、早日达效。坚持项目周调度制度，及时讨论、分析和研究处理项目工作中出现的困难和问题，切实提高项目推进效率和成效。适时开展“点对点”、“面对面”督查，重点督查未开工项目、重大储备项目和推进问题的破解程度。</w:t>
      </w:r>
    </w:p>
    <w:p>
      <w:pPr>
        <w:keepNext w:val="0"/>
        <w:keepLines w:val="0"/>
        <w:pageBreakBefore w:val="0"/>
        <w:widowControl w:val="0"/>
        <w:kinsoku/>
        <w:wordWrap/>
        <w:overflowPunct/>
        <w:topLinePunct w:val="0"/>
        <w:bidi w:val="0"/>
        <w:snapToGrid/>
        <w:spacing w:line="240" w:lineRule="auto"/>
        <w:ind w:firstLine="560"/>
        <w:textAlignment w:val="auto"/>
        <w:rPr>
          <w:rFonts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加大招商引资力度，增强发展后劲</w:t>
      </w:r>
    </w:p>
    <w:p>
      <w:pPr>
        <w:keepNext w:val="0"/>
        <w:keepLines w:val="0"/>
        <w:pageBreakBefore w:val="0"/>
        <w:widowControl w:val="0"/>
        <w:kinsoku/>
        <w:wordWrap/>
        <w:overflowPunct/>
        <w:topLinePunct w:val="0"/>
        <w:bidi w:val="0"/>
        <w:snapToGrid/>
        <w:spacing w:line="240" w:lineRule="auto"/>
        <w:ind w:firstLine="560"/>
        <w:textAlignment w:val="auto"/>
        <w:rPr>
          <w:rFonts w:ascii="仿宋" w:hAnsi="仿宋" w:eastAsia="仿宋" w:cs="仿宋"/>
          <w:sz w:val="32"/>
          <w:szCs w:val="32"/>
        </w:rPr>
      </w:pPr>
      <w:r>
        <w:rPr>
          <w:rFonts w:hint="eastAsia" w:ascii="仿宋" w:hAnsi="仿宋" w:eastAsia="仿宋" w:cs="仿宋"/>
          <w:sz w:val="32"/>
          <w:szCs w:val="32"/>
        </w:rPr>
        <w:t>围绕主导产业招商，有针对性地在京津举行招商会等活动，精准对接世界500强、大型央企，引进一批增长性好、带动力强的高新项目。发挥龙头企业的带动作用，以商招商、产业链招商，招引上下游产业，努力做大产业集群。围绕重点走出去招商，充分发挥深圳投控公司、美国硅谷商会、瑞典瑞华商会等商会平台牵线搭桥的作用，积极走出去，广泛宣传推介鹿泉，提高鹿泉在重点区域的知名度。</w:t>
      </w:r>
    </w:p>
    <w:p>
      <w:pPr>
        <w:keepNext w:val="0"/>
        <w:keepLines w:val="0"/>
        <w:pageBreakBefore w:val="0"/>
        <w:widowControl w:val="0"/>
        <w:kinsoku/>
        <w:wordWrap/>
        <w:overflowPunct/>
        <w:topLinePunct w:val="0"/>
        <w:bidi w:val="0"/>
        <w:snapToGrid/>
        <w:spacing w:line="240" w:lineRule="auto"/>
        <w:ind w:firstLine="560"/>
        <w:textAlignment w:val="auto"/>
        <w:rPr>
          <w:rFonts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强化能源管理职能，推动节能降耗</w:t>
      </w:r>
    </w:p>
    <w:p>
      <w:pPr>
        <w:keepNext w:val="0"/>
        <w:keepLines w:val="0"/>
        <w:pageBreakBefore w:val="0"/>
        <w:widowControl w:val="0"/>
        <w:kinsoku/>
        <w:wordWrap/>
        <w:overflowPunct/>
        <w:topLinePunct w:val="0"/>
        <w:bidi w:val="0"/>
        <w:snapToGrid/>
        <w:spacing w:line="240" w:lineRule="auto"/>
        <w:ind w:firstLine="560"/>
        <w:textAlignment w:val="auto"/>
        <w:rPr>
          <w:rFonts w:ascii="仿宋" w:hAnsi="仿宋" w:eastAsia="仿宋" w:cs="仿宋"/>
          <w:sz w:val="32"/>
          <w:szCs w:val="32"/>
        </w:rPr>
      </w:pPr>
      <w:r>
        <w:rPr>
          <w:rFonts w:hint="eastAsia" w:ascii="仿宋" w:hAnsi="仿宋" w:eastAsia="仿宋" w:cs="仿宋"/>
          <w:sz w:val="32"/>
          <w:szCs w:val="32"/>
        </w:rPr>
        <w:t>继续加强对重点企业能源管理的监管，确保完成2019年节能目标。全力做好采暖季天然气气源供应保障工作，保障2018年采暖季气源供应。大力推进新能源开发利用，推进新能源汽车充电基础设施建设，逐步提高清洁能源和新能源使用比重。</w:t>
      </w:r>
    </w:p>
    <w:p>
      <w:pPr>
        <w:keepNext w:val="0"/>
        <w:keepLines w:val="0"/>
        <w:pageBreakBefore w:val="0"/>
        <w:widowControl w:val="0"/>
        <w:kinsoku/>
        <w:wordWrap/>
        <w:overflowPunct/>
        <w:topLinePunct w:val="0"/>
        <w:bidi w:val="0"/>
        <w:snapToGrid/>
        <w:spacing w:line="240" w:lineRule="auto"/>
        <w:ind w:firstLine="560"/>
        <w:textAlignment w:val="auto"/>
        <w:rPr>
          <w:rFonts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加强价格监督检查，确保物价稳定</w:t>
      </w:r>
    </w:p>
    <w:p>
      <w:pPr>
        <w:keepNext w:val="0"/>
        <w:keepLines w:val="0"/>
        <w:pageBreakBefore w:val="0"/>
        <w:widowControl w:val="0"/>
        <w:kinsoku/>
        <w:wordWrap/>
        <w:overflowPunct/>
        <w:topLinePunct w:val="0"/>
        <w:bidi w:val="0"/>
        <w:snapToGrid/>
        <w:spacing w:line="240" w:lineRule="auto"/>
        <w:ind w:firstLine="560"/>
        <w:textAlignment w:val="auto"/>
        <w:rPr>
          <w:rFonts w:ascii="仿宋" w:hAnsi="仿宋" w:eastAsia="仿宋" w:cs="仿宋"/>
          <w:sz w:val="32"/>
          <w:szCs w:val="32"/>
        </w:rPr>
      </w:pPr>
      <w:r>
        <w:rPr>
          <w:rFonts w:hint="eastAsia" w:ascii="仿宋" w:hAnsi="仿宋" w:eastAsia="仿宋" w:cs="仿宋"/>
          <w:sz w:val="32"/>
          <w:szCs w:val="32"/>
        </w:rPr>
        <w:t>规范价费管理，及时落实上级有关收费政策和定调价工作，抓好价格监测及成本调查工作，创造良好的价费环境。强化价格监督检查，开展涉企收费、医药卫生和重要时段市场物价等专项检查，充分发挥价格举报平台作用，做好价格投诉、举报、咨询以及价格宣传等工作，持续做好价格认证工作，规范市场价格秩序。</w:t>
      </w:r>
    </w:p>
    <w:p>
      <w:pPr>
        <w:keepNext w:val="0"/>
        <w:keepLines w:val="0"/>
        <w:pageBreakBefore w:val="0"/>
        <w:widowControl w:val="0"/>
        <w:kinsoku/>
        <w:wordWrap/>
        <w:overflowPunct/>
        <w:topLinePunct w:val="0"/>
        <w:autoSpaceDE w:val="0"/>
        <w:autoSpaceDN w:val="0"/>
        <w:bidi w:val="0"/>
        <w:adjustRightInd w:val="0"/>
        <w:snapToGrid/>
        <w:spacing w:line="240" w:lineRule="auto"/>
        <w:ind w:left="198" w:firstLine="640" w:firstLineChars="200"/>
        <w:jc w:val="left"/>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（三）工作保障措施</w:t>
      </w:r>
      <w:r>
        <w:rPr>
          <w:rFonts w:hint="eastAsia" w:ascii="仿宋_GB2312" w:hAnsi="仿宋_GB2312" w:eastAsia="仿宋_GB2312" w:cs="仿宋_GB2312"/>
          <w:b w:val="0"/>
          <w:bCs/>
          <w:sz w:val="32"/>
          <w:szCs w:val="32"/>
        </w:rPr>
        <w:fldChar w:fldCharType="begin"/>
      </w:r>
      <w:r>
        <w:rPr>
          <w:rFonts w:hint="eastAsia" w:ascii="仿宋_GB2312" w:hAnsi="仿宋_GB2312" w:eastAsia="仿宋_GB2312" w:cs="仿宋_GB2312"/>
          <w:b w:val="0"/>
          <w:bCs/>
          <w:sz w:val="32"/>
          <w:szCs w:val="32"/>
        </w:rPr>
        <w:instrText xml:space="preserve"> TC </w:instrText>
      </w:r>
      <w:bookmarkStart w:id="1" w:name="_Toc29484630"/>
      <w:r>
        <w:rPr>
          <w:rFonts w:hint="eastAsia" w:ascii="仿宋_GB2312" w:hAnsi="仿宋_GB2312" w:eastAsia="仿宋_GB2312" w:cs="仿宋_GB2312"/>
          <w:b w:val="0"/>
          <w:bCs/>
          <w:sz w:val="32"/>
          <w:szCs w:val="32"/>
        </w:rPr>
        <w:instrText xml:space="preserve">工作保障措施</w:instrText>
      </w:r>
      <w:bookmarkEnd w:id="1"/>
      <w:r>
        <w:rPr>
          <w:rFonts w:hint="eastAsia" w:ascii="仿宋_GB2312" w:hAnsi="仿宋_GB2312" w:eastAsia="仿宋_GB2312" w:cs="仿宋_GB2312"/>
          <w:b w:val="0"/>
          <w:bCs/>
          <w:sz w:val="32"/>
          <w:szCs w:val="32"/>
        </w:rPr>
        <w:instrText xml:space="preserve"> \f A \l 1 </w:instrText>
      </w:r>
      <w:r>
        <w:rPr>
          <w:rFonts w:hint="eastAsia" w:ascii="仿宋_GB2312" w:hAnsi="仿宋_GB2312" w:eastAsia="仿宋_GB2312" w:cs="仿宋_GB2312"/>
          <w:b w:val="0"/>
          <w:bCs/>
          <w:sz w:val="32"/>
          <w:szCs w:val="32"/>
        </w:rPr>
        <w:fldChar w:fldCharType="end"/>
      </w:r>
    </w:p>
    <w:p>
      <w:pPr>
        <w:keepNext w:val="0"/>
        <w:keepLines w:val="0"/>
        <w:pageBreakBefore w:val="0"/>
        <w:widowControl w:val="0"/>
        <w:kinsoku/>
        <w:wordWrap/>
        <w:overflowPunct/>
        <w:topLinePunct w:val="0"/>
        <w:autoSpaceDE w:val="0"/>
        <w:autoSpaceDN w:val="0"/>
        <w:bidi w:val="0"/>
        <w:adjustRightInd w:val="0"/>
        <w:snapToGrid/>
        <w:spacing w:line="240" w:lineRule="auto"/>
        <w:ind w:left="198" w:firstLine="640" w:firstLineChars="200"/>
        <w:jc w:val="left"/>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完善制度建设</w:t>
      </w:r>
    </w:p>
    <w:p>
      <w:pPr>
        <w:keepNext w:val="0"/>
        <w:keepLines w:val="0"/>
        <w:pageBreakBefore w:val="0"/>
        <w:widowControl w:val="0"/>
        <w:kinsoku/>
        <w:wordWrap/>
        <w:overflowPunct/>
        <w:topLinePunct w:val="0"/>
        <w:autoSpaceDE w:val="0"/>
        <w:autoSpaceDN w:val="0"/>
        <w:bidi w:val="0"/>
        <w:adjustRightInd w:val="0"/>
        <w:snapToGrid/>
        <w:spacing w:line="240" w:lineRule="auto"/>
        <w:ind w:left="198" w:firstLine="640" w:firstLineChars="200"/>
        <w:jc w:val="left"/>
        <w:textAlignment w:val="auto"/>
        <w:rPr>
          <w:rFonts w:ascii="Times New Roman" w:hAnsi="Times New Roman" w:eastAsia="仿宋" w:cs="Times New Roman"/>
          <w:sz w:val="32"/>
          <w:szCs w:val="32"/>
        </w:rPr>
      </w:pPr>
      <w:r>
        <w:rPr>
          <w:rFonts w:ascii="Times New Roman" w:hAnsi="Times New Roman" w:eastAsia="仿宋" w:cs="Times New Roman"/>
          <w:sz w:val="32"/>
          <w:szCs w:val="32"/>
        </w:rPr>
        <w:t>制定完善预算绩效管理制度、资金管理办法，工作保障制度等，为全年预算绩效目标的实现奠定制度基础。</w:t>
      </w:r>
    </w:p>
    <w:p>
      <w:pPr>
        <w:keepNext w:val="0"/>
        <w:keepLines w:val="0"/>
        <w:pageBreakBefore w:val="0"/>
        <w:widowControl w:val="0"/>
        <w:kinsoku/>
        <w:wordWrap/>
        <w:overflowPunct/>
        <w:topLinePunct w:val="0"/>
        <w:autoSpaceDE w:val="0"/>
        <w:autoSpaceDN w:val="0"/>
        <w:bidi w:val="0"/>
        <w:adjustRightInd w:val="0"/>
        <w:snapToGrid/>
        <w:spacing w:line="240" w:lineRule="auto"/>
        <w:ind w:left="198" w:firstLine="640" w:firstLineChars="200"/>
        <w:jc w:val="left"/>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加强支出管理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通过优化支出结构、编细编实预算、加快履行政府采购手续、尽快启动项目、及时支付资金、6月底前细化代编预算、按规定及时下达资金等多种措施，确保支出进度达标。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规范财务资产管理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完善财务管理制度，严格审批程序，加强固定资产登记、使用和报废处置管理，做到支出合理，物尽其用。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w:t>
      </w:r>
      <w:r>
        <w:rPr>
          <w:rFonts w:ascii="Times New Roman" w:hAnsi="Times New Roman" w:eastAsia="仿宋" w:cs="Times New Roman"/>
          <w:sz w:val="32"/>
          <w:szCs w:val="32"/>
        </w:rPr>
        <w:t>加强内部监督</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pPr>
        <w:keepNext w:val="0"/>
        <w:keepLines w:val="0"/>
        <w:pageBreakBefore w:val="0"/>
        <w:widowControl w:val="0"/>
        <w:kinsoku/>
        <w:wordWrap/>
        <w:overflowPunct/>
        <w:topLinePunct w:val="0"/>
        <w:autoSpaceDE w:val="0"/>
        <w:autoSpaceDN w:val="0"/>
        <w:bidi w:val="0"/>
        <w:adjustRightInd w:val="0"/>
        <w:snapToGrid/>
        <w:spacing w:line="240" w:lineRule="auto"/>
        <w:ind w:left="198" w:firstLine="640" w:firstLineChars="200"/>
        <w:jc w:val="left"/>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w:t>
      </w:r>
      <w:r>
        <w:rPr>
          <w:rFonts w:ascii="Times New Roman" w:hAnsi="Times New Roman" w:eastAsia="仿宋" w:cs="Times New Roman"/>
          <w:sz w:val="32"/>
          <w:szCs w:val="32"/>
        </w:rPr>
        <w:t>加强宣传培训调研</w:t>
      </w:r>
    </w:p>
    <w:p>
      <w:pPr>
        <w:keepNext w:val="0"/>
        <w:keepLines w:val="0"/>
        <w:pageBreakBefore w:val="0"/>
        <w:widowControl w:val="0"/>
        <w:kinsoku/>
        <w:wordWrap/>
        <w:overflowPunct/>
        <w:topLinePunct w:val="0"/>
        <w:bidi w:val="0"/>
        <w:snapToGrid/>
        <w:spacing w:line="240" w:lineRule="auto"/>
        <w:ind w:firstLine="560"/>
        <w:textAlignment w:val="auto"/>
        <w:rPr>
          <w:rFonts w:ascii="仿宋" w:hAnsi="仿宋" w:eastAsia="仿宋" w:cs="仿宋"/>
          <w:sz w:val="32"/>
          <w:szCs w:val="32"/>
        </w:rPr>
      </w:pPr>
      <w:r>
        <w:rPr>
          <w:rFonts w:ascii="Times New Roman" w:hAnsi="Times New Roman" w:eastAsia="仿宋" w:cs="Times New Roman"/>
          <w:sz w:val="32"/>
          <w:szCs w:val="32"/>
        </w:rPr>
        <w:t>加强人员培训，提高本部门职工业务素质；加强调研，提出优化财政资金配置、提高资金使用效益的意见和建议；加宣传力度，强化预算绩效管理意识，促进预算绩效管理水平进一步提升。</w:t>
      </w:r>
    </w:p>
    <w:p>
      <w:pPr>
        <w:spacing w:line="500" w:lineRule="exact"/>
        <w:ind w:firstLine="560"/>
        <w:rPr>
          <w:rFonts w:ascii="仿宋" w:hAnsi="仿宋" w:eastAsia="仿宋" w:cs="仿宋"/>
          <w:sz w:val="32"/>
          <w:szCs w:val="32"/>
        </w:rPr>
      </w:pPr>
    </w:p>
    <w:p>
      <w:pPr>
        <w:spacing w:line="500" w:lineRule="exact"/>
        <w:ind w:firstLine="560"/>
        <w:rPr>
          <w:rFonts w:ascii="仿宋" w:hAnsi="仿宋" w:eastAsia="仿宋" w:cs="仿宋"/>
          <w:sz w:val="32"/>
          <w:szCs w:val="32"/>
        </w:rPr>
      </w:pPr>
    </w:p>
    <w:p>
      <w:pPr>
        <w:spacing w:line="500" w:lineRule="exact"/>
        <w:ind w:firstLine="560"/>
        <w:rPr>
          <w:rFonts w:ascii="仿宋" w:hAnsi="仿宋" w:eastAsia="仿宋" w:cs="仿宋"/>
          <w:sz w:val="32"/>
          <w:szCs w:val="32"/>
        </w:rPr>
      </w:pPr>
    </w:p>
    <w:p>
      <w:pPr>
        <w:spacing w:line="500" w:lineRule="exact"/>
        <w:ind w:firstLine="560"/>
        <w:rPr>
          <w:rFonts w:ascii="仿宋" w:hAnsi="仿宋" w:eastAsia="仿宋" w:cs="仿宋"/>
          <w:sz w:val="32"/>
          <w:szCs w:val="32"/>
        </w:rPr>
      </w:pPr>
    </w:p>
    <w:p>
      <w:pPr>
        <w:spacing w:line="500" w:lineRule="exact"/>
        <w:ind w:firstLine="560"/>
        <w:rPr>
          <w:rFonts w:ascii="仿宋" w:hAnsi="仿宋" w:eastAsia="仿宋" w:cs="仿宋"/>
          <w:sz w:val="32"/>
          <w:szCs w:val="32"/>
        </w:rPr>
      </w:pPr>
    </w:p>
    <w:p>
      <w:pPr>
        <w:spacing w:line="500" w:lineRule="exact"/>
        <w:ind w:firstLine="560"/>
        <w:rPr>
          <w:rFonts w:ascii="仿宋" w:hAnsi="仿宋" w:eastAsia="仿宋" w:cs="仿宋"/>
          <w:sz w:val="32"/>
          <w:szCs w:val="32"/>
        </w:rPr>
      </w:pPr>
    </w:p>
    <w:p>
      <w:pPr>
        <w:spacing w:line="500" w:lineRule="exact"/>
        <w:ind w:firstLine="560"/>
        <w:rPr>
          <w:rFonts w:ascii="仿宋" w:hAnsi="仿宋" w:eastAsia="仿宋" w:cs="仿宋"/>
          <w:sz w:val="32"/>
          <w:szCs w:val="32"/>
        </w:rPr>
      </w:pPr>
    </w:p>
    <w:p>
      <w:pPr>
        <w:spacing w:line="500" w:lineRule="exact"/>
        <w:ind w:firstLine="560"/>
        <w:rPr>
          <w:rFonts w:ascii="仿宋" w:hAnsi="仿宋" w:eastAsia="仿宋" w:cs="仿宋"/>
          <w:sz w:val="32"/>
          <w:szCs w:val="32"/>
        </w:rPr>
      </w:pPr>
    </w:p>
    <w:p>
      <w:pPr>
        <w:spacing w:line="500" w:lineRule="exact"/>
        <w:ind w:firstLine="560"/>
        <w:rPr>
          <w:rFonts w:ascii="仿宋" w:hAnsi="仿宋" w:eastAsia="仿宋" w:cs="仿宋"/>
          <w:sz w:val="32"/>
          <w:szCs w:val="32"/>
        </w:rPr>
      </w:pPr>
    </w:p>
    <w:p>
      <w:pPr>
        <w:spacing w:line="500" w:lineRule="exact"/>
        <w:ind w:firstLine="560"/>
        <w:rPr>
          <w:rFonts w:ascii="仿宋" w:hAnsi="仿宋" w:eastAsia="仿宋" w:cs="仿宋"/>
          <w:sz w:val="32"/>
          <w:szCs w:val="32"/>
        </w:rPr>
      </w:pPr>
    </w:p>
    <w:p>
      <w:pPr>
        <w:spacing w:line="500" w:lineRule="exact"/>
        <w:ind w:firstLine="560"/>
        <w:rPr>
          <w:rFonts w:ascii="仿宋" w:hAnsi="仿宋" w:eastAsia="仿宋" w:cs="仿宋"/>
          <w:sz w:val="32"/>
          <w:szCs w:val="32"/>
        </w:rPr>
        <w:sectPr>
          <w:pgSz w:w="11906" w:h="16838"/>
          <w:pgMar w:top="1440" w:right="1800" w:bottom="1440" w:left="1800" w:header="851" w:footer="992" w:gutter="0"/>
          <w:cols w:space="425" w:num="1"/>
          <w:docGrid w:type="lines" w:linePitch="312" w:charSpace="0"/>
        </w:sectPr>
      </w:pPr>
    </w:p>
    <w:p>
      <w:pPr>
        <w:spacing w:line="500" w:lineRule="exact"/>
        <w:rPr>
          <w:rFonts w:ascii="仿宋" w:hAnsi="仿宋" w:eastAsia="仿宋" w:cs="仿宋"/>
          <w:sz w:val="32"/>
          <w:szCs w:val="32"/>
        </w:rPr>
      </w:pPr>
    </w:p>
    <w:p>
      <w:pPr>
        <w:ind w:firstLine="560"/>
        <w:rPr>
          <w:rFonts w:hint="eastAsia" w:ascii="仿宋" w:hAnsi="仿宋" w:eastAsia="仿宋" w:cs="仿宋"/>
          <w:b/>
          <w:sz w:val="32"/>
          <w:szCs w:val="24"/>
        </w:rPr>
      </w:pPr>
      <w:r>
        <w:rPr>
          <w:rFonts w:hint="eastAsia" w:ascii="黑体" w:hAnsi="黑体" w:eastAsia="黑体" w:cs="黑体"/>
          <w:b/>
          <w:sz w:val="32"/>
          <w:szCs w:val="32"/>
          <w:lang w:eastAsia="zh-CN"/>
        </w:rPr>
        <w:t>第二部分</w:t>
      </w:r>
      <w:r>
        <w:rPr>
          <w:rFonts w:hint="eastAsia" w:ascii="仿宋" w:hAnsi="仿宋" w:eastAsia="仿宋" w:cs="仿宋"/>
          <w:b/>
          <w:sz w:val="32"/>
          <w:szCs w:val="32"/>
          <w:lang w:eastAsia="zh-CN"/>
        </w:rPr>
        <w:t>：</w:t>
      </w:r>
      <w:r>
        <w:rPr>
          <w:rFonts w:hint="eastAsia" w:ascii="仿宋" w:hAnsi="仿宋" w:eastAsia="仿宋" w:cs="仿宋"/>
          <w:b/>
          <w:sz w:val="32"/>
          <w:szCs w:val="32"/>
        </w:rPr>
        <w:t>部门职责</w:t>
      </w:r>
      <w:r>
        <w:rPr>
          <w:rFonts w:hint="eastAsia" w:ascii="仿宋" w:hAnsi="仿宋" w:eastAsia="仿宋" w:cs="仿宋"/>
          <w:b/>
          <w:sz w:val="32"/>
          <w:szCs w:val="32"/>
          <w:lang w:val="en-US" w:eastAsia="zh-CN"/>
        </w:rPr>
        <w:t>-</w:t>
      </w:r>
      <w:r>
        <w:rPr>
          <w:rFonts w:hint="eastAsia" w:ascii="仿宋" w:hAnsi="仿宋" w:eastAsia="仿宋" w:cs="仿宋"/>
          <w:b/>
          <w:sz w:val="32"/>
          <w:szCs w:val="32"/>
        </w:rPr>
        <w:t>工作活动绩效目标：</w:t>
      </w:r>
    </w:p>
    <w:p>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部门职责-工作活动绩效目标</w:t>
      </w:r>
      <w:bookmarkEnd w:id="0"/>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303</w:t>
            </w:r>
            <w:r>
              <w:rPr>
                <w:rFonts w:hint="eastAsia" w:ascii="方正小标宋_GBK" w:eastAsia="方正小标宋_GBK"/>
                <w:sz w:val="24"/>
              </w:rPr>
              <w:t>石家庄市鹿泉区发展改革局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一、组织编制经济社会发展规划和计划</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组织拟订全区经济社会发展战略（中长期）规划、年度计划及重点领域、区域经济的规划。</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增强规划和计划的前瞻性、科学性、可操作性；规划目标全面、先进、可行；组织落实措施得力，调度有序。</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、规划、计划及课题编制</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19.00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拟定全区经济社会发展中长期规划，对规划执行情况监测预测、中期评估及动态调整，统筹协调区级专项规划和区域规划；研究分析全区经济和社会发展重大战略与布局，拟定全区年度经济社会发展计划，并受区政府委托向区人大作全区国民经济和社会发展计划报告。编制和拟订全区重点领域、重要产业和区域发展等战略规划和计划，研究提出落实措施等建议。</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和计划达到较强前瞻性、科学性、可操作性；规划目标全面、先进、可行；组织实施有效，及时评估调度，动态调整切实可行。经济社会发展计划切实体现区委、区政府决策目标和部署。确保重点领域和区域经济社会规划与国民经济和社会发展规划、计划的衔接和协调。</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区人大代表表决通过率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重点领域与区域经济社会规划编制完成率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各类经济社会发展中长期规划编制完成率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二、推进全区改革开放和经济技术合作</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推进经济体制改革，实施经济体制改革、对外开放有关地方性法规。</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推进经济体制改革，实施经济体制改革、对外开放有关地方性法规，以及对相关改革方案的起草和实施。</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、推进体制改革、社会公共服务均等化</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综合性改革方案，组织实施重要改革事项，统筹推动全区综合配套改革试点和专项改革试点。统筹全区重大公共服务资源布局和相关项目的计划实施，促进公共服务资源有效整合和协调配置。推进全区信用体系建设。</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力争重点领域和关键环节改革取得积极进展；促进全区城镇居民人均可支配收入增长和新增就业目标的实现。协调推进文化、教育、体育、卫生、养老、社会救助等基本公共服务体系建设，促进全区社会公共服务均等化。推进全区统一的信用信息数据库和共享、公示平台。</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公共服务均等化评估结果</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实现规划目标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较好完成规划目标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基本完成规划目标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未完成规划目标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全区城乡居民可支配收入增长率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推进全区社会信用体系建设</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完成指标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较好完成指标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基本完成指标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未完成指标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、外资管理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全区利用外资和境外投资工作；组织开展全区对外经贸洽谈和招商活动，组织项目谋划发布、洽谈等活动。组织开展全区经济技术交流合作，组织谋划区级合作项目的考察、论证、对接、落实和实施；组织与交流合作方和区内各方面沟通对接。</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做好外资与区域内的引进工作，稳步增加全区利用外资、境外投资规模</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实际利用外资规模增长率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引进外资资金数量增长率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境外投资规模增长率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三、经济和社会运行监测、调节与协调</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协调和监测调节经济社会协调发展，研究拟订重大调控政策建议并组织实施；研究提出促进就业、调整收入分配、完善社会保障与经济协调发展的政策措施，推进社会公共服务均等化；制定并组织实施产业政策；负责区内重要物资和商品总量平衡和调控；组织实施全区国民经济、装备动员。</w:t>
            </w:r>
          </w:p>
        </w:tc>
        <w:tc>
          <w:tcPr>
            <w:tcW w:w="2976"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做好经济运行监测分析，协调经济社会运行平稳有序和健康发展，提升全区经济、装备动员能力</w:t>
            </w:r>
            <w:r>
              <w:rPr>
                <w:rFonts w:ascii="方正书宋_GBK" w:eastAsia="方正书宋_GBK"/>
              </w:rPr>
              <w:t>"</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、经济社会发展形势监测分析、运行调节和政策建议</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全区经济社会发展运行调节、监测，研究分析全区经济形势发展，综合协调经济社会发展，进行区域经济的预测、预警；负责日常经济和社会事业发展运行的调节，研究提出各种政策建议，组织解决经济运行和社会事业发展中重大问题；组织实施全区国民经济、装备动员潜力调查、预案编制、专业队伍组建、动员中心建设。</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推进经济社会健康协调发展，提升全区经济、装备动员能力。</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形势分析或调研报告采用率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调研次数、形势分析或调研报告数量</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年度经济、装备动员年度计划完成率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、经济运行综合协调保障</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抓好供需总量平衡，保障经济社会发展和人民生活需要；制订经济运行监测分析，做好国防建设和国民经济发展的衔接。</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做好运行分析，确保经济社会运行平稳有序和健康发展；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月度分析和数据统计报告完成数（期）</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四、促进全区区域经济发展</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3316.66</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推进区域经济协调发展、加快城镇化、区域经济发展；负责区域经济合作统筹协调；推动沿海、京津冀两大区域发展。</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推动京津冀协同发展。</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、推进区域经济与可持续发展</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3316.66</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实施区域经济的政策措施；推进可持续发展工作。组织全区农业区划管理工作。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加强区域经济发展管理工作，提高区域经济发展水平；开展农业资源可持续发展和高效利用试验示范工作。</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重点项目建设数量</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区域经济可持续发展规划实施完成情况</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全部如期完成</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有</w:t>
            </w:r>
            <w:r>
              <w:rPr>
                <w:rFonts w:ascii="方正书宋_GBK" w:eastAsia="方正书宋_GBK"/>
              </w:rPr>
              <w:t>1</w:t>
            </w:r>
            <w:r>
              <w:rPr>
                <w:rFonts w:hint="eastAsia" w:ascii="方正书宋_GBK" w:eastAsia="方正书宋_GBK"/>
              </w:rPr>
              <w:t>项未能如期完成</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有</w:t>
            </w:r>
            <w:r>
              <w:rPr>
                <w:rFonts w:ascii="方正书宋_GBK" w:eastAsia="方正书宋_GBK"/>
              </w:rPr>
              <w:t>2</w:t>
            </w:r>
            <w:r>
              <w:rPr>
                <w:rFonts w:hint="eastAsia" w:ascii="方正书宋_GBK" w:eastAsia="方正书宋_GBK"/>
              </w:rPr>
              <w:t>项未能如期完成</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有</w:t>
            </w:r>
            <w:r>
              <w:rPr>
                <w:rFonts w:ascii="方正书宋_GBK" w:eastAsia="方正书宋_GBK"/>
              </w:rPr>
              <w:t>3</w:t>
            </w:r>
            <w:r>
              <w:rPr>
                <w:rFonts w:hint="eastAsia" w:ascii="方正书宋_GBK" w:eastAsia="方正书宋_GBK"/>
              </w:rPr>
              <w:t>项未能如期完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五、推进全区产业结构调整和转型升级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151.00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综合性产业政策，负责协调全区第一、二、三产业发展的重大问题并衔接平衡相关发展规划和重大政策，推进经济结构战略性调整。按照经济和社会发展要求，引导产业升级和转型，支持重点领域和行业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有效引导行业健康发展，提升全区产业和行业竞争力。</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、促进战略性新兴产业发展</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组织实施战略性新兴产业发展战略、规划、政策措施；宣传展示我区战略性新兴产业发展成果。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推动产业规模不断壮大。促进产业聚集发展，提升产业竞争力。创新能力稳步提升，协同创新取得成效。创新改革不断深化，创新创业生态环境进一步改善。</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战略性新兴产业增加值对</w:t>
            </w:r>
            <w:r>
              <w:rPr>
                <w:rFonts w:ascii="方正书宋_GBK" w:eastAsia="方正书宋_GBK"/>
              </w:rPr>
              <w:t>GDP</w:t>
            </w:r>
            <w:r>
              <w:rPr>
                <w:rFonts w:hint="eastAsia" w:ascii="方正书宋_GBK" w:eastAsia="方正书宋_GBK"/>
              </w:rPr>
              <w:t>增长的贡献度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、推进物流业及服务业发展</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制定并组织实施加快服务业发展的战略规划，落实有关政策措施，推进服务业项目建设。落实现代物流业发展的相关政策，支持区级物流产业聚集区发展和物流项目建设，进一步完善全区物流基础设施，增强物流企业竞争力。</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加快区级物流产业聚集区建设；加快区级物流产业聚集区、已列入物流发展规划的重点项目、农产品物流项目交易设施改造升级及大型冷链物流项目建设</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服务业增加值占</w:t>
            </w:r>
            <w:r>
              <w:rPr>
                <w:rFonts w:ascii="方正书宋_GBK" w:eastAsia="方正书宋_GBK"/>
              </w:rPr>
              <w:t>GDP</w:t>
            </w:r>
            <w:r>
              <w:rPr>
                <w:rFonts w:hint="eastAsia" w:ascii="方正书宋_GBK" w:eastAsia="方正书宋_GBK"/>
              </w:rPr>
              <w:t>总值的比重</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服务业增长率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区级物流产业聚集区、已列入物流发展规划的重点项目、农产品物流项目交易设施改造升级及大型冷链物流项目建设完成率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物流业增长率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、促进节能降耗、资源综合利用和生态建设</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151.00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可持续发展战略，组织拟订发展循环经济、全社会资源节约和综合利用、区区对气候变化政策并组织实施；协调生态建设、能源资源节约和综合利用、环保产业和清洁生产促进等工作；推进综合协调节能减排工作，利用专项资金对节能技改、合同能源管理，开展节能监察、监测，加强节能宣传培训，建立碳排放报告、核算、考核及碳排放权交易制度，确保完成节能、削煤、降碳约束性指标。</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发挥专项资金的引导和激励的作用，通过采取补助、奖励等方式调动企业节能降耗的积极性，确保完成节能、削煤、降碳目标任务；电能使用效率不断提高；积极助推节能减排和大气污染防治；确保实现年度单位</w:t>
            </w:r>
            <w:r>
              <w:rPr>
                <w:rFonts w:ascii="方正书宋_GBK" w:eastAsia="方正书宋_GBK"/>
              </w:rPr>
              <w:t>GDP</w:t>
            </w:r>
            <w:r>
              <w:rPr>
                <w:rFonts w:hint="eastAsia" w:ascii="方正书宋_GBK" w:eastAsia="方正书宋_GBK"/>
              </w:rPr>
              <w:t>能耗下降率</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二氧化硫减排量</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节能量</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w:t>
            </w:r>
            <w:r>
              <w:rPr>
                <w:rFonts w:ascii="方正书宋_GBK" w:eastAsia="方正书宋_GBK"/>
              </w:rPr>
              <w:t>GDP</w:t>
            </w:r>
            <w:r>
              <w:rPr>
                <w:rFonts w:hint="eastAsia" w:ascii="方正书宋_GBK" w:eastAsia="方正书宋_GBK"/>
              </w:rPr>
              <w:t>能耗下降率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六、固定资产投资调控与管理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拟订社会固定资产投资规模和投资结构的调控目标、及措施，衔接政府投资和重大建设项目的专项规划；按规定权限审批、核准、审核重大建设项目，提出预算内基建建设项目安排建议；开展重点建设项目管理。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提升公共设施水平，提高公共服务能力，促进经济和社会发展。</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、固定资产投资政策制订与实施和区级预算内基本投资建设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拟订社会固定资产投资规模和投资结构的调控目标及措施；研究制定全区重点项目建设管理的思路；制定或完善投资项目审批、核准、备案管理办法及相关措施，完善投资体制和机制建设；引导民间资金用于符合我区固定资产投资方向的项目。编制区级预算内基本建设投资计划；统筹提出区级预算内基本建设资金安排基础设施建设项目资金安排建议，落实与中央、省市投资项目配套。</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区固定资产投资目标；指导政策性贷款使用，有效引导民间资金用于我区固定资产投资。按时编制并提交年度预算内基建项目安排建议，并落实到具体项目；足额保证区委、区政府确定的重点基建投资项目；落实与中央、省市投资项目配套；及时下达预算内基建项目投资计划，提高区级政务设施服务保障能力</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预算内基本建设投资计划执行率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预算内基本建设资金完成率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固定资产投资计划完成率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、组织实施全区重点项目和稽查</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区级重点建设项目，编制全区重点建设项目年度工作计划并执行；按规定权限审批、核准、审核重大建设项目；组织开展对工作活动范围内的项目单位在前期手续、投资计划和资金下达、建设实施、建设管理、进度控制、资金和财务管理、竣工验收等方面实施情况的监督检查；建立投资项目信息报送制度。化工、煤炭建设项目工程质量监督管理；依法组织开展重点（重大）项目稽查，对市、区投资政策、投资计划执行情况的监督检查。</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加强重点项目谋划、协调，推动重点项目顺利实施。加强项目监管，推动项目顺利实施，处罚项目建设中重大突出违法问题。</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项目开工率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重点项目监督稽察覆盖率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七、发展和改革政务管理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负责发展改革一般性日常业务开展和机关事务的基本运转。</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保障发展改革一般性日常业务开展和机关事务的基本运转。</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负责全区依法必须招标项目的招标投标公告发布、方案核准以及评标专家库、招标代理机构等实施监督管理；按照区政府政策要求，加强行业协会管理。</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招投标管理制度完善，操作实施规范，应依法必须招投标项目覆盖全面</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督导企业个数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展改革工作运转保障，包括会议组织、政务督办、档案管理、信访接待、政务信息、行政复议、对外宣传、干部培训、课题研究、调研活动等行政事务；开展党风廉政建设、政府信息公开、行政许可事项受理，信息化建设等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保障发展改革工作正常开展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八、价格总水平调控和价格管理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国民经济发展需要和社会承受能力，拟订全区价格总水平年度调控计划和中长期调控目标，监测预测全区价格总水平及其结构变动趋势，提出调控建议。管理全区与国民经济和人民生活关系重大、资源稀缺、自然垄断经营的商品价格，拟订作价原则、办法。</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保持市场价格总水平基本稳定</w:t>
            </w:r>
            <w:r>
              <w:rPr>
                <w:rFonts w:ascii="方正书宋_GBK" w:eastAsia="方正书宋_GBK"/>
              </w:rPr>
              <w:t>,</w:t>
            </w:r>
            <w:r>
              <w:rPr>
                <w:rFonts w:hint="eastAsia" w:ascii="方正书宋_GBK" w:eastAsia="方正书宋_GBK"/>
              </w:rPr>
              <w:t>努力保障改善民生，促进经济持续健康发展和社会和谐稳定。</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、拟订提出价格总水平年度调控目标和建议</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拟订全区价格总水平年度调控计划，编制中长期调控目标。开展日常、突发事件、重要节假日等价格巡查监测，密切跟踪国内外经济和价格运行，健全应对价格异常波动处理机制，及时启动应急预案，把价格总水平稳定在合理区间。</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保持市场价格总水平基本稳定</w:t>
            </w:r>
            <w:r>
              <w:rPr>
                <w:rFonts w:ascii="方正书宋_GBK" w:eastAsia="方正书宋_GBK"/>
              </w:rPr>
              <w:t>,</w:t>
            </w:r>
            <w:r>
              <w:rPr>
                <w:rFonts w:hint="eastAsia" w:ascii="方正书宋_GBK" w:eastAsia="方正书宋_GBK"/>
              </w:rPr>
              <w:t>努力保障改善民生，促进经济持续健康发展和社会和谐稳定。</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居民消费价格年度预期目标完成情况</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预期目标以内</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预期目标左右</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超过预期目标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较大幅度超过预期目标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价格监测任务完成率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、调整商品、运输、服务价格</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落实国家、省市电力、燃气、热力等价格政策，拟定调整方案，推进价格机制改革。</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推进全区价格政策落实，完善价格形成机制。</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国家、省市价格政策落实情况</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按规定时限全部完成</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按规定时限大部分完成</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按规定时限基本完成</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不能按规定时限完成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年度重点价格改革任务完成率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、拟订收费标准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根据国家、省市政策和事业发展需要，制定和调整国家机关、公益事业、公用事业、中介服务和重要经营收费的标准并监督执行。</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加强全区行政事业性收费标准制定调整工作</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收费标准规范有效性</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规范有明显成效</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规范有效</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比较规范有效</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基本规范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收费标准制定工作完成效率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、组织价格听证会</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在制定政府指导价、政府定价过程中，组织召开听证会，征求经营者、消费者和有关方面的意见，对制定价格的必要性、可行性进行论证。</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政府价格决策科学和透明</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召开听证会工作完成率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、司法案件涉案财物、行政工作所涉财物价格认定</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经司法机关提出，办理司法案件中涉及的价格不明或者价格有争议的涉案财物价格认定；经行政机关提出，办理行政工作，包括行政诉讼、复议及处罚案件，行政征收、征用（含应税物价格认定）及执法活动，国家赔偿、补偿等事项中所涉财物价格认定；办理本级价格认定复核事项</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接受司法机关、行政机关提出的价格认定事项，遵循依法、公正、科学、效率的原则，作出准确、可靠的价格认定结论，为司法机关办理相关案件、为行政工作提供依据，保障司法、行政工作顺利进行</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办案准确率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认定结论按期完成率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、纪检监察案件涉案财物价格认定</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经纪检监察机关提出，办理纪检监察机关查办案件涉案财物价格认定；办理本级价格认定复核事项</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接受纪检监察机关提出的价格认定事项，遵循依法、公正、科学、效率的原则，作出准确、可靠的价格认定结论，为纪检监察机关办理案件提供依据，保障纪检监察工作顺利进行</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案件复核维持率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价格认定案件办结率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九、价格成本调查和监审</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建立健全产品成本信息网络，组织成本汇总和成本分析；对列入价格成本监审管理目录的商品和收费项目进行调定价监审。</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农产品调查合理布局，样本具有代表性，提高调查数据的科学性，为上级和区政府提供成本数据、分析预测趋势，为上级制定宏观经济政策、价格政策、稳定市场物价服务；使成本监审工作规范化、程序化，确保全区成本监审工作依法有序地开展，为政府制定价格提供成本数据支撑。</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、实施全区农产品成本调查</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确定调查品种、调查户，进行组织实施和检查监督</w:t>
            </w:r>
            <w:r>
              <w:rPr>
                <w:rFonts w:ascii="方正书宋_GBK" w:eastAsia="方正书宋_GBK"/>
              </w:rPr>
              <w:t>,</w:t>
            </w:r>
            <w:r>
              <w:rPr>
                <w:rFonts w:hint="eastAsia" w:ascii="方正书宋_GBK" w:eastAsia="方正书宋_GBK"/>
              </w:rPr>
              <w:t>并对调查品种数据进行收集、审核、汇总、分析。</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确保农产品调查合理布局，样本具有代表性，提高调查数据的科学性，为上级和区政府提供成本数据、分析预测趋势，为制定宏观经济政策、价格政策、稳定市场物价服务。</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农产品成本调查任务完成率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成本调查结果置信度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、价格成本调查和定价成本监审</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建立健全成本信息网络，组织成本汇总和成本分析；对列入价格成本监审管理目录的商品和收费项目进行调定价监审。</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使成本监审工作规范化、程序化，确保成本监审工作依法有序地开展，为政府制定价格提供成本数据支撑。</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商品和收费定价监审率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十、价格监督检查</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组织价格和收费监督检查；受理价格处罚的复议案件和申诉案件；依法办理价格举报案件；推行明码标价和价格、收费公示制度，对市场放开商品实施价格监管，加强反价格欺诈反垄断工作。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治理价格违法行为，规范收费环境和价格秩序；确保价格行政执法、处罚、审理程序合法；推行明码标价，促进明码实价；促进经营者价格自律。</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、法制与案件审理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区价格违法案件执法情况进行监督、检查，对价格违法案件的审理、提出处理意见；受理价格处罚的行政复议、行政诉讼、申诉等案件；加强《河北省价格监督检查条例》的推广及普法工作，并监督其执行情况；培训价格检查干部相关法律法规知识。</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确保依法办案，确保价格行政执法、处罚、审理程序合法。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价格违法案件处理完成率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案件办结率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价格处罚的行政复议与诉讼完成率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、商品和服务价格监督检查</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规范市场价格秩序，打击虚构原价、虚假打折等欺诈行为；完善电子商务、网络购物、快递等新兴服务业价格动态应急处置机制，打击价格违法行为，防范价格异动。</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治理价格违法行为，规范收费环境和价格秩序；确保价格行政执法、处罚、审理程序合法；推行明码标价，促进明码实价；促进经营者价格自律。</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价格和收费监督检查目标完成率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欺诈案件处理率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按照市场化的方向推进价格改革；建立舆情应急处置机制，健全价格舆情监测系统。</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完善舆情应急处置平台</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舆情应急处理及时性</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处理及时彻底</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处理不彻底</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未及时处理</w:t>
            </w: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围绕提高行政效率和服务质量，强化管理措施，完善制度保障，打造廉洁高效的价格政务服务环境。根据当事人的申请，依法对各类市场主体之间的价格（或损失）争议进行调解处理。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增强行政调解与人民调解、司法调解的衔接配合，充分发挥价格争议行政调解在预防、化解价格争议矛盾纠纷中的作用。</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bl>
    <w:p>
      <w:pPr>
        <w:autoSpaceDE w:val="0"/>
        <w:autoSpaceDN w:val="0"/>
        <w:adjustRightInd w:val="0"/>
        <w:ind w:left="200"/>
        <w:jc w:val="left"/>
        <w:rPr>
          <w:rFonts w:ascii="宋体" w:eastAsia="宋体" w:cs="宋体"/>
          <w:kern w:val="0"/>
          <w:sz w:val="18"/>
          <w:szCs w:val="18"/>
          <w:lang w:val="zh-CN"/>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outlineLvl w:val="0"/>
        <w:rPr>
          <w:rFonts w:ascii="仿宋" w:hAnsi="仿宋" w:eastAsia="仿宋" w:cs="仿宋"/>
          <w:sz w:val="32"/>
          <w:szCs w:val="32"/>
        </w:rPr>
      </w:pPr>
      <w:bookmarkStart w:id="2" w:name="_Toc471398468"/>
      <w:r>
        <w:rPr>
          <w:rFonts w:ascii="Times New Roman" w:hAnsi="Times New Roman" w:eastAsia="方正仿宋_GBK" w:cs="Times New Roman"/>
          <w:sz w:val="32"/>
          <w:szCs w:val="24"/>
        </w:rPr>
        <w:t xml:space="preserve">   </w:t>
      </w:r>
      <w:r>
        <w:rPr>
          <w:rFonts w:hint="eastAsia" w:ascii="仿宋" w:hAnsi="仿宋" w:eastAsia="仿宋" w:cs="仿宋"/>
          <w:sz w:val="32"/>
          <w:szCs w:val="32"/>
        </w:rPr>
        <w:t>2019年，我局安排政府采购预算128万元。具体内容见下表。</w:t>
      </w:r>
    </w:p>
    <w:p>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部门政府采购预算</w:t>
      </w:r>
      <w:bookmarkEnd w:id="2"/>
    </w:p>
    <w:tbl>
      <w:tblPr>
        <w:tblStyle w:val="8"/>
        <w:tblW w:w="137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8"/>
        <w:gridCol w:w="1036"/>
        <w:gridCol w:w="918"/>
        <w:gridCol w:w="816"/>
        <w:gridCol w:w="829"/>
        <w:gridCol w:w="716"/>
        <w:gridCol w:w="804"/>
        <w:gridCol w:w="905"/>
        <w:gridCol w:w="905"/>
        <w:gridCol w:w="905"/>
        <w:gridCol w:w="905"/>
        <w:gridCol w:w="908"/>
        <w:gridCol w:w="914"/>
        <w:gridCol w:w="8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5" w:hRule="atLeast"/>
          <w:tblHeader/>
          <w:jc w:val="center"/>
        </w:trPr>
        <w:tc>
          <w:tcPr>
            <w:tcW w:w="7427"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1"/>
                <w:szCs w:val="21"/>
              </w:rPr>
            </w:pPr>
            <w:r>
              <w:rPr>
                <w:rFonts w:ascii="方正小标宋_GBK" w:eastAsia="方正小标宋_GBK"/>
                <w:sz w:val="21"/>
                <w:szCs w:val="21"/>
              </w:rPr>
              <w:t>303</w:t>
            </w:r>
            <w:r>
              <w:rPr>
                <w:rFonts w:hint="eastAsia" w:ascii="方正小标宋_GBK" w:eastAsia="方正小标宋_GBK"/>
                <w:sz w:val="21"/>
                <w:szCs w:val="21"/>
              </w:rPr>
              <w:t>石家庄市鹿泉区发展改革局</w:t>
            </w:r>
          </w:p>
        </w:tc>
        <w:tc>
          <w:tcPr>
            <w:tcW w:w="6312"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5" w:hRule="atLeast"/>
          <w:tblHeader/>
          <w:jc w:val="center"/>
        </w:trPr>
        <w:tc>
          <w:tcPr>
            <w:tcW w:w="3344" w:type="dxa"/>
            <w:gridSpan w:val="2"/>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政府采购项目来源</w:t>
            </w:r>
          </w:p>
        </w:tc>
        <w:tc>
          <w:tcPr>
            <w:tcW w:w="918" w:type="dxa"/>
            <w:vMerge w:val="restart"/>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采购物品名称</w:t>
            </w:r>
          </w:p>
        </w:tc>
        <w:tc>
          <w:tcPr>
            <w:tcW w:w="816" w:type="dxa"/>
            <w:vMerge w:val="restart"/>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政府采购目录序号</w:t>
            </w:r>
          </w:p>
        </w:tc>
        <w:tc>
          <w:tcPr>
            <w:tcW w:w="829" w:type="dxa"/>
            <w:vMerge w:val="restart"/>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数量</w:t>
            </w:r>
            <w:r>
              <w:rPr>
                <w:rFonts w:ascii="方正书宋_GBK" w:eastAsia="方正书宋_GBK"/>
                <w:b/>
                <w:sz w:val="21"/>
                <w:szCs w:val="21"/>
              </w:rPr>
              <w:t xml:space="preserve">  </w:t>
            </w:r>
            <w:r>
              <w:rPr>
                <w:rFonts w:hint="eastAsia" w:ascii="方正书宋_GBK" w:eastAsia="方正书宋_GBK"/>
                <w:b/>
                <w:sz w:val="21"/>
                <w:szCs w:val="21"/>
              </w:rPr>
              <w:t>单位</w:t>
            </w:r>
          </w:p>
        </w:tc>
        <w:tc>
          <w:tcPr>
            <w:tcW w:w="716" w:type="dxa"/>
            <w:vMerge w:val="restart"/>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数量</w:t>
            </w:r>
          </w:p>
        </w:tc>
        <w:tc>
          <w:tcPr>
            <w:tcW w:w="804" w:type="dxa"/>
            <w:vMerge w:val="restart"/>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单价</w:t>
            </w:r>
          </w:p>
        </w:tc>
        <w:tc>
          <w:tcPr>
            <w:tcW w:w="6312" w:type="dxa"/>
            <w:gridSpan w:val="7"/>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5" w:hRule="atLeast"/>
          <w:tblHeader/>
          <w:jc w:val="center"/>
        </w:trPr>
        <w:tc>
          <w:tcPr>
            <w:tcW w:w="2308" w:type="dxa"/>
            <w:vMerge w:val="restart"/>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1036" w:type="dxa"/>
            <w:vMerge w:val="restart"/>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预算资金</w:t>
            </w:r>
          </w:p>
        </w:tc>
        <w:tc>
          <w:tcPr>
            <w:tcW w:w="918" w:type="dxa"/>
            <w:vMerge w:val="continue"/>
            <w:shd w:val="clear" w:color="auto" w:fill="auto"/>
            <w:vAlign w:val="center"/>
          </w:tcPr>
          <w:p>
            <w:pPr>
              <w:spacing w:line="300" w:lineRule="exact"/>
              <w:jc w:val="left"/>
              <w:outlineLvl w:val="0"/>
              <w:rPr>
                <w:sz w:val="21"/>
                <w:szCs w:val="21"/>
              </w:rPr>
            </w:pPr>
          </w:p>
        </w:tc>
        <w:tc>
          <w:tcPr>
            <w:tcW w:w="816" w:type="dxa"/>
            <w:vMerge w:val="continue"/>
            <w:shd w:val="clear" w:color="auto" w:fill="auto"/>
            <w:vAlign w:val="center"/>
          </w:tcPr>
          <w:p>
            <w:pPr>
              <w:spacing w:line="300" w:lineRule="exact"/>
              <w:jc w:val="left"/>
              <w:outlineLvl w:val="0"/>
              <w:rPr>
                <w:sz w:val="21"/>
                <w:szCs w:val="21"/>
              </w:rPr>
            </w:pPr>
          </w:p>
        </w:tc>
        <w:tc>
          <w:tcPr>
            <w:tcW w:w="829" w:type="dxa"/>
            <w:vMerge w:val="continue"/>
            <w:shd w:val="clear" w:color="auto" w:fill="auto"/>
            <w:vAlign w:val="center"/>
          </w:tcPr>
          <w:p>
            <w:pPr>
              <w:spacing w:line="300" w:lineRule="exact"/>
              <w:jc w:val="left"/>
              <w:outlineLvl w:val="0"/>
              <w:rPr>
                <w:sz w:val="21"/>
                <w:szCs w:val="21"/>
              </w:rPr>
            </w:pPr>
          </w:p>
        </w:tc>
        <w:tc>
          <w:tcPr>
            <w:tcW w:w="716" w:type="dxa"/>
            <w:vMerge w:val="continue"/>
            <w:shd w:val="clear" w:color="auto" w:fill="auto"/>
            <w:vAlign w:val="center"/>
          </w:tcPr>
          <w:p>
            <w:pPr>
              <w:spacing w:line="300" w:lineRule="exact"/>
              <w:jc w:val="left"/>
              <w:outlineLvl w:val="0"/>
              <w:rPr>
                <w:sz w:val="21"/>
                <w:szCs w:val="21"/>
              </w:rPr>
            </w:pPr>
          </w:p>
        </w:tc>
        <w:tc>
          <w:tcPr>
            <w:tcW w:w="804" w:type="dxa"/>
            <w:vMerge w:val="continue"/>
            <w:shd w:val="clear" w:color="auto" w:fill="auto"/>
            <w:vAlign w:val="center"/>
          </w:tcPr>
          <w:p>
            <w:pPr>
              <w:spacing w:line="300" w:lineRule="exact"/>
              <w:jc w:val="left"/>
              <w:outlineLvl w:val="0"/>
              <w:rPr>
                <w:sz w:val="21"/>
                <w:szCs w:val="21"/>
              </w:rPr>
            </w:pPr>
          </w:p>
        </w:tc>
        <w:tc>
          <w:tcPr>
            <w:tcW w:w="905" w:type="dxa"/>
            <w:vMerge w:val="restart"/>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总计</w:t>
            </w:r>
          </w:p>
        </w:tc>
        <w:tc>
          <w:tcPr>
            <w:tcW w:w="4537" w:type="dxa"/>
            <w:gridSpan w:val="5"/>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当年部门预算安排资金</w:t>
            </w:r>
          </w:p>
        </w:tc>
        <w:tc>
          <w:tcPr>
            <w:tcW w:w="870" w:type="dxa"/>
            <w:vMerge w:val="restart"/>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5" w:hRule="atLeast"/>
          <w:tblHeader/>
          <w:jc w:val="center"/>
        </w:trPr>
        <w:tc>
          <w:tcPr>
            <w:tcW w:w="2308" w:type="dxa"/>
            <w:vMerge w:val="continue"/>
            <w:shd w:val="clear" w:color="auto" w:fill="auto"/>
            <w:vAlign w:val="center"/>
          </w:tcPr>
          <w:p>
            <w:pPr>
              <w:spacing w:line="300" w:lineRule="exact"/>
              <w:jc w:val="left"/>
              <w:outlineLvl w:val="0"/>
              <w:rPr>
                <w:sz w:val="21"/>
                <w:szCs w:val="21"/>
              </w:rPr>
            </w:pPr>
          </w:p>
        </w:tc>
        <w:tc>
          <w:tcPr>
            <w:tcW w:w="1036" w:type="dxa"/>
            <w:vMerge w:val="continue"/>
            <w:shd w:val="clear" w:color="auto" w:fill="auto"/>
            <w:vAlign w:val="center"/>
          </w:tcPr>
          <w:p>
            <w:pPr>
              <w:spacing w:line="300" w:lineRule="exact"/>
              <w:jc w:val="left"/>
              <w:outlineLvl w:val="0"/>
              <w:rPr>
                <w:sz w:val="21"/>
                <w:szCs w:val="21"/>
              </w:rPr>
            </w:pPr>
          </w:p>
        </w:tc>
        <w:tc>
          <w:tcPr>
            <w:tcW w:w="918" w:type="dxa"/>
            <w:vMerge w:val="continue"/>
            <w:shd w:val="clear" w:color="auto" w:fill="auto"/>
            <w:vAlign w:val="center"/>
          </w:tcPr>
          <w:p>
            <w:pPr>
              <w:spacing w:line="300" w:lineRule="exact"/>
              <w:jc w:val="left"/>
              <w:outlineLvl w:val="0"/>
              <w:rPr>
                <w:sz w:val="21"/>
                <w:szCs w:val="21"/>
              </w:rPr>
            </w:pPr>
          </w:p>
        </w:tc>
        <w:tc>
          <w:tcPr>
            <w:tcW w:w="816" w:type="dxa"/>
            <w:vMerge w:val="continue"/>
            <w:shd w:val="clear" w:color="auto" w:fill="auto"/>
            <w:vAlign w:val="center"/>
          </w:tcPr>
          <w:p>
            <w:pPr>
              <w:spacing w:line="300" w:lineRule="exact"/>
              <w:jc w:val="left"/>
              <w:outlineLvl w:val="0"/>
              <w:rPr>
                <w:sz w:val="21"/>
                <w:szCs w:val="21"/>
              </w:rPr>
            </w:pPr>
          </w:p>
        </w:tc>
        <w:tc>
          <w:tcPr>
            <w:tcW w:w="829" w:type="dxa"/>
            <w:vMerge w:val="continue"/>
            <w:shd w:val="clear" w:color="auto" w:fill="auto"/>
            <w:vAlign w:val="center"/>
          </w:tcPr>
          <w:p>
            <w:pPr>
              <w:spacing w:line="300" w:lineRule="exact"/>
              <w:jc w:val="left"/>
              <w:outlineLvl w:val="0"/>
              <w:rPr>
                <w:sz w:val="21"/>
                <w:szCs w:val="21"/>
              </w:rPr>
            </w:pPr>
          </w:p>
        </w:tc>
        <w:tc>
          <w:tcPr>
            <w:tcW w:w="716" w:type="dxa"/>
            <w:vMerge w:val="continue"/>
            <w:shd w:val="clear" w:color="auto" w:fill="auto"/>
            <w:vAlign w:val="center"/>
          </w:tcPr>
          <w:p>
            <w:pPr>
              <w:spacing w:line="300" w:lineRule="exact"/>
              <w:jc w:val="left"/>
              <w:outlineLvl w:val="0"/>
              <w:rPr>
                <w:sz w:val="21"/>
                <w:szCs w:val="21"/>
              </w:rPr>
            </w:pPr>
          </w:p>
        </w:tc>
        <w:tc>
          <w:tcPr>
            <w:tcW w:w="804" w:type="dxa"/>
            <w:vMerge w:val="continue"/>
            <w:shd w:val="clear" w:color="auto" w:fill="auto"/>
            <w:vAlign w:val="center"/>
          </w:tcPr>
          <w:p>
            <w:pPr>
              <w:spacing w:line="300" w:lineRule="exact"/>
              <w:jc w:val="left"/>
              <w:outlineLvl w:val="0"/>
              <w:rPr>
                <w:sz w:val="21"/>
                <w:szCs w:val="21"/>
              </w:rPr>
            </w:pPr>
          </w:p>
        </w:tc>
        <w:tc>
          <w:tcPr>
            <w:tcW w:w="905" w:type="dxa"/>
            <w:vMerge w:val="continue"/>
            <w:shd w:val="clear" w:color="auto" w:fill="auto"/>
            <w:vAlign w:val="center"/>
          </w:tcPr>
          <w:p>
            <w:pPr>
              <w:spacing w:line="300" w:lineRule="exact"/>
              <w:jc w:val="left"/>
              <w:outlineLvl w:val="0"/>
              <w:rPr>
                <w:sz w:val="21"/>
                <w:szCs w:val="21"/>
              </w:rPr>
            </w:pPr>
          </w:p>
        </w:tc>
        <w:tc>
          <w:tcPr>
            <w:tcW w:w="905"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合计</w:t>
            </w:r>
          </w:p>
        </w:tc>
        <w:tc>
          <w:tcPr>
            <w:tcW w:w="905"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一般公共预算拨款</w:t>
            </w:r>
          </w:p>
        </w:tc>
        <w:tc>
          <w:tcPr>
            <w:tcW w:w="905"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基金预算拨款</w:t>
            </w:r>
          </w:p>
        </w:tc>
        <w:tc>
          <w:tcPr>
            <w:tcW w:w="908"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财政专户核拨</w:t>
            </w:r>
          </w:p>
        </w:tc>
        <w:tc>
          <w:tcPr>
            <w:tcW w:w="914"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其他来源收入</w:t>
            </w:r>
          </w:p>
        </w:tc>
        <w:tc>
          <w:tcPr>
            <w:tcW w:w="870" w:type="dxa"/>
            <w:vMerge w:val="continue"/>
            <w:shd w:val="clear" w:color="auto" w:fill="auto"/>
            <w:vAlign w:val="center"/>
          </w:tcPr>
          <w:p>
            <w:pPr>
              <w:spacing w:line="300" w:lineRule="exact"/>
              <w:jc w:val="left"/>
              <w:outlineLvl w:val="0"/>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5" w:hRule="atLeast"/>
          <w:jc w:val="center"/>
        </w:trPr>
        <w:tc>
          <w:tcPr>
            <w:tcW w:w="2308"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合　计</w:t>
            </w:r>
          </w:p>
        </w:tc>
        <w:tc>
          <w:tcPr>
            <w:tcW w:w="1036" w:type="dxa"/>
            <w:shd w:val="clear" w:color="auto" w:fill="auto"/>
            <w:vAlign w:val="center"/>
          </w:tcPr>
          <w:p>
            <w:pPr>
              <w:spacing w:line="300" w:lineRule="exact"/>
              <w:jc w:val="right"/>
              <w:rPr>
                <w:rFonts w:ascii="方正书宋_GBK" w:eastAsia="方正书宋_GBK"/>
                <w:b/>
                <w:sz w:val="21"/>
                <w:szCs w:val="21"/>
              </w:rPr>
            </w:pPr>
          </w:p>
        </w:tc>
        <w:tc>
          <w:tcPr>
            <w:tcW w:w="918" w:type="dxa"/>
            <w:shd w:val="clear" w:color="auto" w:fill="auto"/>
            <w:vAlign w:val="center"/>
          </w:tcPr>
          <w:p>
            <w:pPr>
              <w:spacing w:line="300" w:lineRule="exact"/>
              <w:jc w:val="left"/>
              <w:rPr>
                <w:rFonts w:ascii="方正书宋_GBK" w:eastAsia="方正书宋_GBK"/>
                <w:b/>
                <w:sz w:val="21"/>
                <w:szCs w:val="21"/>
              </w:rPr>
            </w:pPr>
          </w:p>
        </w:tc>
        <w:tc>
          <w:tcPr>
            <w:tcW w:w="816" w:type="dxa"/>
            <w:shd w:val="clear" w:color="auto" w:fill="auto"/>
            <w:vAlign w:val="center"/>
          </w:tcPr>
          <w:p>
            <w:pPr>
              <w:spacing w:line="300" w:lineRule="exact"/>
              <w:jc w:val="left"/>
              <w:rPr>
                <w:rFonts w:ascii="方正书宋_GBK" w:eastAsia="方正书宋_GBK"/>
                <w:b/>
                <w:sz w:val="21"/>
                <w:szCs w:val="21"/>
              </w:rPr>
            </w:pPr>
          </w:p>
        </w:tc>
        <w:tc>
          <w:tcPr>
            <w:tcW w:w="829" w:type="dxa"/>
            <w:shd w:val="clear" w:color="auto" w:fill="auto"/>
            <w:vAlign w:val="center"/>
          </w:tcPr>
          <w:p>
            <w:pPr>
              <w:spacing w:line="300" w:lineRule="exact"/>
              <w:jc w:val="left"/>
              <w:rPr>
                <w:rFonts w:ascii="方正书宋_GBK" w:eastAsia="方正书宋_GBK"/>
                <w:b/>
                <w:sz w:val="21"/>
                <w:szCs w:val="21"/>
              </w:rPr>
            </w:pPr>
          </w:p>
        </w:tc>
        <w:tc>
          <w:tcPr>
            <w:tcW w:w="716" w:type="dxa"/>
            <w:shd w:val="clear" w:color="auto" w:fill="auto"/>
            <w:vAlign w:val="center"/>
          </w:tcPr>
          <w:p>
            <w:pPr>
              <w:spacing w:line="300" w:lineRule="exact"/>
              <w:jc w:val="right"/>
              <w:rPr>
                <w:rFonts w:ascii="方正书宋_GBK" w:eastAsia="方正书宋_GBK"/>
                <w:b/>
                <w:sz w:val="21"/>
                <w:szCs w:val="21"/>
              </w:rPr>
            </w:pPr>
          </w:p>
        </w:tc>
        <w:tc>
          <w:tcPr>
            <w:tcW w:w="804" w:type="dxa"/>
            <w:shd w:val="clear" w:color="auto" w:fill="auto"/>
            <w:vAlign w:val="center"/>
          </w:tcPr>
          <w:p>
            <w:pPr>
              <w:spacing w:line="300" w:lineRule="exact"/>
              <w:jc w:val="right"/>
              <w:rPr>
                <w:rFonts w:ascii="方正书宋_GBK" w:eastAsia="方正书宋_GBK"/>
                <w:b/>
                <w:sz w:val="21"/>
                <w:szCs w:val="21"/>
              </w:rPr>
            </w:pPr>
          </w:p>
        </w:tc>
        <w:tc>
          <w:tcPr>
            <w:tcW w:w="905" w:type="dxa"/>
            <w:shd w:val="clear" w:color="auto" w:fill="auto"/>
            <w:vAlign w:val="center"/>
          </w:tcPr>
          <w:p>
            <w:pPr>
              <w:spacing w:line="300" w:lineRule="exact"/>
              <w:jc w:val="right"/>
              <w:rPr>
                <w:rFonts w:ascii="方正书宋_GBK" w:eastAsia="方正书宋_GBK"/>
                <w:b/>
                <w:sz w:val="21"/>
                <w:szCs w:val="21"/>
              </w:rPr>
            </w:pPr>
            <w:r>
              <w:rPr>
                <w:rFonts w:ascii="方正书宋_GBK" w:eastAsia="方正书宋_GBK"/>
                <w:b/>
                <w:sz w:val="21"/>
                <w:szCs w:val="21"/>
              </w:rPr>
              <w:t>128.00</w:t>
            </w:r>
          </w:p>
        </w:tc>
        <w:tc>
          <w:tcPr>
            <w:tcW w:w="905" w:type="dxa"/>
            <w:shd w:val="clear" w:color="auto" w:fill="auto"/>
            <w:vAlign w:val="center"/>
          </w:tcPr>
          <w:p>
            <w:pPr>
              <w:spacing w:line="300" w:lineRule="exact"/>
              <w:jc w:val="right"/>
              <w:rPr>
                <w:rFonts w:ascii="方正书宋_GBK" w:eastAsia="方正书宋_GBK"/>
                <w:b/>
                <w:sz w:val="21"/>
                <w:szCs w:val="21"/>
              </w:rPr>
            </w:pPr>
            <w:r>
              <w:rPr>
                <w:rFonts w:ascii="方正书宋_GBK" w:eastAsia="方正书宋_GBK"/>
                <w:b/>
                <w:sz w:val="21"/>
                <w:szCs w:val="21"/>
              </w:rPr>
              <w:t>128.00</w:t>
            </w:r>
          </w:p>
        </w:tc>
        <w:tc>
          <w:tcPr>
            <w:tcW w:w="905" w:type="dxa"/>
            <w:shd w:val="clear" w:color="auto" w:fill="auto"/>
            <w:vAlign w:val="center"/>
          </w:tcPr>
          <w:p>
            <w:pPr>
              <w:spacing w:line="300" w:lineRule="exact"/>
              <w:jc w:val="right"/>
              <w:rPr>
                <w:rFonts w:ascii="方正书宋_GBK" w:eastAsia="方正书宋_GBK"/>
                <w:b/>
                <w:sz w:val="21"/>
                <w:szCs w:val="21"/>
              </w:rPr>
            </w:pPr>
            <w:r>
              <w:rPr>
                <w:rFonts w:ascii="方正书宋_GBK" w:eastAsia="方正书宋_GBK"/>
                <w:b/>
                <w:sz w:val="21"/>
                <w:szCs w:val="21"/>
              </w:rPr>
              <w:t>128.00</w:t>
            </w:r>
          </w:p>
        </w:tc>
        <w:tc>
          <w:tcPr>
            <w:tcW w:w="905" w:type="dxa"/>
            <w:shd w:val="clear" w:color="auto" w:fill="auto"/>
            <w:vAlign w:val="center"/>
          </w:tcPr>
          <w:p>
            <w:pPr>
              <w:spacing w:line="300" w:lineRule="exact"/>
              <w:jc w:val="right"/>
              <w:rPr>
                <w:rFonts w:ascii="方正书宋_GBK" w:eastAsia="方正书宋_GBK"/>
                <w:b/>
                <w:sz w:val="21"/>
                <w:szCs w:val="21"/>
              </w:rPr>
            </w:pPr>
          </w:p>
        </w:tc>
        <w:tc>
          <w:tcPr>
            <w:tcW w:w="908" w:type="dxa"/>
            <w:shd w:val="clear" w:color="auto" w:fill="auto"/>
            <w:vAlign w:val="center"/>
          </w:tcPr>
          <w:p>
            <w:pPr>
              <w:spacing w:line="300" w:lineRule="exact"/>
              <w:jc w:val="right"/>
              <w:rPr>
                <w:rFonts w:ascii="方正书宋_GBK" w:eastAsia="方正书宋_GBK"/>
                <w:b/>
                <w:sz w:val="21"/>
                <w:szCs w:val="21"/>
              </w:rPr>
            </w:pPr>
          </w:p>
        </w:tc>
        <w:tc>
          <w:tcPr>
            <w:tcW w:w="914" w:type="dxa"/>
            <w:shd w:val="clear" w:color="auto" w:fill="auto"/>
            <w:vAlign w:val="center"/>
          </w:tcPr>
          <w:p>
            <w:pPr>
              <w:spacing w:line="300" w:lineRule="exact"/>
              <w:jc w:val="right"/>
              <w:rPr>
                <w:rFonts w:ascii="方正书宋_GBK" w:eastAsia="方正书宋_GBK"/>
                <w:b/>
                <w:sz w:val="21"/>
                <w:szCs w:val="21"/>
              </w:rPr>
            </w:pPr>
          </w:p>
        </w:tc>
        <w:tc>
          <w:tcPr>
            <w:tcW w:w="870" w:type="dxa"/>
            <w:shd w:val="clear" w:color="auto" w:fill="auto"/>
            <w:vAlign w:val="center"/>
          </w:tcPr>
          <w:p>
            <w:pPr>
              <w:spacing w:line="300" w:lineRule="exact"/>
              <w:jc w:val="right"/>
              <w:rPr>
                <w:rFonts w:ascii="方正书宋_GBK" w:eastAsia="方正书宋_GBK"/>
                <w:b/>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0" w:hRule="atLeast"/>
          <w:jc w:val="center"/>
        </w:trPr>
        <w:tc>
          <w:tcPr>
            <w:tcW w:w="2308"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石家庄市鹿泉区发展改革局小计</w:t>
            </w:r>
          </w:p>
        </w:tc>
        <w:tc>
          <w:tcPr>
            <w:tcW w:w="1036" w:type="dxa"/>
            <w:shd w:val="clear" w:color="auto" w:fill="auto"/>
            <w:vAlign w:val="center"/>
          </w:tcPr>
          <w:p>
            <w:pPr>
              <w:spacing w:line="300" w:lineRule="exact"/>
              <w:jc w:val="right"/>
              <w:rPr>
                <w:rFonts w:ascii="方正书宋_GBK" w:eastAsia="方正书宋_GBK"/>
                <w:b/>
                <w:sz w:val="21"/>
                <w:szCs w:val="21"/>
              </w:rPr>
            </w:pPr>
          </w:p>
        </w:tc>
        <w:tc>
          <w:tcPr>
            <w:tcW w:w="918" w:type="dxa"/>
            <w:shd w:val="clear" w:color="auto" w:fill="auto"/>
            <w:vAlign w:val="center"/>
          </w:tcPr>
          <w:p>
            <w:pPr>
              <w:spacing w:line="300" w:lineRule="exact"/>
              <w:jc w:val="left"/>
              <w:rPr>
                <w:rFonts w:ascii="方正书宋_GBK" w:eastAsia="方正书宋_GBK"/>
                <w:b/>
                <w:sz w:val="21"/>
                <w:szCs w:val="21"/>
              </w:rPr>
            </w:pPr>
          </w:p>
        </w:tc>
        <w:tc>
          <w:tcPr>
            <w:tcW w:w="816" w:type="dxa"/>
            <w:shd w:val="clear" w:color="auto" w:fill="auto"/>
            <w:vAlign w:val="center"/>
          </w:tcPr>
          <w:p>
            <w:pPr>
              <w:spacing w:line="300" w:lineRule="exact"/>
              <w:jc w:val="left"/>
              <w:rPr>
                <w:rFonts w:ascii="方正书宋_GBK" w:eastAsia="方正书宋_GBK"/>
                <w:b/>
                <w:sz w:val="21"/>
                <w:szCs w:val="21"/>
              </w:rPr>
            </w:pPr>
          </w:p>
        </w:tc>
        <w:tc>
          <w:tcPr>
            <w:tcW w:w="829" w:type="dxa"/>
            <w:shd w:val="clear" w:color="auto" w:fill="auto"/>
            <w:vAlign w:val="center"/>
          </w:tcPr>
          <w:p>
            <w:pPr>
              <w:spacing w:line="300" w:lineRule="exact"/>
              <w:jc w:val="left"/>
              <w:rPr>
                <w:rFonts w:ascii="方正书宋_GBK" w:eastAsia="方正书宋_GBK"/>
                <w:b/>
                <w:sz w:val="21"/>
                <w:szCs w:val="21"/>
              </w:rPr>
            </w:pPr>
          </w:p>
        </w:tc>
        <w:tc>
          <w:tcPr>
            <w:tcW w:w="716" w:type="dxa"/>
            <w:shd w:val="clear" w:color="auto" w:fill="auto"/>
            <w:vAlign w:val="center"/>
          </w:tcPr>
          <w:p>
            <w:pPr>
              <w:spacing w:line="300" w:lineRule="exact"/>
              <w:jc w:val="right"/>
              <w:rPr>
                <w:rFonts w:ascii="方正书宋_GBK" w:eastAsia="方正书宋_GBK"/>
                <w:b/>
                <w:sz w:val="21"/>
                <w:szCs w:val="21"/>
              </w:rPr>
            </w:pPr>
          </w:p>
        </w:tc>
        <w:tc>
          <w:tcPr>
            <w:tcW w:w="804" w:type="dxa"/>
            <w:shd w:val="clear" w:color="auto" w:fill="auto"/>
            <w:vAlign w:val="center"/>
          </w:tcPr>
          <w:p>
            <w:pPr>
              <w:spacing w:line="300" w:lineRule="exact"/>
              <w:jc w:val="right"/>
              <w:rPr>
                <w:rFonts w:ascii="方正书宋_GBK" w:eastAsia="方正书宋_GBK"/>
                <w:b/>
                <w:sz w:val="21"/>
                <w:szCs w:val="21"/>
              </w:rPr>
            </w:pPr>
          </w:p>
        </w:tc>
        <w:tc>
          <w:tcPr>
            <w:tcW w:w="905" w:type="dxa"/>
            <w:shd w:val="clear" w:color="auto" w:fill="auto"/>
            <w:vAlign w:val="center"/>
          </w:tcPr>
          <w:p>
            <w:pPr>
              <w:spacing w:line="300" w:lineRule="exact"/>
              <w:jc w:val="right"/>
              <w:rPr>
                <w:rFonts w:ascii="方正书宋_GBK" w:eastAsia="方正书宋_GBK"/>
                <w:b/>
                <w:sz w:val="21"/>
                <w:szCs w:val="21"/>
              </w:rPr>
            </w:pPr>
            <w:r>
              <w:rPr>
                <w:rFonts w:ascii="方正书宋_GBK" w:eastAsia="方正书宋_GBK"/>
                <w:b/>
                <w:sz w:val="21"/>
                <w:szCs w:val="21"/>
              </w:rPr>
              <w:t>128.00</w:t>
            </w:r>
          </w:p>
        </w:tc>
        <w:tc>
          <w:tcPr>
            <w:tcW w:w="905" w:type="dxa"/>
            <w:shd w:val="clear" w:color="auto" w:fill="auto"/>
            <w:vAlign w:val="center"/>
          </w:tcPr>
          <w:p>
            <w:pPr>
              <w:spacing w:line="300" w:lineRule="exact"/>
              <w:jc w:val="right"/>
              <w:rPr>
                <w:rFonts w:ascii="方正书宋_GBK" w:eastAsia="方正书宋_GBK"/>
                <w:b/>
                <w:sz w:val="21"/>
                <w:szCs w:val="21"/>
              </w:rPr>
            </w:pPr>
            <w:r>
              <w:rPr>
                <w:rFonts w:ascii="方正书宋_GBK" w:eastAsia="方正书宋_GBK"/>
                <w:b/>
                <w:sz w:val="21"/>
                <w:szCs w:val="21"/>
              </w:rPr>
              <w:t>128.00</w:t>
            </w:r>
          </w:p>
        </w:tc>
        <w:tc>
          <w:tcPr>
            <w:tcW w:w="905" w:type="dxa"/>
            <w:shd w:val="clear" w:color="auto" w:fill="auto"/>
            <w:vAlign w:val="center"/>
          </w:tcPr>
          <w:p>
            <w:pPr>
              <w:spacing w:line="300" w:lineRule="exact"/>
              <w:jc w:val="right"/>
              <w:rPr>
                <w:rFonts w:ascii="方正书宋_GBK" w:eastAsia="方正书宋_GBK"/>
                <w:b/>
                <w:sz w:val="21"/>
                <w:szCs w:val="21"/>
              </w:rPr>
            </w:pPr>
            <w:r>
              <w:rPr>
                <w:rFonts w:ascii="方正书宋_GBK" w:eastAsia="方正书宋_GBK"/>
                <w:b/>
                <w:sz w:val="21"/>
                <w:szCs w:val="21"/>
              </w:rPr>
              <w:t>128.00</w:t>
            </w:r>
          </w:p>
        </w:tc>
        <w:tc>
          <w:tcPr>
            <w:tcW w:w="905" w:type="dxa"/>
            <w:shd w:val="clear" w:color="auto" w:fill="auto"/>
            <w:vAlign w:val="center"/>
          </w:tcPr>
          <w:p>
            <w:pPr>
              <w:spacing w:line="300" w:lineRule="exact"/>
              <w:jc w:val="right"/>
              <w:rPr>
                <w:rFonts w:ascii="方正书宋_GBK" w:eastAsia="方正书宋_GBK"/>
                <w:b/>
                <w:sz w:val="21"/>
                <w:szCs w:val="21"/>
              </w:rPr>
            </w:pPr>
          </w:p>
        </w:tc>
        <w:tc>
          <w:tcPr>
            <w:tcW w:w="908" w:type="dxa"/>
            <w:shd w:val="clear" w:color="auto" w:fill="auto"/>
            <w:vAlign w:val="center"/>
          </w:tcPr>
          <w:p>
            <w:pPr>
              <w:spacing w:line="300" w:lineRule="exact"/>
              <w:jc w:val="right"/>
              <w:rPr>
                <w:rFonts w:ascii="方正书宋_GBK" w:eastAsia="方正书宋_GBK"/>
                <w:b/>
                <w:sz w:val="21"/>
                <w:szCs w:val="21"/>
              </w:rPr>
            </w:pPr>
          </w:p>
        </w:tc>
        <w:tc>
          <w:tcPr>
            <w:tcW w:w="914" w:type="dxa"/>
            <w:shd w:val="clear" w:color="auto" w:fill="auto"/>
            <w:vAlign w:val="center"/>
          </w:tcPr>
          <w:p>
            <w:pPr>
              <w:spacing w:line="300" w:lineRule="exact"/>
              <w:jc w:val="right"/>
              <w:rPr>
                <w:rFonts w:ascii="方正书宋_GBK" w:eastAsia="方正书宋_GBK"/>
                <w:b/>
                <w:sz w:val="21"/>
                <w:szCs w:val="21"/>
              </w:rPr>
            </w:pPr>
          </w:p>
        </w:tc>
        <w:tc>
          <w:tcPr>
            <w:tcW w:w="870" w:type="dxa"/>
            <w:shd w:val="clear" w:color="auto" w:fill="auto"/>
            <w:vAlign w:val="center"/>
          </w:tcPr>
          <w:p>
            <w:pPr>
              <w:spacing w:line="300" w:lineRule="exact"/>
              <w:jc w:val="right"/>
              <w:rPr>
                <w:rFonts w:ascii="方正书宋_GBK" w:eastAsia="方正书宋_GBK"/>
                <w:b/>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0" w:hRule="atLeast"/>
          <w:jc w:val="center"/>
        </w:trPr>
        <w:tc>
          <w:tcPr>
            <w:tcW w:w="2308"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招标智慧城市建设社会资本方</w:t>
            </w:r>
          </w:p>
        </w:tc>
        <w:tc>
          <w:tcPr>
            <w:tcW w:w="1036"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20.00</w:t>
            </w:r>
          </w:p>
        </w:tc>
        <w:tc>
          <w:tcPr>
            <w:tcW w:w="918"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运行维护服务</w:t>
            </w:r>
          </w:p>
        </w:tc>
        <w:tc>
          <w:tcPr>
            <w:tcW w:w="816" w:type="dxa"/>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C0206</w:t>
            </w:r>
          </w:p>
        </w:tc>
        <w:tc>
          <w:tcPr>
            <w:tcW w:w="829" w:type="dxa"/>
            <w:shd w:val="clear" w:color="auto" w:fill="auto"/>
            <w:vAlign w:val="center"/>
          </w:tcPr>
          <w:p>
            <w:pPr>
              <w:spacing w:line="300" w:lineRule="exact"/>
              <w:jc w:val="left"/>
              <w:rPr>
                <w:rFonts w:ascii="方正书宋_GBK" w:eastAsia="方正书宋_GBK"/>
                <w:sz w:val="21"/>
                <w:szCs w:val="21"/>
              </w:rPr>
            </w:pPr>
          </w:p>
        </w:tc>
        <w:tc>
          <w:tcPr>
            <w:tcW w:w="716"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1.00</w:t>
            </w:r>
          </w:p>
        </w:tc>
        <w:tc>
          <w:tcPr>
            <w:tcW w:w="804"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20.00</w:t>
            </w:r>
          </w:p>
        </w:tc>
        <w:tc>
          <w:tcPr>
            <w:tcW w:w="905"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20.00</w:t>
            </w:r>
          </w:p>
        </w:tc>
        <w:tc>
          <w:tcPr>
            <w:tcW w:w="905"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20.00</w:t>
            </w:r>
          </w:p>
        </w:tc>
        <w:tc>
          <w:tcPr>
            <w:tcW w:w="905"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20.00</w:t>
            </w:r>
          </w:p>
        </w:tc>
        <w:tc>
          <w:tcPr>
            <w:tcW w:w="905" w:type="dxa"/>
            <w:shd w:val="clear" w:color="auto" w:fill="auto"/>
            <w:vAlign w:val="center"/>
          </w:tcPr>
          <w:p>
            <w:pPr>
              <w:spacing w:line="300" w:lineRule="exact"/>
              <w:jc w:val="right"/>
              <w:rPr>
                <w:rFonts w:ascii="方正书宋_GBK" w:eastAsia="方正书宋_GBK"/>
                <w:sz w:val="21"/>
                <w:szCs w:val="21"/>
              </w:rPr>
            </w:pPr>
          </w:p>
        </w:tc>
        <w:tc>
          <w:tcPr>
            <w:tcW w:w="908" w:type="dxa"/>
            <w:shd w:val="clear" w:color="auto" w:fill="auto"/>
            <w:vAlign w:val="center"/>
          </w:tcPr>
          <w:p>
            <w:pPr>
              <w:spacing w:line="300" w:lineRule="exact"/>
              <w:jc w:val="right"/>
              <w:rPr>
                <w:rFonts w:ascii="方正书宋_GBK" w:eastAsia="方正书宋_GBK"/>
                <w:sz w:val="21"/>
                <w:szCs w:val="21"/>
              </w:rPr>
            </w:pPr>
          </w:p>
        </w:tc>
        <w:tc>
          <w:tcPr>
            <w:tcW w:w="914" w:type="dxa"/>
            <w:shd w:val="clear" w:color="auto" w:fill="auto"/>
            <w:vAlign w:val="center"/>
          </w:tcPr>
          <w:p>
            <w:pPr>
              <w:spacing w:line="300" w:lineRule="exact"/>
              <w:jc w:val="right"/>
              <w:rPr>
                <w:rFonts w:ascii="方正书宋_GBK" w:eastAsia="方正书宋_GBK"/>
                <w:sz w:val="21"/>
                <w:szCs w:val="21"/>
              </w:rPr>
            </w:pPr>
          </w:p>
        </w:tc>
        <w:tc>
          <w:tcPr>
            <w:tcW w:w="870" w:type="dxa"/>
            <w:shd w:val="clear" w:color="auto" w:fill="auto"/>
            <w:vAlign w:val="center"/>
          </w:tcPr>
          <w:p>
            <w:pPr>
              <w:spacing w:line="300" w:lineRule="exact"/>
              <w:jc w:val="righ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0" w:hRule="atLeast"/>
          <w:jc w:val="center"/>
        </w:trPr>
        <w:tc>
          <w:tcPr>
            <w:tcW w:w="2308"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智慧旅游平台运行费</w:t>
            </w:r>
          </w:p>
        </w:tc>
        <w:tc>
          <w:tcPr>
            <w:tcW w:w="1036"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60.00</w:t>
            </w:r>
          </w:p>
        </w:tc>
        <w:tc>
          <w:tcPr>
            <w:tcW w:w="918"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运营服务</w:t>
            </w:r>
          </w:p>
        </w:tc>
        <w:tc>
          <w:tcPr>
            <w:tcW w:w="816" w:type="dxa"/>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C0207</w:t>
            </w:r>
          </w:p>
        </w:tc>
        <w:tc>
          <w:tcPr>
            <w:tcW w:w="829" w:type="dxa"/>
            <w:shd w:val="clear" w:color="auto" w:fill="auto"/>
            <w:vAlign w:val="center"/>
          </w:tcPr>
          <w:p>
            <w:pPr>
              <w:spacing w:line="300" w:lineRule="exact"/>
              <w:jc w:val="left"/>
              <w:rPr>
                <w:rFonts w:ascii="方正书宋_GBK" w:eastAsia="方正书宋_GBK"/>
                <w:sz w:val="21"/>
                <w:szCs w:val="21"/>
              </w:rPr>
            </w:pPr>
          </w:p>
        </w:tc>
        <w:tc>
          <w:tcPr>
            <w:tcW w:w="716"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1.00</w:t>
            </w:r>
          </w:p>
        </w:tc>
        <w:tc>
          <w:tcPr>
            <w:tcW w:w="804"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60.00</w:t>
            </w:r>
          </w:p>
        </w:tc>
        <w:tc>
          <w:tcPr>
            <w:tcW w:w="905"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60.00</w:t>
            </w:r>
          </w:p>
        </w:tc>
        <w:tc>
          <w:tcPr>
            <w:tcW w:w="905"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60.00</w:t>
            </w:r>
          </w:p>
        </w:tc>
        <w:tc>
          <w:tcPr>
            <w:tcW w:w="905"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60.00</w:t>
            </w:r>
          </w:p>
        </w:tc>
        <w:tc>
          <w:tcPr>
            <w:tcW w:w="905" w:type="dxa"/>
            <w:shd w:val="clear" w:color="auto" w:fill="auto"/>
            <w:vAlign w:val="center"/>
          </w:tcPr>
          <w:p>
            <w:pPr>
              <w:spacing w:line="300" w:lineRule="exact"/>
              <w:jc w:val="right"/>
              <w:rPr>
                <w:rFonts w:ascii="方正书宋_GBK" w:eastAsia="方正书宋_GBK"/>
                <w:sz w:val="21"/>
                <w:szCs w:val="21"/>
              </w:rPr>
            </w:pPr>
          </w:p>
        </w:tc>
        <w:tc>
          <w:tcPr>
            <w:tcW w:w="908" w:type="dxa"/>
            <w:shd w:val="clear" w:color="auto" w:fill="auto"/>
            <w:vAlign w:val="center"/>
          </w:tcPr>
          <w:p>
            <w:pPr>
              <w:spacing w:line="300" w:lineRule="exact"/>
              <w:jc w:val="right"/>
              <w:rPr>
                <w:rFonts w:ascii="方正书宋_GBK" w:eastAsia="方正书宋_GBK"/>
                <w:sz w:val="21"/>
                <w:szCs w:val="21"/>
              </w:rPr>
            </w:pPr>
          </w:p>
        </w:tc>
        <w:tc>
          <w:tcPr>
            <w:tcW w:w="914" w:type="dxa"/>
            <w:shd w:val="clear" w:color="auto" w:fill="auto"/>
            <w:vAlign w:val="center"/>
          </w:tcPr>
          <w:p>
            <w:pPr>
              <w:spacing w:line="300" w:lineRule="exact"/>
              <w:jc w:val="right"/>
              <w:rPr>
                <w:rFonts w:ascii="方正书宋_GBK" w:eastAsia="方正书宋_GBK"/>
                <w:sz w:val="21"/>
                <w:szCs w:val="21"/>
              </w:rPr>
            </w:pPr>
          </w:p>
        </w:tc>
        <w:tc>
          <w:tcPr>
            <w:tcW w:w="870" w:type="dxa"/>
            <w:shd w:val="clear" w:color="auto" w:fill="auto"/>
            <w:vAlign w:val="center"/>
          </w:tcPr>
          <w:p>
            <w:pPr>
              <w:spacing w:line="300" w:lineRule="exact"/>
              <w:jc w:val="righ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7" w:hRule="atLeast"/>
          <w:jc w:val="center"/>
        </w:trPr>
        <w:tc>
          <w:tcPr>
            <w:tcW w:w="2308"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智慧城市建设项目监理</w:t>
            </w:r>
          </w:p>
        </w:tc>
        <w:tc>
          <w:tcPr>
            <w:tcW w:w="1036" w:type="dxa"/>
            <w:shd w:val="clear" w:color="auto" w:fill="auto"/>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48.00</w:t>
            </w:r>
          </w:p>
        </w:tc>
        <w:tc>
          <w:tcPr>
            <w:tcW w:w="918"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信息化工程监理服务</w:t>
            </w:r>
          </w:p>
        </w:tc>
        <w:tc>
          <w:tcPr>
            <w:tcW w:w="816" w:type="dxa"/>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C0204</w:t>
            </w:r>
          </w:p>
        </w:tc>
        <w:tc>
          <w:tcPr>
            <w:tcW w:w="829" w:type="dxa"/>
            <w:shd w:val="clear" w:color="auto" w:fill="auto"/>
            <w:vAlign w:val="center"/>
          </w:tcPr>
          <w:p>
            <w:pPr>
              <w:spacing w:line="300" w:lineRule="exact"/>
              <w:jc w:val="left"/>
              <w:rPr>
                <w:rFonts w:ascii="方正书宋_GBK" w:eastAsia="方正书宋_GBK"/>
                <w:sz w:val="21"/>
                <w:szCs w:val="21"/>
              </w:rPr>
            </w:pPr>
          </w:p>
        </w:tc>
        <w:tc>
          <w:tcPr>
            <w:tcW w:w="716"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1.00</w:t>
            </w:r>
          </w:p>
        </w:tc>
        <w:tc>
          <w:tcPr>
            <w:tcW w:w="804"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48.00</w:t>
            </w:r>
          </w:p>
        </w:tc>
        <w:tc>
          <w:tcPr>
            <w:tcW w:w="905"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48.00</w:t>
            </w:r>
          </w:p>
        </w:tc>
        <w:tc>
          <w:tcPr>
            <w:tcW w:w="905"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48.00</w:t>
            </w:r>
          </w:p>
        </w:tc>
        <w:tc>
          <w:tcPr>
            <w:tcW w:w="905"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48.00</w:t>
            </w:r>
          </w:p>
        </w:tc>
        <w:tc>
          <w:tcPr>
            <w:tcW w:w="905" w:type="dxa"/>
            <w:shd w:val="clear" w:color="auto" w:fill="auto"/>
            <w:vAlign w:val="center"/>
          </w:tcPr>
          <w:p>
            <w:pPr>
              <w:spacing w:line="300" w:lineRule="exact"/>
              <w:jc w:val="right"/>
              <w:rPr>
                <w:rFonts w:ascii="方正书宋_GBK" w:eastAsia="方正书宋_GBK"/>
                <w:sz w:val="21"/>
                <w:szCs w:val="21"/>
              </w:rPr>
            </w:pPr>
          </w:p>
        </w:tc>
        <w:tc>
          <w:tcPr>
            <w:tcW w:w="908" w:type="dxa"/>
            <w:shd w:val="clear" w:color="auto" w:fill="auto"/>
            <w:vAlign w:val="center"/>
          </w:tcPr>
          <w:p>
            <w:pPr>
              <w:spacing w:line="300" w:lineRule="exact"/>
              <w:jc w:val="right"/>
              <w:rPr>
                <w:rFonts w:ascii="方正书宋_GBK" w:eastAsia="方正书宋_GBK"/>
                <w:sz w:val="21"/>
                <w:szCs w:val="21"/>
              </w:rPr>
            </w:pPr>
          </w:p>
        </w:tc>
        <w:tc>
          <w:tcPr>
            <w:tcW w:w="914" w:type="dxa"/>
            <w:shd w:val="clear" w:color="auto" w:fill="auto"/>
            <w:vAlign w:val="center"/>
          </w:tcPr>
          <w:p>
            <w:pPr>
              <w:spacing w:line="300" w:lineRule="exact"/>
              <w:jc w:val="right"/>
              <w:rPr>
                <w:rFonts w:ascii="方正书宋_GBK" w:eastAsia="方正书宋_GBK"/>
                <w:sz w:val="21"/>
                <w:szCs w:val="21"/>
              </w:rPr>
            </w:pPr>
          </w:p>
        </w:tc>
        <w:tc>
          <w:tcPr>
            <w:tcW w:w="870" w:type="dxa"/>
            <w:shd w:val="clear" w:color="auto" w:fill="auto"/>
            <w:vAlign w:val="center"/>
          </w:tcPr>
          <w:p>
            <w:pPr>
              <w:spacing w:line="300" w:lineRule="exact"/>
              <w:jc w:val="right"/>
              <w:rPr>
                <w:rFonts w:ascii="方正书宋_GBK" w:eastAsia="方正书宋_GBK"/>
                <w:sz w:val="21"/>
                <w:szCs w:val="21"/>
              </w:rPr>
            </w:pPr>
          </w:p>
        </w:tc>
      </w:tr>
    </w:tbl>
    <w:p>
      <w:pPr>
        <w:autoSpaceDE w:val="0"/>
        <w:autoSpaceDN w:val="0"/>
        <w:adjustRightInd w:val="0"/>
        <w:jc w:val="left"/>
        <w:rPr>
          <w:rFonts w:ascii="黑体" w:hAnsi="黑体" w:eastAsia="黑体" w:cs="Times New Roman"/>
          <w:sz w:val="32"/>
          <w:szCs w:val="32"/>
        </w:rPr>
        <w:sectPr>
          <w:pgSz w:w="16838" w:h="11906" w:orient="landscape"/>
          <w:pgMar w:top="1800" w:right="1440" w:bottom="1800" w:left="1440" w:header="851" w:footer="992" w:gutter="0"/>
          <w:cols w:space="425" w:num="1"/>
          <w:docGrid w:type="lines" w:linePitch="312" w:charSpace="0"/>
        </w:sectPr>
      </w:pPr>
    </w:p>
    <w:p>
      <w:pPr>
        <w:autoSpaceDE w:val="0"/>
        <w:autoSpaceDN w:val="0"/>
        <w:adjustRightInd w:val="0"/>
        <w:jc w:val="left"/>
        <w:rPr>
          <w:rFonts w:hint="eastAsia" w:ascii="黑体" w:hAnsi="黑体" w:eastAsia="黑体" w:cs="Times New Roman"/>
          <w:sz w:val="32"/>
          <w:szCs w:val="32"/>
        </w:rPr>
      </w:pPr>
      <w:r>
        <w:rPr>
          <w:rFonts w:hint="eastAsia" w:ascii="黑体" w:hAnsi="黑体" w:eastAsia="黑体" w:cs="Times New Roman"/>
          <w:sz w:val="32"/>
          <w:szCs w:val="32"/>
        </w:rPr>
        <w:t>七、国有资产信息</w:t>
      </w:r>
    </w:p>
    <w:p>
      <w:pPr>
        <w:autoSpaceDE w:val="0"/>
        <w:autoSpaceDN w:val="0"/>
        <w:adjustRightInd w:val="0"/>
        <w:ind w:firstLine="480" w:firstLineChars="150"/>
        <w:jc w:val="left"/>
        <w:rPr>
          <w:rFonts w:hint="eastAsia" w:ascii="黑体" w:hAnsi="黑体" w:eastAsia="仿宋" w:cs="Times New Roman"/>
          <w:sz w:val="32"/>
          <w:szCs w:val="32"/>
          <w:lang w:eastAsia="zh-CN"/>
        </w:rPr>
      </w:pPr>
      <w:r>
        <w:rPr>
          <w:rFonts w:hint="eastAsia" w:ascii="仿宋_GB2312" w:hAnsi="仿宋" w:eastAsia="仿宋_GB2312"/>
          <w:sz w:val="32"/>
          <w:szCs w:val="32"/>
        </w:rPr>
        <w:t>2018年末固定资产249.16万元。其中：汽车 73.20万元、其他固定资产175.96万元。</w:t>
      </w:r>
      <w:r>
        <w:rPr>
          <w:rFonts w:ascii="Times New Roman" w:hAnsi="Times New Roman" w:eastAsia="仿宋" w:cs="Times New Roman"/>
          <w:color w:val="000000"/>
          <w:sz w:val="32"/>
          <w:szCs w:val="32"/>
        </w:rPr>
        <w:t>本年度各单位</w:t>
      </w:r>
      <w:r>
        <w:rPr>
          <w:rFonts w:hint="eastAsia" w:ascii="Times New Roman" w:hAnsi="Times New Roman" w:eastAsia="仿宋" w:cs="Times New Roman"/>
          <w:color w:val="000000"/>
          <w:sz w:val="32"/>
          <w:szCs w:val="32"/>
        </w:rPr>
        <w:t>（处室）</w:t>
      </w:r>
      <w:r>
        <w:rPr>
          <w:rFonts w:hint="eastAsia" w:ascii="Times New Roman" w:hAnsi="Times New Roman" w:eastAsia="仿宋" w:cs="Times New Roman"/>
          <w:color w:val="000000"/>
          <w:sz w:val="32"/>
          <w:szCs w:val="32"/>
          <w:lang w:eastAsia="zh-CN"/>
        </w:rPr>
        <w:t>无</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lang w:eastAsia="zh-CN"/>
        </w:rPr>
        <w:t>。</w:t>
      </w:r>
    </w:p>
    <w:tbl>
      <w:tblPr>
        <w:tblStyle w:val="8"/>
        <w:tblW w:w="8220" w:type="dxa"/>
        <w:tblInd w:w="93" w:type="dxa"/>
        <w:tblLayout w:type="fixed"/>
        <w:tblCellMar>
          <w:top w:w="0" w:type="dxa"/>
          <w:left w:w="108" w:type="dxa"/>
          <w:bottom w:w="0" w:type="dxa"/>
          <w:right w:w="108" w:type="dxa"/>
        </w:tblCellMar>
      </w:tblPr>
      <w:tblGrid>
        <w:gridCol w:w="3240"/>
        <w:gridCol w:w="1551"/>
        <w:gridCol w:w="3429"/>
      </w:tblGrid>
      <w:tr>
        <w:tblPrEx>
          <w:tblCellMar>
            <w:top w:w="0" w:type="dxa"/>
            <w:left w:w="108" w:type="dxa"/>
            <w:bottom w:w="0" w:type="dxa"/>
            <w:right w:w="108" w:type="dxa"/>
          </w:tblCellMar>
        </w:tblPrEx>
        <w:trPr>
          <w:trHeight w:val="509" w:hRule="atLeast"/>
        </w:trPr>
        <w:tc>
          <w:tcPr>
            <w:tcW w:w="8220" w:type="dxa"/>
            <w:gridSpan w:val="3"/>
            <w:tcBorders>
              <w:top w:val="nil"/>
              <w:left w:val="nil"/>
              <w:bottom w:val="nil"/>
              <w:right w:val="nil"/>
            </w:tcBorders>
            <w:shd w:val="clear" w:color="auto" w:fill="auto"/>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固定资产占用情况表</w:t>
            </w:r>
          </w:p>
        </w:tc>
      </w:tr>
      <w:tr>
        <w:tblPrEx>
          <w:tblCellMar>
            <w:top w:w="0" w:type="dxa"/>
            <w:left w:w="108" w:type="dxa"/>
            <w:bottom w:w="0" w:type="dxa"/>
            <w:right w:w="108" w:type="dxa"/>
          </w:tblCellMar>
        </w:tblPrEx>
        <w:trPr>
          <w:trHeight w:val="369" w:hRule="atLeast"/>
        </w:trPr>
        <w:tc>
          <w:tcPr>
            <w:tcW w:w="4791" w:type="dxa"/>
            <w:gridSpan w:val="2"/>
            <w:tcBorders>
              <w:top w:val="nil"/>
              <w:left w:val="nil"/>
              <w:bottom w:val="nil"/>
              <w:right w:val="nil"/>
            </w:tcBorders>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编制部门：石家庄市鹿泉区发展改革局</w:t>
            </w:r>
          </w:p>
        </w:tc>
        <w:tc>
          <w:tcPr>
            <w:tcW w:w="3429" w:type="dxa"/>
            <w:tcBorders>
              <w:top w:val="nil"/>
              <w:left w:val="nil"/>
              <w:bottom w:val="nil"/>
              <w:right w:val="nil"/>
            </w:tcBorders>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xml:space="preserve">截止时间：2018年12月31日  </w:t>
            </w:r>
          </w:p>
        </w:tc>
      </w:tr>
      <w:tr>
        <w:tblPrEx>
          <w:tblCellMar>
            <w:top w:w="0" w:type="dxa"/>
            <w:left w:w="108" w:type="dxa"/>
            <w:bottom w:w="0" w:type="dxa"/>
            <w:right w:w="108" w:type="dxa"/>
          </w:tblCellMar>
        </w:tblPrEx>
        <w:trPr>
          <w:trHeight w:val="488" w:hRule="atLeast"/>
        </w:trPr>
        <w:tc>
          <w:tcPr>
            <w:tcW w:w="32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项   目</w:t>
            </w:r>
          </w:p>
        </w:tc>
        <w:tc>
          <w:tcPr>
            <w:tcW w:w="1551"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数量</w:t>
            </w:r>
          </w:p>
        </w:tc>
        <w:tc>
          <w:tcPr>
            <w:tcW w:w="3429"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价值（金额单位：万元）</w:t>
            </w:r>
          </w:p>
        </w:tc>
      </w:tr>
      <w:tr>
        <w:tblPrEx>
          <w:tblCellMar>
            <w:top w:w="0" w:type="dxa"/>
            <w:left w:w="108" w:type="dxa"/>
            <w:bottom w:w="0" w:type="dxa"/>
            <w:right w:w="108" w:type="dxa"/>
          </w:tblCellMar>
        </w:tblPrEx>
        <w:trPr>
          <w:trHeight w:val="488" w:hRule="atLeast"/>
        </w:trPr>
        <w:tc>
          <w:tcPr>
            <w:tcW w:w="324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资产总额</w:t>
            </w:r>
          </w:p>
        </w:tc>
        <w:tc>
          <w:tcPr>
            <w:tcW w:w="155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kern w:val="0"/>
                <w:sz w:val="21"/>
                <w:szCs w:val="21"/>
              </w:rPr>
            </w:pPr>
            <w:r>
              <w:rPr>
                <w:rFonts w:ascii="Times New Roman" w:hAnsi="Times New Roman" w:eastAsia="宋体" w:cs="Times New Roman"/>
                <w:kern w:val="0"/>
                <w:sz w:val="21"/>
                <w:szCs w:val="21"/>
              </w:rPr>
              <w:t>——</w:t>
            </w:r>
          </w:p>
        </w:tc>
        <w:tc>
          <w:tcPr>
            <w:tcW w:w="342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kern w:val="0"/>
                <w:sz w:val="21"/>
                <w:szCs w:val="21"/>
              </w:rPr>
            </w:pPr>
            <w:r>
              <w:rPr>
                <w:rFonts w:hint="eastAsia" w:ascii="Times New Roman" w:hAnsi="Times New Roman" w:eastAsia="宋体" w:cs="Times New Roman"/>
                <w:kern w:val="0"/>
                <w:sz w:val="21"/>
                <w:szCs w:val="21"/>
              </w:rPr>
              <w:t>249.16</w:t>
            </w:r>
          </w:p>
        </w:tc>
      </w:tr>
      <w:tr>
        <w:tblPrEx>
          <w:tblCellMar>
            <w:top w:w="0" w:type="dxa"/>
            <w:left w:w="108" w:type="dxa"/>
            <w:bottom w:w="0" w:type="dxa"/>
            <w:right w:w="108" w:type="dxa"/>
          </w:tblCellMar>
        </w:tblPrEx>
        <w:trPr>
          <w:trHeight w:val="488" w:hRule="atLeast"/>
        </w:trPr>
        <w:tc>
          <w:tcPr>
            <w:tcW w:w="3240"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1、房屋（平方米）</w:t>
            </w:r>
          </w:p>
        </w:tc>
        <w:tc>
          <w:tcPr>
            <w:tcW w:w="1551"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1"/>
                <w:szCs w:val="21"/>
              </w:rPr>
            </w:pPr>
          </w:p>
        </w:tc>
        <w:tc>
          <w:tcPr>
            <w:tcW w:w="3429"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1"/>
                <w:szCs w:val="21"/>
              </w:rPr>
            </w:pPr>
          </w:p>
        </w:tc>
      </w:tr>
      <w:tr>
        <w:tblPrEx>
          <w:tblCellMar>
            <w:top w:w="0" w:type="dxa"/>
            <w:left w:w="108" w:type="dxa"/>
            <w:bottom w:w="0" w:type="dxa"/>
            <w:right w:w="108" w:type="dxa"/>
          </w:tblCellMar>
        </w:tblPrEx>
        <w:trPr>
          <w:trHeight w:val="488" w:hRule="atLeast"/>
        </w:trPr>
        <w:tc>
          <w:tcPr>
            <w:tcW w:w="3240"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xml:space="preserve">   其中：办公用房（平方米）</w:t>
            </w:r>
          </w:p>
        </w:tc>
        <w:tc>
          <w:tcPr>
            <w:tcW w:w="1551"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1"/>
                <w:szCs w:val="21"/>
              </w:rPr>
            </w:pPr>
          </w:p>
        </w:tc>
        <w:tc>
          <w:tcPr>
            <w:tcW w:w="3429"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1"/>
                <w:szCs w:val="21"/>
              </w:rPr>
            </w:pPr>
          </w:p>
        </w:tc>
      </w:tr>
      <w:tr>
        <w:tblPrEx>
          <w:tblCellMar>
            <w:top w:w="0" w:type="dxa"/>
            <w:left w:w="108" w:type="dxa"/>
            <w:bottom w:w="0" w:type="dxa"/>
            <w:right w:w="108" w:type="dxa"/>
          </w:tblCellMar>
        </w:tblPrEx>
        <w:trPr>
          <w:trHeight w:val="488" w:hRule="atLeast"/>
        </w:trPr>
        <w:tc>
          <w:tcPr>
            <w:tcW w:w="3240"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2、车辆（台、辆）</w:t>
            </w:r>
          </w:p>
        </w:tc>
        <w:tc>
          <w:tcPr>
            <w:tcW w:w="1551"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1"/>
                <w:szCs w:val="21"/>
              </w:rPr>
            </w:pPr>
            <w:r>
              <w:rPr>
                <w:rFonts w:hint="eastAsia" w:ascii="Times New Roman" w:hAnsi="Times New Roman" w:cs="Times New Roman"/>
                <w:sz w:val="21"/>
                <w:szCs w:val="21"/>
              </w:rPr>
              <w:t>6</w:t>
            </w:r>
          </w:p>
        </w:tc>
        <w:tc>
          <w:tcPr>
            <w:tcW w:w="3429"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1"/>
                <w:szCs w:val="21"/>
              </w:rPr>
            </w:pPr>
            <w:r>
              <w:rPr>
                <w:rFonts w:hint="eastAsia" w:ascii="Times New Roman" w:hAnsi="Times New Roman" w:cs="Times New Roman"/>
                <w:sz w:val="21"/>
                <w:szCs w:val="21"/>
              </w:rPr>
              <w:t>73.20</w:t>
            </w:r>
          </w:p>
        </w:tc>
      </w:tr>
      <w:tr>
        <w:tblPrEx>
          <w:tblCellMar>
            <w:top w:w="0" w:type="dxa"/>
            <w:left w:w="108" w:type="dxa"/>
            <w:bottom w:w="0" w:type="dxa"/>
            <w:right w:w="108" w:type="dxa"/>
          </w:tblCellMar>
        </w:tblPrEx>
        <w:trPr>
          <w:trHeight w:val="488" w:hRule="atLeast"/>
        </w:trPr>
        <w:tc>
          <w:tcPr>
            <w:tcW w:w="3240"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3、单价在20万元以上的设备</w:t>
            </w:r>
          </w:p>
        </w:tc>
        <w:tc>
          <w:tcPr>
            <w:tcW w:w="1551"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1"/>
                <w:szCs w:val="21"/>
              </w:rPr>
            </w:pPr>
          </w:p>
        </w:tc>
        <w:tc>
          <w:tcPr>
            <w:tcW w:w="3429"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1"/>
                <w:szCs w:val="21"/>
              </w:rPr>
            </w:pPr>
          </w:p>
        </w:tc>
      </w:tr>
      <w:tr>
        <w:tblPrEx>
          <w:tblCellMar>
            <w:top w:w="0" w:type="dxa"/>
            <w:left w:w="108" w:type="dxa"/>
            <w:bottom w:w="0" w:type="dxa"/>
            <w:right w:w="108" w:type="dxa"/>
          </w:tblCellMar>
        </w:tblPrEx>
        <w:trPr>
          <w:trHeight w:val="511" w:hRule="atLeast"/>
        </w:trPr>
        <w:tc>
          <w:tcPr>
            <w:tcW w:w="3240"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4、其他固定资产</w:t>
            </w:r>
          </w:p>
        </w:tc>
        <w:tc>
          <w:tcPr>
            <w:tcW w:w="1551"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1"/>
                <w:szCs w:val="21"/>
              </w:rPr>
            </w:pPr>
            <w:r>
              <w:rPr>
                <w:rFonts w:ascii="Times New Roman" w:hAnsi="Times New Roman" w:eastAsia="宋体" w:cs="Times New Roman"/>
                <w:kern w:val="0"/>
                <w:sz w:val="21"/>
                <w:szCs w:val="21"/>
              </w:rPr>
              <w:t>——</w:t>
            </w:r>
          </w:p>
        </w:tc>
        <w:tc>
          <w:tcPr>
            <w:tcW w:w="3429"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1"/>
                <w:szCs w:val="21"/>
              </w:rPr>
            </w:pPr>
            <w:r>
              <w:rPr>
                <w:rFonts w:hint="eastAsia" w:ascii="Times New Roman" w:hAnsi="Times New Roman" w:cs="Times New Roman"/>
                <w:sz w:val="21"/>
                <w:szCs w:val="21"/>
              </w:rPr>
              <w:t>175.96</w:t>
            </w:r>
          </w:p>
        </w:tc>
      </w:tr>
    </w:tbl>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仿宋" w:hAnsi="仿宋" w:eastAsia="仿宋" w:cs="仿宋"/>
          <w:sz w:val="32"/>
          <w:szCs w:val="32"/>
        </w:rPr>
      </w:pPr>
      <w:r>
        <w:rPr>
          <w:rFonts w:hint="eastAsia" w:ascii="仿宋" w:hAnsi="仿宋" w:eastAsia="仿宋" w:cs="仿宋"/>
          <w:sz w:val="32"/>
          <w:szCs w:val="32"/>
        </w:rPr>
        <w:t>1、一般公共预算拨款收入：指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w:t>
      </w:r>
    </w:p>
    <w:p>
      <w:pPr>
        <w:ind w:firstLine="640" w:firstLineChars="200"/>
        <w:rPr>
          <w:rFonts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firstLineChars="200"/>
        <w:rPr>
          <w:rFonts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firstLineChars="200"/>
        <w:rPr>
          <w:rFonts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firstLineChars="200"/>
        <w:rPr>
          <w:rFonts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firstLineChars="200"/>
        <w:rPr>
          <w:rFonts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firstLineChars="200"/>
        <w:rPr>
          <w:rFonts w:ascii="仿宋" w:hAnsi="仿宋" w:eastAsia="仿宋" w:cs="仿宋"/>
          <w:sz w:val="32"/>
          <w:szCs w:val="32"/>
        </w:rPr>
      </w:pPr>
      <w:r>
        <w:rPr>
          <w:rFonts w:hint="eastAsia" w:ascii="仿宋" w:hAnsi="仿宋" w:eastAsia="仿宋" w:cs="仿宋"/>
          <w:sz w:val="32"/>
          <w:szCs w:val="32"/>
        </w:rPr>
        <w:t>7、“三公”经费：纳入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级财政预算管理的“三公”经费，是指</w:t>
      </w:r>
      <w:r>
        <w:rPr>
          <w:rFonts w:hint="eastAsia" w:ascii="仿宋" w:hAnsi="仿宋" w:eastAsia="仿宋" w:cs="仿宋"/>
          <w:sz w:val="32"/>
          <w:szCs w:val="32"/>
          <w:lang w:eastAsia="zh-CN"/>
        </w:rPr>
        <w:t>区</w:t>
      </w:r>
      <w:r>
        <w:rPr>
          <w:rFonts w:hint="eastAsia" w:ascii="仿宋" w:hAnsi="仿宋"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1906" w:h="16838"/>
      <w:pgMar w:top="1440" w:right="1800" w:bottom="1440" w:left="1800"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20945E"/>
    <w:multiLevelType w:val="singleLevel"/>
    <w:tmpl w:val="3020945E"/>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F66032"/>
    <w:rsid w:val="00034786"/>
    <w:rsid w:val="00037AF6"/>
    <w:rsid w:val="00042F57"/>
    <w:rsid w:val="0006483E"/>
    <w:rsid w:val="00075D5F"/>
    <w:rsid w:val="0008102F"/>
    <w:rsid w:val="000B529B"/>
    <w:rsid w:val="000C3A19"/>
    <w:rsid w:val="000C40FA"/>
    <w:rsid w:val="001245BB"/>
    <w:rsid w:val="001251A3"/>
    <w:rsid w:val="00165294"/>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371F3"/>
    <w:rsid w:val="00DB4A9B"/>
    <w:rsid w:val="00E167C7"/>
    <w:rsid w:val="00E2482E"/>
    <w:rsid w:val="00E73D47"/>
    <w:rsid w:val="00EC47F6"/>
    <w:rsid w:val="00EE156D"/>
    <w:rsid w:val="00EE65B8"/>
    <w:rsid w:val="00F149E2"/>
    <w:rsid w:val="00F66032"/>
    <w:rsid w:val="00F87C1E"/>
    <w:rsid w:val="00F958C2"/>
    <w:rsid w:val="04B839AD"/>
    <w:rsid w:val="07F0008B"/>
    <w:rsid w:val="10D47D35"/>
    <w:rsid w:val="1BFE1C9D"/>
    <w:rsid w:val="1C044946"/>
    <w:rsid w:val="323462DD"/>
    <w:rsid w:val="36801CC7"/>
    <w:rsid w:val="36E5768C"/>
    <w:rsid w:val="3D944AB5"/>
    <w:rsid w:val="45955D31"/>
    <w:rsid w:val="4B8D7BD2"/>
    <w:rsid w:val="527E26CC"/>
    <w:rsid w:val="55437EEA"/>
    <w:rsid w:val="57257479"/>
    <w:rsid w:val="58B35F41"/>
    <w:rsid w:val="75246F49"/>
    <w:rsid w:val="79B13B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qFormat/>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qFormat/>
    <w:uiPriority w:val="99"/>
    <w:rPr>
      <w:rFonts w:ascii="Times New Roman" w:hAnsi="Times New Roman" w:eastAsia="宋体" w:cs="Times New Roman"/>
      <w:sz w:val="18"/>
      <w:szCs w:val="18"/>
    </w:rPr>
  </w:style>
  <w:style w:type="character" w:customStyle="1" w:styleId="15">
    <w:name w:val="批注框文本 Char"/>
    <w:basedOn w:val="9"/>
    <w:link w:val="2"/>
    <w:semiHidden/>
    <w:qFormat/>
    <w:uiPriority w:val="99"/>
    <w:rPr>
      <w:sz w:val="18"/>
      <w:szCs w:val="18"/>
    </w:rPr>
  </w:style>
  <w:style w:type="paragraph" w:customStyle="1" w:styleId="16">
    <w:name w:val="Default"/>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7">
    <w:name w:val="脚注文本 Char"/>
    <w:basedOn w:val="9"/>
    <w:link w:val="6"/>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7F05851-7C87-4274-AF3C-2F7A90B3575B}">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24</Pages>
  <Words>1817</Words>
  <Characters>10363</Characters>
  <Lines>86</Lines>
  <Paragraphs>24</Paragraphs>
  <TotalTime>4</TotalTime>
  <ScaleCrop>false</ScaleCrop>
  <LinksUpToDate>false</LinksUpToDate>
  <CharactersWithSpaces>12156</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lenovo</cp:lastModifiedBy>
  <cp:lastPrinted>2017-11-09T01:12:00Z</cp:lastPrinted>
  <dcterms:modified xsi:type="dcterms:W3CDTF">2024-01-15T02:24:59Z</dcterms:modified>
  <dc:title>河北省财政厅2019年部门预算信息公开情况说明</dc:title>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F1F01E7439044B0D876C4F42372C7E5F</vt:lpwstr>
  </property>
</Properties>
</file>