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bCs/>
          <w:sz w:val="44"/>
          <w:szCs w:val="44"/>
        </w:rPr>
      </w:pPr>
      <w:bookmarkStart w:id="10" w:name="_GoBack"/>
      <w:bookmarkEnd w:id="10"/>
      <w:r>
        <w:rPr>
          <w:rFonts w:hint="eastAsia" w:ascii="方正小标宋_GBK" w:hAnsi="Times New Roman" w:eastAsia="方正小标宋_GBK" w:cs="Times New Roman"/>
          <w:bCs/>
          <w:sz w:val="44"/>
          <w:szCs w:val="44"/>
        </w:rPr>
        <w:t>石家庄市鹿泉区供销合作总社</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w:t>
      </w:r>
      <w:r>
        <w:rPr>
          <w:rFonts w:hint="eastAsia" w:ascii="Times New Roman" w:hAnsi="Times New Roman" w:eastAsia="仿宋" w:cs="Times New Roman"/>
          <w:sz w:val="32"/>
          <w:szCs w:val="32"/>
          <w:lang w:eastAsia="zh-CN"/>
        </w:rPr>
        <w:t>中华人民共和国预算法</w:t>
      </w:r>
      <w:r>
        <w:rPr>
          <w:rFonts w:hint="eastAsia" w:ascii="Times New Roman" w:hAnsi="Times New Roman" w:eastAsia="仿宋" w:cs="Times New Roman"/>
          <w:sz w:val="32"/>
          <w:szCs w:val="32"/>
        </w:rPr>
        <w:t>》、《地方预决算公开操作规程》和《河北省省级预算公开办法》规定，现将石家庄市鹿泉区供销合作总社2020年部门预算公开如下：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100" w:after="100" w:line="400" w:lineRule="exact"/>
        <w:ind w:firstLine="700"/>
        <w:jc w:val="left"/>
        <w:rPr>
          <w:rFonts w:ascii="仿宋" w:hAnsi="仿宋" w:eastAsia="仿宋" w:cs="Times New Roman"/>
          <w:b/>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p>
    <w:p>
      <w:pPr>
        <w:spacing w:line="500" w:lineRule="exact"/>
        <w:ind w:firstLine="640" w:firstLineChars="200"/>
        <w:jc w:val="left"/>
        <w:rPr>
          <w:rFonts w:ascii="仿宋" w:hAnsi="仿宋" w:eastAsia="仿宋"/>
          <w:sz w:val="32"/>
          <w:szCs w:val="32"/>
        </w:rPr>
      </w:pPr>
      <w:r>
        <w:rPr>
          <w:rFonts w:ascii="仿宋" w:hAnsi="仿宋" w:eastAsia="仿宋"/>
          <w:sz w:val="32"/>
          <w:szCs w:val="32"/>
        </w:rPr>
        <w:t>1、宣传、贯彻党和政府有关农村工作和社会发展的方针、政策，制订并组织实施供销合作社发展规划。</w:t>
      </w:r>
    </w:p>
    <w:p>
      <w:pPr>
        <w:spacing w:line="500" w:lineRule="exact"/>
        <w:ind w:firstLine="640" w:firstLineChars="200"/>
        <w:jc w:val="left"/>
        <w:rPr>
          <w:rFonts w:ascii="仿宋" w:hAnsi="仿宋" w:eastAsia="仿宋"/>
          <w:sz w:val="32"/>
          <w:szCs w:val="32"/>
        </w:rPr>
      </w:pPr>
      <w:r>
        <w:rPr>
          <w:rFonts w:ascii="仿宋" w:hAnsi="仿宋" w:eastAsia="仿宋"/>
          <w:sz w:val="32"/>
          <w:szCs w:val="32"/>
        </w:rPr>
        <w:t>2、协调与政府部门、社会组织的关系，维护供销合作社《章程》赋予的合法权益，促进合作经济的发展。</w:t>
      </w:r>
    </w:p>
    <w:p>
      <w:pPr>
        <w:spacing w:line="500" w:lineRule="exact"/>
        <w:ind w:firstLine="640" w:firstLineChars="200"/>
        <w:jc w:val="left"/>
        <w:rPr>
          <w:rFonts w:ascii="仿宋" w:hAnsi="仿宋" w:eastAsia="仿宋"/>
          <w:sz w:val="32"/>
          <w:szCs w:val="32"/>
        </w:rPr>
      </w:pPr>
      <w:r>
        <w:rPr>
          <w:rFonts w:ascii="仿宋" w:hAnsi="仿宋" w:eastAsia="仿宋"/>
          <w:sz w:val="32"/>
          <w:szCs w:val="32"/>
        </w:rPr>
        <w:t>3、根据区委区政府工作部署，深化供销社综合改革，推动供销社向农民生产生活综合服务转变，服务手段向现代服务手段转变，建立供销社“金融超市”，对接政府职能部门，整合社会资源，加大气象、医疗、教育、法律等服务供给，充实服务功能，扩大社会影响力，开展土地适度规模流转，发展农业园区，进行农产品生产加工，县级以上建立“供销合作社+农民合作社联合社+供销集团”三位一体的新型组织架构，组建金融超市，稳步开展农村合作金融，开展农村电子商务服务，解决电商服务农民“最后一公里”问题，实现服务“三农”一体化运营的服务生力军和综合平台。</w:t>
      </w:r>
    </w:p>
    <w:p>
      <w:pPr>
        <w:spacing w:line="500" w:lineRule="exact"/>
        <w:ind w:firstLine="640" w:firstLineChars="200"/>
        <w:jc w:val="left"/>
        <w:rPr>
          <w:rFonts w:ascii="仿宋" w:hAnsi="仿宋" w:eastAsia="仿宋"/>
          <w:sz w:val="32"/>
          <w:szCs w:val="32"/>
        </w:rPr>
      </w:pPr>
      <w:r>
        <w:rPr>
          <w:rFonts w:ascii="仿宋" w:hAnsi="仿宋" w:eastAsia="仿宋"/>
          <w:sz w:val="32"/>
          <w:szCs w:val="32"/>
        </w:rPr>
        <w:t>４、按照“提质、增效、融合、规范”的方针，健全农资、农副产品、日用消费品、再生资源回收利用四大网络，形成网上交易、仓储物流、终端配送一体化经营，推动线上线下融合发展。开展现代流通服务，积极对接上级社电商平台，加快打造“网上供销”，加快推进农村物流配送中心建设。建设庄稼医院3个，各类农民专业社10个，培训农民社员及专业社负责人2000人次，建设农民诉求站2个，组建物流配送中心1个，并完善社区综合服务站127家，供销超市5家，新增营业面积1000平方米，进一步提高供销社的影响力。</w:t>
      </w:r>
    </w:p>
    <w:p>
      <w:pPr>
        <w:spacing w:line="500" w:lineRule="exact"/>
        <w:ind w:firstLine="640" w:firstLineChars="200"/>
        <w:jc w:val="left"/>
        <w:rPr>
          <w:rFonts w:ascii="仿宋" w:hAnsi="仿宋" w:eastAsia="仿宋"/>
          <w:sz w:val="32"/>
          <w:szCs w:val="32"/>
        </w:rPr>
      </w:pPr>
      <w:r>
        <w:rPr>
          <w:rFonts w:ascii="仿宋" w:hAnsi="仿宋" w:eastAsia="仿宋"/>
          <w:sz w:val="32"/>
          <w:szCs w:val="32"/>
        </w:rPr>
        <w:t>5、根据省社冀供销[2018]112号文件转发省委省政府《关于加强农村综合服务站建设的实施意见》精神，进一步发挥供销社服务“三农”的作用，加强农村综合服务建设，以提升基层社服务能力为目标，以规范基层社管理运营为重点，全面推进基层社建设提档升级，建成高标准示范基层社，成为密切供销社与农民联系的示范窗口，综合改革的“排头兵”，推进12个乡镇基层社分类改造，建设便民超市，开展农资销售、日用消费品销售、农副产品收购、再生资源回收、餐饮洗浴、家电维修、代存代缴等服务与农技培训、信息服务、文化娱乐、养老幼教、医疗保健等公益性服务，努力满足城乡居民不断升级的物质文化需求。</w:t>
      </w:r>
    </w:p>
    <w:p>
      <w:pPr>
        <w:spacing w:line="500" w:lineRule="exact"/>
        <w:ind w:firstLine="640" w:firstLineChars="200"/>
        <w:jc w:val="left"/>
        <w:rPr>
          <w:rFonts w:ascii="仿宋" w:hAnsi="仿宋" w:eastAsia="仿宋"/>
          <w:sz w:val="32"/>
          <w:szCs w:val="32"/>
        </w:rPr>
      </w:pPr>
      <w:r>
        <w:rPr>
          <w:rFonts w:ascii="仿宋" w:hAnsi="仿宋" w:eastAsia="仿宋"/>
          <w:sz w:val="32"/>
          <w:szCs w:val="32"/>
        </w:rPr>
        <w:t>6、加强联合社管理，强化监督，开放办社，推进供销事业转型升级，发挥政策信息、系统联合上的优势，与经济实体的生产能力、市场优势相结合，实现联合社与农民组织的共嬴。规范乡级农民专业社联合社12个，组建完善产业专业联合社10个，加快将供销社打造成为农民生产生活的生力军和综合服务平台。</w:t>
      </w:r>
    </w:p>
    <w:p>
      <w:pPr>
        <w:spacing w:line="500" w:lineRule="exact"/>
        <w:ind w:firstLine="640" w:firstLineChars="200"/>
        <w:jc w:val="left"/>
        <w:rPr>
          <w:rFonts w:ascii="仿宋" w:hAnsi="仿宋" w:eastAsia="仿宋"/>
          <w:sz w:val="32"/>
          <w:szCs w:val="32"/>
        </w:rPr>
      </w:pPr>
      <w:r>
        <w:rPr>
          <w:rFonts w:ascii="仿宋" w:hAnsi="仿宋" w:eastAsia="仿宋"/>
          <w:sz w:val="32"/>
          <w:szCs w:val="32"/>
        </w:rPr>
        <w:t>7、按照区委区政府及上级社要求，增加林业产权交易平台，依托乡镇农经站建设13个乡镇区农村产权交易服务站，推进我区农村产权交易中心建设，打造便民服务平台，加强人员的专业培训，提供农村产权供求信息，流转业务办理，产权政策咨询、平台交易咨询等服务，协助办理抵押登记和产权变更等业务，为农民朋友及合作社解决融资难建立新通道。</w:t>
      </w:r>
    </w:p>
    <w:p>
      <w:pPr>
        <w:spacing w:line="500" w:lineRule="exact"/>
        <w:ind w:firstLine="640" w:firstLineChars="200"/>
        <w:jc w:val="left"/>
        <w:rPr>
          <w:rFonts w:ascii="仿宋" w:hAnsi="仿宋" w:eastAsia="仿宋"/>
          <w:sz w:val="32"/>
          <w:szCs w:val="32"/>
        </w:rPr>
      </w:pPr>
      <w:r>
        <w:rPr>
          <w:rFonts w:ascii="仿宋" w:hAnsi="仿宋" w:eastAsia="仿宋"/>
          <w:sz w:val="32"/>
          <w:szCs w:val="32"/>
        </w:rPr>
        <w:t>8、加强再生资源回收管理工作，清理整顿、规范发展废旧物资回收行业，严格执行环保规定，清理集散地，推动回收园区建设，培育示范基地，做好宣传落实责任，合理布局回收站店点、分拣中心，加强执法监督，促进回收行业健康发展。</w:t>
      </w: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9729" w:type="dxa"/>
        <w:jc w:val="center"/>
        <w:tblInd w:w="-59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043"/>
        <w:gridCol w:w="1508"/>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tblHeader/>
          <w:jc w:val="center"/>
        </w:trPr>
        <w:tc>
          <w:tcPr>
            <w:tcW w:w="4043" w:type="dxa"/>
            <w:vMerge w:val="restart"/>
            <w:vAlign w:val="center"/>
          </w:tcPr>
          <w:p>
            <w:pPr>
              <w:spacing w:line="300" w:lineRule="exact"/>
              <w:jc w:val="center"/>
              <w:rPr>
                <w:rFonts w:ascii="Times New Roman" w:hAnsi="Times New Roman" w:eastAsia="方正书宋_GBK" w:cs="Times New Roman"/>
                <w:b/>
                <w:sz w:val="24"/>
                <w:szCs w:val="24"/>
              </w:rPr>
            </w:pPr>
            <w:r>
              <w:rPr>
                <w:rFonts w:ascii="Times New Roman" w:hAnsi="Times New Roman" w:eastAsia="方正书宋_GBK" w:cs="Times New Roman"/>
                <w:b/>
                <w:sz w:val="24"/>
                <w:szCs w:val="24"/>
              </w:rPr>
              <w:t>单位名称</w:t>
            </w:r>
          </w:p>
        </w:tc>
        <w:tc>
          <w:tcPr>
            <w:tcW w:w="1508" w:type="dxa"/>
            <w:vMerge w:val="restart"/>
            <w:vAlign w:val="center"/>
          </w:tcPr>
          <w:p>
            <w:pPr>
              <w:spacing w:line="300" w:lineRule="exact"/>
              <w:jc w:val="center"/>
              <w:rPr>
                <w:rFonts w:ascii="Times New Roman" w:hAnsi="Times New Roman" w:eastAsia="方正书宋_GBK" w:cs="Times New Roman"/>
                <w:b/>
                <w:sz w:val="24"/>
                <w:szCs w:val="24"/>
              </w:rPr>
            </w:pPr>
            <w:r>
              <w:rPr>
                <w:rFonts w:ascii="Times New Roman" w:hAnsi="Times New Roman" w:eastAsia="方正书宋_GBK" w:cs="Times New Roman"/>
                <w:b/>
                <w:sz w:val="24"/>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 w:val="24"/>
                <w:szCs w:val="24"/>
              </w:rPr>
            </w:pPr>
            <w:r>
              <w:rPr>
                <w:rFonts w:ascii="Times New Roman" w:hAnsi="Times New Roman" w:eastAsia="方正书宋_GBK" w:cs="Times New Roman"/>
                <w:b/>
                <w:sz w:val="24"/>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 w:val="24"/>
                <w:szCs w:val="24"/>
              </w:rPr>
            </w:pPr>
            <w:r>
              <w:rPr>
                <w:rFonts w:ascii="Times New Roman" w:hAnsi="Times New Roman" w:eastAsia="方正书宋_GBK" w:cs="Times New Roman"/>
                <w:b/>
                <w:sz w:val="24"/>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tblHeader/>
          <w:jc w:val="center"/>
        </w:trPr>
        <w:tc>
          <w:tcPr>
            <w:tcW w:w="4043" w:type="dxa"/>
            <w:vMerge w:val="continue"/>
            <w:vAlign w:val="center"/>
          </w:tcPr>
          <w:p>
            <w:pPr>
              <w:spacing w:line="300" w:lineRule="exact"/>
              <w:jc w:val="left"/>
              <w:outlineLvl w:val="0"/>
              <w:rPr>
                <w:rFonts w:ascii="Times New Roman" w:hAnsi="Times New Roman" w:cs="Times New Roman"/>
                <w:szCs w:val="24"/>
              </w:rPr>
            </w:pPr>
          </w:p>
        </w:tc>
        <w:tc>
          <w:tcPr>
            <w:tcW w:w="1508"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4043" w:type="dxa"/>
            <w:vAlign w:val="center"/>
          </w:tcPr>
          <w:p>
            <w:pPr>
              <w:spacing w:line="300" w:lineRule="exact"/>
              <w:jc w:val="left"/>
              <w:rPr>
                <w:rFonts w:ascii="Times New Roman" w:hAnsi="Times New Roman" w:eastAsia="方正书宋_GBK" w:cs="Times New Roman"/>
                <w:sz w:val="24"/>
                <w:szCs w:val="24"/>
              </w:rPr>
            </w:pPr>
            <w:r>
              <w:rPr>
                <w:rFonts w:hint="eastAsia" w:ascii="Times New Roman" w:hAnsi="Times New Roman" w:eastAsia="仿宋" w:cs="Times New Roman"/>
                <w:sz w:val="24"/>
                <w:szCs w:val="24"/>
              </w:rPr>
              <w:t>鹿泉区供销合作总社</w:t>
            </w:r>
          </w:p>
        </w:tc>
        <w:tc>
          <w:tcPr>
            <w:tcW w:w="1508"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事业</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正科级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财政性资金基本保证</w:t>
            </w: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sz w:val="32"/>
          <w:szCs w:val="32"/>
        </w:rPr>
        <w:t>石家庄市鹿泉区供销合作总社</w:t>
      </w:r>
      <w:r>
        <w:rPr>
          <w:rFonts w:ascii="Times New Roman" w:hAnsi="Times New Roman" w:eastAsia="仿宋" w:cs="Times New Roman"/>
          <w:sz w:val="32"/>
          <w:szCs w:val="32"/>
        </w:rPr>
        <w:t>的收支包含在部门预算中。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2020年预算收入349.61万元，其中：一般公共预算收入349.61万元，基金预算收入0万元，财政专户核拨收入0万元，其他来源收入0万元。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仿宋" w:hAnsi="仿宋"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石家庄市鹿泉区供销合作总社年度部门预算中支出预算的总体情况。2020年部门支出预算为349.61万元，其中基本支出249.98万元，包括人员经费216.53万元和日常公用经费33.45万元；项目支出99.63万元，</w:t>
      </w:r>
      <w:r>
        <w:rPr>
          <w:rFonts w:hint="eastAsia" w:ascii="仿宋" w:hAnsi="仿宋" w:eastAsia="仿宋" w:cs="Times New Roman"/>
          <w:sz w:val="32"/>
          <w:szCs w:val="32"/>
        </w:rPr>
        <w:t>主要为</w:t>
      </w:r>
      <w:r>
        <w:rPr>
          <w:rFonts w:hint="eastAsia" w:ascii="仿宋" w:hAnsi="仿宋" w:eastAsia="仿宋"/>
          <w:sz w:val="32"/>
          <w:szCs w:val="32"/>
        </w:rPr>
        <w:t>农村产权交易中心专项业务及办公费支出20万元</w:t>
      </w:r>
      <w:r>
        <w:rPr>
          <w:rFonts w:hint="eastAsia" w:ascii="仿宋" w:hAnsi="仿宋" w:eastAsia="仿宋" w:cs="Times New Roman"/>
          <w:sz w:val="32"/>
          <w:szCs w:val="32"/>
        </w:rPr>
        <w:t>，</w:t>
      </w:r>
      <w:r>
        <w:rPr>
          <w:rFonts w:hint="eastAsia" w:ascii="仿宋" w:hAnsi="仿宋" w:eastAsia="仿宋"/>
          <w:sz w:val="32"/>
          <w:szCs w:val="32"/>
        </w:rPr>
        <w:t>社会化服务体系</w:t>
      </w:r>
      <w:r>
        <w:rPr>
          <w:rFonts w:hint="eastAsia" w:ascii="仿宋" w:hAnsi="仿宋" w:eastAsia="仿宋" w:cs="Times New Roman"/>
          <w:sz w:val="32"/>
          <w:szCs w:val="32"/>
        </w:rPr>
        <w:t>支出20万元，</w:t>
      </w:r>
      <w:r>
        <w:rPr>
          <w:rFonts w:hint="eastAsia" w:ascii="仿宋" w:hAnsi="仿宋" w:eastAsia="仿宋"/>
          <w:sz w:val="32"/>
          <w:szCs w:val="32"/>
        </w:rPr>
        <w:t>退役军人公益岗</w:t>
      </w:r>
      <w:r>
        <w:rPr>
          <w:rFonts w:hint="eastAsia" w:ascii="仿宋" w:hAnsi="仿宋" w:eastAsia="仿宋" w:cs="Times New Roman"/>
          <w:sz w:val="32"/>
          <w:szCs w:val="32"/>
        </w:rPr>
        <w:t>支出44.63万元，</w:t>
      </w:r>
      <w:r>
        <w:rPr>
          <w:rFonts w:hint="eastAsia" w:ascii="仿宋" w:hAnsi="仿宋" w:eastAsia="仿宋"/>
          <w:sz w:val="32"/>
          <w:szCs w:val="32"/>
        </w:rPr>
        <w:t>新型基层社及专业社联合社组织体系</w:t>
      </w:r>
      <w:r>
        <w:rPr>
          <w:rFonts w:hint="eastAsia" w:ascii="仿宋" w:hAnsi="仿宋" w:eastAsia="仿宋" w:cs="Times New Roman"/>
          <w:sz w:val="32"/>
          <w:szCs w:val="32"/>
        </w:rPr>
        <w:t>支出5万元，</w:t>
      </w:r>
      <w:r>
        <w:rPr>
          <w:rFonts w:hint="eastAsia" w:ascii="仿宋" w:hAnsi="仿宋" w:eastAsia="仿宋"/>
          <w:sz w:val="32"/>
          <w:szCs w:val="32"/>
        </w:rPr>
        <w:t>再生资源管理及回收利用体系建设</w:t>
      </w:r>
      <w:r>
        <w:rPr>
          <w:rFonts w:hint="eastAsia" w:ascii="仿宋" w:hAnsi="仿宋" w:eastAsia="仿宋" w:cs="Times New Roman"/>
          <w:sz w:val="32"/>
          <w:szCs w:val="32"/>
        </w:rPr>
        <w:t>10万元；其他支出0万元。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rPr>
        <w:t>349.61</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较2019年增加42.35万元，其中：基本支出增加22.95万元，主要是人员经费和日常公用经费；项目支出增加19.4万元，主要是退役军人公益岗支出增加；其他支出无增减变化。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33.45万元，主要用于保证机关正常运转的办公及印刷费、邮电费、差旅费、会议费、福利费、专用材料及一般设备购置费、办公用房水电费、办公用房取暖费、日常维修费、办公楼物业管理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0.6万元，其中：因公出国（境）费0万元；公务用车购置及运维费0万元（其中：公务用车购置费0万元，公务用车运行维护费0万元)；公务接待费0.6万元。“三公”经费比上年减少2.7万元。</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0"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spacing w:line="500" w:lineRule="exact"/>
        <w:ind w:firstLine="640" w:firstLineChars="200"/>
        <w:jc w:val="left"/>
        <w:rPr>
          <w:rFonts w:ascii="仿宋" w:hAnsi="仿宋" w:eastAsia="仿宋"/>
          <w:sz w:val="32"/>
          <w:szCs w:val="32"/>
        </w:rPr>
      </w:pPr>
      <w:r>
        <w:rPr>
          <w:rFonts w:ascii="仿宋" w:hAnsi="仿宋" w:eastAsia="仿宋"/>
          <w:sz w:val="32"/>
          <w:szCs w:val="32"/>
        </w:rPr>
        <w:t>一、加强供销流通管理，建设供销社服务体系</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一是发展现代流通网络建设及管理。贯彻落实党和政府商业流通有关方针政策，研究制定行业发展战略和规划，组织指导行业改革发展，负责行业管理，开展教育培训，维护合法权益。指导全区供销社系统现代流通网络建设，加快服务创新、经营创新和业态创新，优化网络布局，完善网络体系，发挥一网多用、双向流通的作用，在农资供应、农产品流通、农村服务等重点领域和环节为农民提供便利实惠、安全优质的服务。确保供销社事业改革、发展和壮大、发挥供销社在商业流通服务的作用。</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二是根据区委区政府工作部署，深化供销社综合改革，推动供销社向农民生产生活综合服务转变，服务手段向现代服务手段转变，建立供销社“金融超市”，稳步开展农村合作金融，开展农村电子商务服务，解决电商服务农民“最后一公里”问题，实现服务“三农”一体化运营的服务生力军和综合平台。对接政府职能部门，整合社会资源，加大气象、医疗、教育、法律等服务供给，充实服务功能，扩大社会影响力，按照“提质、增效、融合、规范”的方针，健全农资、农副产品、日用消费品、再生资源回收利用四大网络，形成网上交易、仓储物流、终端配送一体化经营，推动线上线下融合发展。开展现代流通服务，积极对接上级社电商平台，加快打造“网上供销”，推进农村物流配送中心建设。</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二、加强“三农”事项管理，建设供销社组织体系</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一是根据省社冀供销[2018]112号文件转发省委省政府《关于加强农村综合服务站建设的实施意见》精神，进一步发挥供销社服务“三农”的作用，加强农村综合服务站建设，以提升基层社服务能力为目标，以规范基层社管理运营为重点，全面推进基层社建设提档升级，建成3-5个示范基层社，成为密切供销社与农民联系的示范窗口，综合改革的“排头兵”，推进12个乡镇基层社分类改造，建设便民超市，开展农资销售、日用消费品销售、农副产品收购、再生资源回收、餐饮洗浴、家电维修、代存代缴等服务与农技培训、信息服务、文化娱乐、养老幼教、医疗保健等公益性服务，努力满足城乡居民不断升级的物质文化需求。</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二是加强联合社管理，强化监督，开放办社，推进供销事业转型升级，发挥政策信息、系统联合上的优势，与经济实体的生产能力、市场优势相结合，实现联合社与农民组织的共嬴。指导联合社完善工作制度，强化监督，确保开放办社合法经营，推进供销事业转型升级，以供销合作社体系为依托，自下而上组建农民合作社联合社，把供销合作社系统打造成为与农民联结更紧密、为农服务功能更完备、市场化运行更高效的合作经济组织体系，成为服务农民生产生活的生力军和综合平台，成为党和政府密切联系农民群众的桥梁纽带，切实在农业现代化建设中更好地发挥作用，实现联合社与农民组织的共嬴。</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三、区农村产权交易中心建设及运营</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一是依托乡镇农经站建设13个乡镇区农村产权交易服务站，推进我区农村产权交易中心建设，打造便民服务平台，加强人员的专业培训，提供农村产权供求信息，流转业务办理，产权政策咨询、平台交易咨询等服务，协助办理抵押登记和产权变更等业务，为农民朋友及合作社解决融资难建立新通道。</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二是按照区委、区政府及上级供销社要求，建设区林业产权交易平台。</w:t>
      </w:r>
    </w:p>
    <w:p>
      <w:pPr>
        <w:spacing w:line="500" w:lineRule="exact"/>
        <w:ind w:firstLine="640" w:firstLineChars="200"/>
        <w:jc w:val="left"/>
        <w:rPr>
          <w:rFonts w:ascii="仿宋" w:hAnsi="仿宋" w:eastAsia="仿宋"/>
          <w:sz w:val="32"/>
          <w:szCs w:val="32"/>
        </w:rPr>
      </w:pPr>
      <w:r>
        <w:rPr>
          <w:rFonts w:ascii="仿宋" w:hAnsi="仿宋" w:eastAsia="仿宋"/>
          <w:sz w:val="32"/>
          <w:szCs w:val="32"/>
        </w:rPr>
        <w:t>四、再生资源管理及回收利用体系建设</w:t>
      </w:r>
    </w:p>
    <w:p>
      <w:pPr>
        <w:spacing w:line="500" w:lineRule="exact"/>
        <w:ind w:firstLine="640" w:firstLineChars="200"/>
        <w:jc w:val="left"/>
        <w:rPr>
          <w:rFonts w:ascii="仿宋" w:hAnsi="仿宋" w:eastAsia="仿宋"/>
          <w:sz w:val="32"/>
          <w:szCs w:val="32"/>
        </w:rPr>
      </w:pPr>
      <w:r>
        <w:rPr>
          <w:rFonts w:ascii="仿宋" w:hAnsi="仿宋" w:eastAsia="仿宋"/>
          <w:sz w:val="32"/>
          <w:szCs w:val="32"/>
        </w:rPr>
        <w:t>根据区委区政府鹿政办函[2018]47号文件、市再生办及石发改资环[2017]242号文件要求，清理整顿、规范发展废旧物资回收行业，严格执行环保规定，清理集散地，推动回收园区建设，培育示范基地，做好宣传落实责任，合理布局回收站点、分拣中心，加强执法监督，促进回收行业健康发展。制定并实施全区再生资源回收体系规划和建设，做好生活垃圾分类中可回收部分的收集利用，加强对再生资源回收企业的管理，做好回收行业调查，统计全区可回收物资数量，使农村90%以上的废旧物资得到回收利用。</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五、供销合作政务管理</w:t>
      </w:r>
    </w:p>
    <w:p>
      <w:pPr>
        <w:spacing w:line="500" w:lineRule="exact"/>
        <w:ind w:firstLine="640" w:firstLineChars="200"/>
        <w:jc w:val="left"/>
        <w:rPr>
          <w:rFonts w:ascii="仿宋" w:hAnsi="仿宋" w:eastAsia="仿宋"/>
          <w:sz w:val="32"/>
          <w:szCs w:val="32"/>
        </w:rPr>
      </w:pPr>
      <w:r>
        <w:rPr>
          <w:rFonts w:ascii="仿宋" w:hAnsi="仿宋" w:eastAsia="仿宋"/>
          <w:sz w:val="32"/>
          <w:szCs w:val="32"/>
        </w:rPr>
        <w:t>做好供销合作社系统综合业务管理和综合事务管理，确保各项业务工作谋划到位、顺利开展。根据区委、区政府和石家庄市供销社的工作安排，全面加强和创新社会管理，处理好改制遗留问题，突出抓好烟花爆竹等易燃易爆商品经营安全和商场、市场等人员密集场所消防安全，确保系统企业安全生产无事故，完成鹿泉区下达的防汛物资号备任务等工作。</w:t>
      </w:r>
    </w:p>
    <w:p>
      <w:pPr>
        <w:spacing w:line="500" w:lineRule="exact"/>
        <w:ind w:firstLine="640" w:firstLineChars="200"/>
        <w:jc w:val="left"/>
        <w:rPr>
          <w:rFonts w:ascii="仿宋" w:hAnsi="仿宋" w:eastAsia="仿宋"/>
          <w:sz w:val="32"/>
          <w:szCs w:val="32"/>
        </w:rPr>
      </w:pPr>
      <w:r>
        <w:rPr>
          <w:rFonts w:ascii="仿宋" w:hAnsi="仿宋" w:eastAsia="仿宋"/>
          <w:sz w:val="32"/>
          <w:szCs w:val="32"/>
        </w:rPr>
        <w:t>根据鹿泉办文[2017]31号文《鹿泉区关于进一步做好部分军队退役人员帮扶救助的若干措施》的通知，做好退役人员的安置帮扶工作。</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spacing w:line="500" w:lineRule="exact"/>
        <w:ind w:firstLine="640" w:firstLineChars="200"/>
        <w:jc w:val="left"/>
        <w:rPr>
          <w:rFonts w:ascii="仿宋" w:hAnsi="仿宋" w:eastAsia="仿宋"/>
          <w:sz w:val="32"/>
          <w:szCs w:val="32"/>
        </w:rPr>
      </w:pPr>
      <w:r>
        <w:rPr>
          <w:rFonts w:ascii="仿宋" w:hAnsi="仿宋" w:eastAsia="仿宋"/>
          <w:sz w:val="32"/>
          <w:szCs w:val="32"/>
        </w:rPr>
        <w:t>绩效目标一：加强供销流通管理，推动供销社社会化服务体系建设</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绩效指标：根据区委、区政府和上级社工作部署，深化供销社综合改革，推动供销社向农民生产生活综合服务转变，服务手段向现代服务手段转变，创新基层供销社服务功能，壮大并发挥供销社为“三农”服务的作用。</w:t>
      </w:r>
    </w:p>
    <w:p>
      <w:pPr>
        <w:spacing w:line="500" w:lineRule="exact"/>
        <w:ind w:firstLine="640" w:firstLineChars="200"/>
        <w:jc w:val="left"/>
        <w:rPr>
          <w:rFonts w:ascii="仿宋" w:hAnsi="仿宋" w:eastAsia="仿宋"/>
          <w:sz w:val="32"/>
          <w:szCs w:val="32"/>
        </w:rPr>
      </w:pPr>
      <w:r>
        <w:rPr>
          <w:rFonts w:ascii="仿宋" w:hAnsi="仿宋" w:eastAsia="仿宋"/>
          <w:sz w:val="32"/>
          <w:szCs w:val="32"/>
        </w:rPr>
        <w:t>1、发展现代流通网络建设及管理。按照“提质、增效、融合、规范”的方针，健全农资、农副产品、日用消费品、再生资源回收利用四大网络，形成网上交易、仓储物流、终端配送一体化经营，推动线上线下融合发展。</w:t>
      </w:r>
    </w:p>
    <w:p>
      <w:pPr>
        <w:spacing w:line="500" w:lineRule="exact"/>
        <w:ind w:firstLine="640" w:firstLineChars="200"/>
        <w:jc w:val="left"/>
        <w:rPr>
          <w:rFonts w:ascii="仿宋" w:hAnsi="仿宋" w:eastAsia="仿宋"/>
          <w:sz w:val="32"/>
          <w:szCs w:val="32"/>
        </w:rPr>
      </w:pPr>
      <w:r>
        <w:rPr>
          <w:rFonts w:ascii="仿宋" w:hAnsi="仿宋" w:eastAsia="仿宋"/>
          <w:sz w:val="32"/>
          <w:szCs w:val="32"/>
        </w:rPr>
        <w:t xml:space="preserve"> 2、开展现代流通服务，积极对接上级社电商平台，加快打造“网上供销”，建设网上供销超市5家，加快推进农村物流配送中心建设，组建物流配送中心1个，“新网工程”农村现代流通网络覆盖率达到90%以上。</w:t>
      </w:r>
    </w:p>
    <w:p>
      <w:pPr>
        <w:spacing w:line="500" w:lineRule="exact"/>
        <w:ind w:firstLine="640" w:firstLineChars="200"/>
        <w:jc w:val="left"/>
        <w:rPr>
          <w:rFonts w:ascii="仿宋" w:hAnsi="仿宋" w:eastAsia="仿宋"/>
          <w:sz w:val="32"/>
          <w:szCs w:val="32"/>
        </w:rPr>
      </w:pPr>
      <w:r>
        <w:rPr>
          <w:rFonts w:ascii="仿宋" w:hAnsi="仿宋" w:eastAsia="仿宋"/>
          <w:sz w:val="32"/>
          <w:szCs w:val="32"/>
        </w:rPr>
        <w:t>3、建立供销社“金融超市”，对接政府职能部门，整合社会资源，加大气象、医疗、教育、法律等服务供给，充实服务功能，扩大社会影响力，开展土地适度规模流转，发展农业园区，进行农产品生产加工， 县级以上建立“供销合作社+农民合作社联合社+供销集团”三位一体的新型组织架构，解决电商服务农民“最后一公里”问题，实现服务“三农”一体化运营的服务生力军和综合平台。完善社区综合服务站127家，新增营业面积1000平方米，培训农民社员及专业社负责人2000人次，建设农民诉求站2个，建设庄稼医院3个。</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绩效目标二：加强“三农”事项管理，推动组织体系建设</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绩效指标：</w:t>
      </w:r>
    </w:p>
    <w:p>
      <w:pPr>
        <w:spacing w:line="500" w:lineRule="exact"/>
        <w:ind w:firstLine="640" w:firstLineChars="200"/>
        <w:jc w:val="left"/>
        <w:rPr>
          <w:rFonts w:ascii="仿宋" w:hAnsi="仿宋" w:eastAsia="仿宋"/>
          <w:sz w:val="32"/>
          <w:szCs w:val="32"/>
        </w:rPr>
      </w:pPr>
      <w:r>
        <w:rPr>
          <w:rFonts w:ascii="仿宋" w:hAnsi="仿宋" w:eastAsia="仿宋"/>
          <w:sz w:val="32"/>
          <w:szCs w:val="32"/>
        </w:rPr>
        <w:t>1、建立和完善农民合作社联合社体系。加强供销社系统内联合社管理，强化监督，开放办社，推进供销事业转型升级，发挥政策信息、系统联合上的优势，与经济实体的生产能力、市场优势相结合，实现联合社与农民组织的共嬴。</w:t>
      </w:r>
    </w:p>
    <w:p>
      <w:pPr>
        <w:spacing w:line="500" w:lineRule="exact"/>
        <w:ind w:firstLine="640" w:firstLineChars="200"/>
        <w:jc w:val="left"/>
        <w:rPr>
          <w:rFonts w:ascii="仿宋" w:hAnsi="仿宋" w:eastAsia="仿宋"/>
          <w:sz w:val="32"/>
          <w:szCs w:val="32"/>
        </w:rPr>
      </w:pPr>
      <w:r>
        <w:rPr>
          <w:rFonts w:ascii="仿宋" w:hAnsi="仿宋" w:eastAsia="仿宋"/>
          <w:sz w:val="32"/>
          <w:szCs w:val="32"/>
        </w:rPr>
        <w:t>2、组织领办农民合作经济组织，指导帮助农民合作社与其他新型农业经营主体开展联合合作，扶持龙头企业，发挥龙头企业带动作用，区乡建立农民合作社联合社，打造农民合作社服务平台，以市场方法和手段，引领、带动和服务农民合作社发展，培育县域主导产业，帮助农户增收致富。领办各类农民专业社10个，规范乡级农民专业社联合社12个，组建完善产业专业联合社10个，带动致富农户3000户。</w:t>
      </w:r>
    </w:p>
    <w:p>
      <w:pPr>
        <w:spacing w:line="500" w:lineRule="exact"/>
        <w:ind w:firstLine="640" w:firstLineChars="200"/>
        <w:jc w:val="left"/>
        <w:rPr>
          <w:rFonts w:ascii="仿宋" w:hAnsi="仿宋" w:eastAsia="仿宋"/>
          <w:sz w:val="32"/>
          <w:szCs w:val="32"/>
        </w:rPr>
      </w:pPr>
      <w:r>
        <w:rPr>
          <w:rFonts w:ascii="仿宋" w:hAnsi="仿宋" w:eastAsia="仿宋"/>
          <w:sz w:val="32"/>
          <w:szCs w:val="32"/>
        </w:rPr>
        <w:t>3、系统企业运营管理及建设。全面推进基层社建设提档升级，建成3-5个示范基层社，成为密切供销社与农民联系的示范窗口，综合改革的“排头兵”，推进12个乡镇基层社分类改造，建设便民超市，开展农资销售、日用消费品销售、农副产品收购、再生资源回收、餐饮洗浴、家电维修、代存代缴等服务与农技培训、信息服务、文化娱乐、养老幼教、医疗保健等公益性服务，努力满足城乡居民不断升级的物质文化需求。发展壮大为农服务力量，提高企业市场竞争力。拓展为农服务新领域，创造经济效益和社会效益。指导服务协调系统企业安全高速运转。</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绩效目标三：鹿泉区农村产权交易中心</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绩效指标：</w:t>
      </w:r>
    </w:p>
    <w:p>
      <w:pPr>
        <w:spacing w:line="500" w:lineRule="exact"/>
        <w:ind w:firstLine="640" w:firstLineChars="200"/>
        <w:jc w:val="left"/>
        <w:rPr>
          <w:rFonts w:ascii="仿宋" w:hAnsi="仿宋" w:eastAsia="仿宋"/>
          <w:sz w:val="32"/>
          <w:szCs w:val="32"/>
        </w:rPr>
      </w:pPr>
      <w:r>
        <w:rPr>
          <w:rFonts w:ascii="仿宋" w:hAnsi="仿宋" w:eastAsia="仿宋"/>
          <w:sz w:val="32"/>
          <w:szCs w:val="32"/>
        </w:rPr>
        <w:t>1、依托乡镇农经站建设13个乡镇区农村产权交易服务站，推进我区农村产权交易中心建设，打造便民服务平台，加强人员的专业培训，提供农村产权供求信息，流转业务办理，产权政策咨询、平台交易咨询等服务，协助办理抵押登记和产权变更等业务，交易备案服务100%到位，为农民朋友及合作社解决融资难建立新通道。</w:t>
      </w:r>
    </w:p>
    <w:p>
      <w:pPr>
        <w:spacing w:line="500" w:lineRule="exact"/>
        <w:ind w:firstLine="640" w:firstLineChars="200"/>
        <w:jc w:val="left"/>
        <w:rPr>
          <w:rFonts w:ascii="仿宋" w:hAnsi="仿宋" w:eastAsia="仿宋"/>
          <w:sz w:val="32"/>
          <w:szCs w:val="32"/>
        </w:rPr>
      </w:pPr>
      <w:r>
        <w:rPr>
          <w:rFonts w:ascii="仿宋" w:hAnsi="仿宋" w:eastAsia="仿宋"/>
          <w:sz w:val="32"/>
          <w:szCs w:val="32"/>
        </w:rPr>
        <w:t>2、按照区委、区政府及上级社要求，建设区林业产权交易平台。发放区农村产权交易资料2000份以上。</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绩效目标四：再生资源回收利用体系建设</w:t>
      </w:r>
    </w:p>
    <w:p>
      <w:pPr>
        <w:spacing w:line="500" w:lineRule="exact"/>
        <w:ind w:firstLine="640" w:firstLineChars="200"/>
        <w:jc w:val="left"/>
        <w:rPr>
          <w:rFonts w:ascii="仿宋" w:hAnsi="仿宋" w:eastAsia="仿宋"/>
          <w:sz w:val="32"/>
          <w:szCs w:val="32"/>
        </w:rPr>
      </w:pPr>
      <w:r>
        <w:rPr>
          <w:rFonts w:ascii="仿宋" w:hAnsi="仿宋" w:eastAsia="仿宋"/>
          <w:sz w:val="32"/>
          <w:szCs w:val="32"/>
        </w:rPr>
        <w:t xml:space="preserve">绩效指标：  </w:t>
      </w:r>
    </w:p>
    <w:p>
      <w:pPr>
        <w:spacing w:line="500" w:lineRule="exact"/>
        <w:ind w:firstLine="640" w:firstLineChars="200"/>
        <w:jc w:val="left"/>
        <w:rPr>
          <w:rFonts w:ascii="仿宋" w:hAnsi="仿宋" w:eastAsia="仿宋"/>
          <w:sz w:val="32"/>
          <w:szCs w:val="32"/>
        </w:rPr>
      </w:pPr>
      <w:r>
        <w:rPr>
          <w:rFonts w:ascii="仿宋" w:hAnsi="仿宋" w:eastAsia="仿宋"/>
          <w:sz w:val="32"/>
          <w:szCs w:val="32"/>
        </w:rPr>
        <w:t>1、编制《鹿泉区再生资源回收体系建设规划》，组织督导城乡再生资源回收体系建设，完善和促进城乡再生资源回收体系。</w:t>
      </w:r>
    </w:p>
    <w:p>
      <w:pPr>
        <w:spacing w:line="500" w:lineRule="exact"/>
        <w:ind w:firstLine="640" w:firstLineChars="200"/>
        <w:jc w:val="left"/>
        <w:rPr>
          <w:rFonts w:ascii="仿宋" w:hAnsi="仿宋" w:eastAsia="仿宋"/>
          <w:sz w:val="32"/>
          <w:szCs w:val="32"/>
        </w:rPr>
      </w:pPr>
      <w:r>
        <w:rPr>
          <w:rFonts w:ascii="仿宋" w:hAnsi="仿宋" w:eastAsia="仿宋"/>
          <w:sz w:val="32"/>
          <w:szCs w:val="32"/>
        </w:rPr>
        <w:t xml:space="preserve">2、根据区委区政府鹿政办函[2018]47号文件、市再生办及石发改资环[2017]242号文件要求，清理整顿、规范发展废旧物资回收行业，做好生活垃圾分类中可回收部分的收集利用，做好回收行业调查，统计全区可回收物资数量，规范高标准农村再生资源固定回收站点13个，集散中心1个，分拣中心2个，使农村95%以上的废旧物资得到回收利用。 </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绩效目标五：供销合作政务管理</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绩效指标：</w:t>
      </w:r>
    </w:p>
    <w:p>
      <w:pPr>
        <w:spacing w:line="500" w:lineRule="exact"/>
        <w:ind w:firstLine="640" w:firstLineChars="200"/>
        <w:jc w:val="left"/>
        <w:rPr>
          <w:rFonts w:ascii="仿宋" w:hAnsi="仿宋" w:eastAsia="仿宋"/>
          <w:sz w:val="32"/>
          <w:szCs w:val="32"/>
        </w:rPr>
      </w:pPr>
      <w:r>
        <w:rPr>
          <w:rFonts w:ascii="仿宋" w:hAnsi="仿宋" w:eastAsia="仿宋"/>
          <w:sz w:val="32"/>
          <w:szCs w:val="32"/>
        </w:rPr>
        <w:t>1、供销合作社系统综合业务管理。</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一是制订系统发展战略和规划、指导系统业务活动、综合改革和事业发展；加强重要物资代储管理，按照省、市、区下达的储备计划，开展棉花、化肥、农药、救灾物资等代储工作，发挥供销社在流通领域的应急调控作用。</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二是拟定贯彻落实中央、省、市有关供销社改革发展的措施并组织实施，提出全区供销社年度工作计划建议，保障供销社各项工作谋划到位、顺利开展，确保按时按量按质完成年度重点工作。</w:t>
      </w:r>
    </w:p>
    <w:p>
      <w:pPr>
        <w:spacing w:line="500" w:lineRule="exact"/>
        <w:ind w:firstLine="640" w:firstLineChars="200"/>
        <w:jc w:val="left"/>
        <w:rPr>
          <w:rFonts w:ascii="仿宋" w:hAnsi="仿宋" w:eastAsia="仿宋"/>
          <w:sz w:val="32"/>
          <w:szCs w:val="32"/>
        </w:rPr>
      </w:pPr>
      <w:r>
        <w:rPr>
          <w:rFonts w:ascii="仿宋" w:hAnsi="仿宋" w:eastAsia="仿宋"/>
          <w:sz w:val="32"/>
          <w:szCs w:val="32"/>
        </w:rPr>
        <w:t>2、供销合作社系统综合事务管理。</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一是根据区委、区政府和石家庄市供销社的工作安排，全面加强和创新社会管理，处理好改制遗留问题，突出抓好烟花爆竹等易燃易爆商品经营安全和商场、市场等人员密集场所消防安全，确保系统企业安全生产无事故，完成鹿泉区下达的防汛物资号备工作。</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二是根据鹿泉办文[2017]31号文《鹿泉区关于进一步做好部分军队退役人员帮扶救助的若干措施》的通知，做好11名退役人员的安置帮扶工作，安置帮扶100%。</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spacing w:line="500" w:lineRule="exact"/>
        <w:ind w:firstLine="640" w:firstLineChars="200"/>
        <w:jc w:val="left"/>
        <w:rPr>
          <w:rFonts w:ascii="仿宋" w:hAnsi="仿宋" w:eastAsia="仿宋"/>
          <w:sz w:val="32"/>
          <w:szCs w:val="32"/>
        </w:rPr>
      </w:pPr>
      <w:r>
        <w:rPr>
          <w:rFonts w:ascii="仿宋" w:hAnsi="仿宋" w:eastAsia="仿宋"/>
          <w:sz w:val="32"/>
          <w:szCs w:val="32"/>
        </w:rPr>
        <w:t>为实现年度绩效目标，一是完善制度建设。制定完善预算绩效管理制度、资金管理办法、工作保障制度、内部控制制度、内部审计制度等，为全年预算绩效目标的实现奠定了制度基础。二是加强支出管理。通过优化支出结构、编细编实预算、加强资金支付进度管理，确保细划代编预算按规定及时下达支出。三是通过加强绩效运行监控，发现问题及时采取措施，确保绩效目标如期保质实现。四是做好绩效自评。按照要求开展预算绩效自评和重点评价工作，对评价中发现的问题及时整改，提高财政资金使用效益。五是加强宣传培训调研力度。加强人员培训，提高本部门职工业务素质；加强调研，提出优化财政资金配置、提高资金使用效益的意见；加强宣传力度，强化绩效管理意识，促进预算绩效管理水平进一步提升。</w:t>
      </w:r>
    </w:p>
    <w:p>
      <w:pPr>
        <w:spacing w:line="500" w:lineRule="exact"/>
        <w:ind w:firstLine="640" w:firstLineChars="200"/>
        <w:jc w:val="left"/>
        <w:rPr>
          <w:rFonts w:ascii="仿宋" w:hAnsi="仿宋" w:eastAsia="仿宋"/>
          <w:sz w:val="32"/>
          <w:szCs w:val="32"/>
        </w:rPr>
      </w:pPr>
      <w:r>
        <w:rPr>
          <w:rFonts w:ascii="仿宋" w:hAnsi="仿宋" w:eastAsia="仿宋"/>
          <w:sz w:val="32"/>
          <w:szCs w:val="32"/>
        </w:rPr>
        <w:t>1、内控管理</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一是加强内控制度建设，遵循全面性、重要性、制衡性、适应性和有效性的原则，研究制订风险防范和管控措施，建立和实施内部控制制度，构建内控管理体系建立重大项目安排、大额资金使用的集体决策和内部监督机制，制定项目资金审批、安排和日常经费使用审批的流程，强化对权力运行的制约和监督。明确单位内部财务、内部审计、纪检监察及相关业务部门的职责，明晰各方在资金分配、使用的前期论证、执行过程的审核监督、事后的绩效评价等环节的责任边界。</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二是明晰财务部门职责，确保不相容岗位互相分离。</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三是加强票据专门管理和政府采购、财务报销的管理。</w:t>
      </w:r>
    </w:p>
    <w:p>
      <w:pPr>
        <w:spacing w:line="500" w:lineRule="exact"/>
        <w:ind w:firstLine="640" w:firstLineChars="200"/>
        <w:jc w:val="left"/>
        <w:rPr>
          <w:rFonts w:ascii="仿宋" w:hAnsi="仿宋" w:eastAsia="仿宋"/>
          <w:sz w:val="32"/>
          <w:szCs w:val="32"/>
        </w:rPr>
      </w:pPr>
      <w:r>
        <w:rPr>
          <w:rFonts w:ascii="仿宋" w:hAnsi="仿宋" w:eastAsia="仿宋"/>
          <w:sz w:val="32"/>
          <w:szCs w:val="32"/>
        </w:rPr>
        <w:t>四是健全内部审计制度。</w:t>
      </w:r>
    </w:p>
    <w:p>
      <w:pPr>
        <w:spacing w:line="500" w:lineRule="exact"/>
        <w:ind w:firstLine="640" w:firstLineChars="200"/>
        <w:jc w:val="left"/>
        <w:rPr>
          <w:rFonts w:ascii="仿宋" w:hAnsi="仿宋" w:eastAsia="仿宋"/>
          <w:sz w:val="32"/>
          <w:szCs w:val="32"/>
        </w:rPr>
      </w:pPr>
      <w:r>
        <w:rPr>
          <w:rFonts w:ascii="仿宋" w:hAnsi="仿宋" w:eastAsia="仿宋"/>
          <w:sz w:val="32"/>
          <w:szCs w:val="32"/>
        </w:rPr>
        <w:t>2、预算管理</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一是合理编制部门预算。将预算编制与业务工作、厉行节约各项要求相结合，通盘规划，提前预计需要落实的重大政策措施等，并在预算和规划编制中予以体现，切实提高预算编制的完整性。要规范预算编制，将单位支出预算全部细化到支出功能分类的项级科目和支出经济分类的款级科目，切实编实、编细、编准支出预算，增强预算编制的科学性、有效性。</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二是突出预算执行约束，不得擅自改变预算资金支出用途。</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三是建立绩效管理机制，实现预算和绩效管理一体化。</w:t>
      </w:r>
    </w:p>
    <w:p>
      <w:pPr>
        <w:spacing w:line="500" w:lineRule="exact"/>
        <w:ind w:firstLine="640" w:firstLineChars="200"/>
        <w:jc w:val="left"/>
        <w:rPr>
          <w:rFonts w:ascii="仿宋" w:hAnsi="仿宋" w:eastAsia="仿宋"/>
          <w:sz w:val="32"/>
          <w:szCs w:val="32"/>
        </w:rPr>
      </w:pPr>
      <w:r>
        <w:rPr>
          <w:rFonts w:ascii="仿宋" w:hAnsi="仿宋" w:eastAsia="仿宋"/>
          <w:sz w:val="32"/>
          <w:szCs w:val="32"/>
        </w:rPr>
        <w:t>四加强会计核算管理，确保会计核算的真实性、准确性和完整性。不得编制虚假财务会计报告。</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五是设立正确、科学的绩效管理目标，预算集中编制，严格审核，确保预算决算数据准确、合理。</w:t>
      </w:r>
    </w:p>
    <w:p>
      <w:pPr>
        <w:spacing w:line="500" w:lineRule="exact"/>
        <w:ind w:firstLine="640" w:firstLineChars="200"/>
        <w:jc w:val="left"/>
        <w:rPr>
          <w:rFonts w:ascii="仿宋" w:hAnsi="仿宋" w:eastAsia="仿宋"/>
          <w:sz w:val="32"/>
          <w:szCs w:val="32"/>
        </w:rPr>
      </w:pPr>
      <w:r>
        <w:rPr>
          <w:rFonts w:ascii="仿宋" w:hAnsi="仿宋" w:eastAsia="仿宋"/>
          <w:sz w:val="32"/>
          <w:szCs w:val="32"/>
        </w:rPr>
        <w:t>3、财务管理</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一是健全各项财务管理制度，在收入管理方面，坚持收缴分离。不得以任何理由截留、坐支、挪用、私分非税收入。</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二是在项目资金管理方面，通过加强项目立项管理，由业务主管部门申报，按要求如实报送材料，保证申报材料的真实性和合法性。在项目实施管理方面，按照项目预算绩效目标书中的资金支出计划进度和项目预计进度直接拨付资金，项目资金必须专款专用，任何单位和个人不得滞拨、截留、挪用，不得随意改变资金用途、擅自扩大支出范围，不得以虚报、冒领等手段骗取项目资金。</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三是严格往来款项管理，严禁违规对外借款，规范往来款项管理。</w:t>
      </w:r>
    </w:p>
    <w:p>
      <w:pPr>
        <w:spacing w:line="500" w:lineRule="exact"/>
        <w:ind w:firstLine="640" w:firstLineChars="200"/>
        <w:jc w:val="left"/>
        <w:rPr>
          <w:rFonts w:ascii="仿宋" w:hAnsi="仿宋" w:eastAsia="仿宋"/>
          <w:sz w:val="32"/>
          <w:szCs w:val="32"/>
        </w:rPr>
      </w:pPr>
      <w:r>
        <w:rPr>
          <w:rFonts w:ascii="仿宋" w:hAnsi="仿宋" w:eastAsia="仿宋"/>
          <w:sz w:val="32"/>
          <w:szCs w:val="32"/>
        </w:rPr>
        <w:t>四是加强预算资金管理，健全资金管理制度。加强和规范资金配置、使用和处置管理，维护资金安全完整。定期或不定期对本单位资金进行清查盘点，确保资金管理账账相符、账实相符。</w:t>
      </w:r>
    </w:p>
    <w:p>
      <w:pPr>
        <w:spacing w:line="500" w:lineRule="exact"/>
        <w:ind w:firstLine="640" w:firstLineChars="200"/>
        <w:jc w:val="left"/>
        <w:rPr>
          <w:rFonts w:ascii="仿宋" w:hAnsi="仿宋" w:eastAsia="仿宋"/>
          <w:sz w:val="32"/>
          <w:szCs w:val="32"/>
        </w:rPr>
      </w:pPr>
      <w:r>
        <w:rPr>
          <w:rFonts w:ascii="仿宋" w:hAnsi="仿宋" w:eastAsia="仿宋"/>
          <w:sz w:val="32"/>
          <w:szCs w:val="32"/>
        </w:rPr>
        <w:t>4、加强内部控制和绩效管理的有机结合</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一是加强对单位内部控制、预算绩效管理的宣传和培训。</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二是结合内部控制要求，给绩效指标体系进行针对性细化量化。</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三是强化预算执行管理，实现对预算业务的风险控制。</w:t>
      </w:r>
    </w:p>
    <w:p>
      <w:pPr>
        <w:spacing w:line="500" w:lineRule="exact"/>
        <w:ind w:firstLine="640" w:firstLineChars="200"/>
        <w:jc w:val="left"/>
        <w:rPr>
          <w:rFonts w:ascii="仿宋" w:hAnsi="仿宋" w:eastAsia="仿宋"/>
          <w:sz w:val="32"/>
          <w:szCs w:val="32"/>
        </w:rPr>
      </w:pPr>
      <w:r>
        <w:rPr>
          <w:rFonts w:ascii="仿宋" w:hAnsi="仿宋" w:eastAsia="仿宋"/>
          <w:sz w:val="32"/>
          <w:szCs w:val="32"/>
        </w:rPr>
        <w:t>四是加强预算决算公开和绩效管理情况。</w:t>
      </w:r>
    </w:p>
    <w:p>
      <w:pPr>
        <w:spacing w:line="500" w:lineRule="exact"/>
        <w:ind w:firstLine="640" w:firstLineChars="200"/>
        <w:jc w:val="left"/>
        <w:rPr>
          <w:rFonts w:ascii="仿宋" w:hAnsi="仿宋" w:eastAsia="仿宋"/>
          <w:sz w:val="32"/>
          <w:szCs w:val="32"/>
        </w:rPr>
      </w:pPr>
      <w:r>
        <w:rPr>
          <w:rFonts w:ascii="仿宋" w:hAnsi="仿宋" w:eastAsia="仿宋"/>
          <w:sz w:val="32"/>
          <w:szCs w:val="32"/>
        </w:rPr>
        <w:t>5、加强内部审计工作</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一是建立审计内部控制制度，促进单位内部控制管理健全与完善。对执行预算收支情况、专项业务经费执行情况进行检查与评价，促进预算管理思想观念转变，建立与健全各项费用管理办法、制度、相关费用开支标准。</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二是突出财务收支和专项业务经费资金的审计，对财务收支、专项业务经费资金管理、政府采购、国有资产管理等开展绩效审计，从会计的基础工作规范和专项业务经费资金规范管理方面入手，建立长效机制，规范管理。审查支出预算的编制是否科学、完整，是否存在无预算支出以及挤占、挪用和调剂使用专项资金(专项业务费)的现象，执行厉行节约相关规定、压缩事业开支情况，计算支出预算执行率，评价单位预算执行情况。</w:t>
      </w:r>
    </w:p>
    <w:p>
      <w:pPr>
        <w:spacing w:line="500" w:lineRule="exact"/>
        <w:ind w:firstLine="640" w:firstLineChars="200"/>
        <w:jc w:val="left"/>
        <w:rPr>
          <w:rFonts w:ascii="仿宋" w:hAnsi="仿宋" w:eastAsia="仿宋"/>
          <w:sz w:val="32"/>
          <w:szCs w:val="32"/>
        </w:rPr>
      </w:pPr>
      <w:r>
        <w:rPr>
          <w:rFonts w:ascii="仿宋" w:hAnsi="仿宋" w:eastAsia="仿宋"/>
          <w:sz w:val="32"/>
          <w:szCs w:val="32"/>
        </w:rPr>
        <w:t>6、建立科学、完善的重大决策管理机制</w:t>
      </w:r>
    </w:p>
    <w:p>
      <w:pPr>
        <w:autoSpaceDE w:val="0"/>
        <w:autoSpaceDN w:val="0"/>
        <w:adjustRightInd w:val="0"/>
        <w:ind w:left="198" w:firstLine="640" w:firstLineChars="200"/>
        <w:jc w:val="left"/>
        <w:rPr>
          <w:rFonts w:ascii="仿宋" w:hAnsi="仿宋" w:eastAsia="仿宋" w:cs="Times New Roman"/>
          <w:sz w:val="32"/>
          <w:szCs w:val="32"/>
        </w:rPr>
      </w:pPr>
      <w:r>
        <w:rPr>
          <w:rFonts w:ascii="仿宋" w:hAnsi="仿宋" w:eastAsia="仿宋"/>
          <w:sz w:val="32"/>
          <w:szCs w:val="32"/>
        </w:rPr>
        <w:t>建立科学、完善的重大决策管理机制，确保专项业务经费资金项目做到管理到位、台账资料齐全、报账的相关原始单据手续完备，不挤占、挪用和调剂使用专项业务资金，</w:t>
      </w:r>
      <w:r>
        <w:rPr>
          <w:rFonts w:hint="eastAsia" w:ascii="仿宋" w:hAnsi="仿宋" w:eastAsia="仿宋"/>
          <w:sz w:val="32"/>
          <w:szCs w:val="32"/>
        </w:rPr>
        <w:t>对</w:t>
      </w:r>
      <w:r>
        <w:rPr>
          <w:rFonts w:ascii="仿宋" w:hAnsi="仿宋" w:eastAsia="仿宋"/>
          <w:sz w:val="32"/>
          <w:szCs w:val="32"/>
        </w:rPr>
        <w:t>专项</w:t>
      </w:r>
      <w:r>
        <w:rPr>
          <w:rFonts w:hint="eastAsia" w:ascii="仿宋" w:hAnsi="仿宋" w:eastAsia="仿宋"/>
          <w:sz w:val="32"/>
          <w:szCs w:val="32"/>
        </w:rPr>
        <w:t>业务经费</w:t>
      </w:r>
      <w:r>
        <w:rPr>
          <w:rFonts w:ascii="仿宋" w:hAnsi="仿宋" w:eastAsia="仿宋"/>
          <w:sz w:val="32"/>
          <w:szCs w:val="32"/>
        </w:rPr>
        <w:t>资金实施后产生的经济效益、社会效益进行综合评价。</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pPr>
        <w:ind w:firstLine="560" w:firstLineChars="200"/>
        <w:jc w:val="left"/>
        <w:outlineLvl w:val="1"/>
        <w:rPr>
          <w:rFonts w:ascii="Times New Roman" w:hAnsi="宋体"/>
          <w:b/>
          <w:sz w:val="28"/>
        </w:rPr>
      </w:pPr>
      <w:r>
        <w:rPr>
          <w:rFonts w:hint="eastAsia" w:ascii="方正仿宋_GBK" w:eastAsia="方正仿宋_GBK"/>
          <w:b/>
          <w:sz w:val="28"/>
        </w:rPr>
        <w:t xml:space="preserve">  1、农村产权交易中心专项业务及办公费绩效目标表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32843763"/>
      <w:r>
        <w:rPr>
          <w:rFonts w:hint="eastAsia" w:ascii="方正仿宋_GBK" w:eastAsia="方正仿宋_GBK"/>
          <w:b/>
          <w:sz w:val="28"/>
        </w:rPr>
        <w:instrText xml:space="preserve">1、农村产权交易中心专项业务及办公费绩效目标表</w:instrText>
      </w:r>
      <w:bookmarkEnd w:id="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000-9999-JSN-664R</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农村产权交易中心专项业务及办公费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保障区农村产权交易中心的正常运营和办公需要。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、保障区农村产权交易中心的运营和办公，实现农村产权交易备案流转。</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、完善</w:t>
            </w:r>
            <w:r>
              <w:rPr>
                <w:rFonts w:ascii="方正书宋_GBK" w:eastAsia="方正书宋_GBK"/>
              </w:rPr>
              <w:t>13</w:t>
            </w:r>
            <w:r>
              <w:rPr>
                <w:rFonts w:hint="eastAsia" w:ascii="方正书宋_GBK" w:eastAsia="方正书宋_GBK"/>
              </w:rPr>
              <w:t>个乡镇区农村产权交易服务站的运转，提供政策及交易服务到位。</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交易流转土地备案数量（亩）</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土地流转</w:t>
            </w:r>
            <w:r>
              <w:rPr>
                <w:rFonts w:ascii="方正书宋_GBK" w:eastAsia="方正书宋_GBK"/>
              </w:rPr>
              <w:t>3000</w:t>
            </w:r>
            <w:r>
              <w:rPr>
                <w:rFonts w:hint="eastAsia" w:ascii="方正书宋_GBK" w:eastAsia="方正书宋_GBK"/>
              </w:rPr>
              <w:t>亩以上</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r>
              <w:rPr>
                <w:rFonts w:hint="eastAsia" w:ascii="方正书宋_GBK" w:eastAsia="方正书宋_GBK"/>
              </w:rPr>
              <w:t>亩以上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办公软件登记实际交易备案的数量，计划标准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建设完善农村产权交易中心数量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计划建设完善农产交易中心数量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交易流转备案办结及时率</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时间内实际交易流转备案数占申请流转备案数的比例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及时率</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按照时间内申请数、登记备案数的实际数计算</w:t>
            </w:r>
            <w:r>
              <w:rPr>
                <w:rFonts w:hint="eastAsia" w:ascii="方正书宋_GBK" w:eastAsia="方正书宋_GBK"/>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交易备案办结率</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实际交易备案数占申请登记备案数的比例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办结率</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按照备案登记发证数量计算（市县网络备案系统自动生成）</w:t>
            </w:r>
            <w:r>
              <w:rPr>
                <w:rFonts w:hint="eastAsia" w:ascii="方正书宋_GBK" w:eastAsia="方正书宋_GBK"/>
                <w:lang w:eastAsia="zh-CN"/>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带动农村产权交易量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实际交易备案的农村产权数量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交易系统实际登记农村产权交易数量</w:t>
            </w:r>
            <w:r>
              <w:rPr>
                <w:rFonts w:hint="eastAsia" w:ascii="方正书宋_GBK" w:eastAsia="方正书宋_GBK"/>
                <w:lang w:eastAsia="zh-CN"/>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资料宣传</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发入资料数量（份）</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w:t>
            </w:r>
            <w:r>
              <w:rPr>
                <w:rFonts w:hint="eastAsia" w:ascii="方正书宋_GBK" w:eastAsia="方正书宋_GBK"/>
                <w:lang w:val="en-US" w:eastAsia="zh-CN"/>
              </w:rPr>
              <w:t>0份</w:t>
            </w:r>
            <w:r>
              <w:rPr>
                <w:rFonts w:hint="eastAsia" w:ascii="方正书宋_GBK" w:eastAsia="方正书宋_GBK"/>
              </w:rPr>
              <w:t>，历史标准</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乡镇服务站实际发放数量，历史标准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农户满意度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满意农户占申请备案农户的比例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95%</w:t>
            </w:r>
            <w:r>
              <w:rPr>
                <w:rFonts w:hint="eastAsia" w:ascii="方正书宋_GBK" w:eastAsia="方正书宋_GBK"/>
              </w:rPr>
              <w:t>以上，历史标准</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通过问卷测评，历史标准</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2、社会化服务体系绩效目标表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32843764"/>
      <w:r>
        <w:rPr>
          <w:rFonts w:hint="eastAsia" w:ascii="方正仿宋_GBK" w:eastAsia="方正仿宋_GBK"/>
          <w:b/>
          <w:sz w:val="28"/>
        </w:rPr>
        <w:instrText xml:space="preserve">2、社会化服务体系绩效目标表</w:instrText>
      </w:r>
      <w:bookmarkEnd w:id="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000-9999-JSN-8HH6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社会化服务体系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加快推进农村物流配送中心建设。建设庄稼医院</w:t>
            </w:r>
            <w:r>
              <w:rPr>
                <w:rFonts w:ascii="方正书宋_GBK" w:eastAsia="方正书宋_GBK"/>
              </w:rPr>
              <w:t>3</w:t>
            </w:r>
            <w:r>
              <w:rPr>
                <w:rFonts w:hint="eastAsia" w:ascii="方正书宋_GBK" w:eastAsia="方正书宋_GBK"/>
              </w:rPr>
              <w:t>家、各类农民专业社</w:t>
            </w:r>
            <w:r>
              <w:rPr>
                <w:rFonts w:ascii="方正书宋_GBK" w:eastAsia="方正书宋_GBK"/>
              </w:rPr>
              <w:t>10</w:t>
            </w:r>
            <w:r>
              <w:rPr>
                <w:rFonts w:hint="eastAsia" w:ascii="方正书宋_GBK" w:eastAsia="方正书宋_GBK"/>
              </w:rPr>
              <w:t>家，带动入社农户</w:t>
            </w:r>
            <w:r>
              <w:rPr>
                <w:rFonts w:ascii="方正书宋_GBK" w:eastAsia="方正书宋_GBK"/>
              </w:rPr>
              <w:t>3000</w:t>
            </w:r>
            <w:r>
              <w:rPr>
                <w:rFonts w:hint="eastAsia" w:ascii="方正书宋_GBK" w:eastAsia="方正书宋_GBK"/>
              </w:rPr>
              <w:t>户，培训农民社员及专业社负责人</w:t>
            </w:r>
            <w:r>
              <w:rPr>
                <w:rFonts w:ascii="方正书宋_GBK" w:eastAsia="方正书宋_GBK"/>
              </w:rPr>
              <w:t>2000</w:t>
            </w:r>
            <w:r>
              <w:rPr>
                <w:rFonts w:hint="eastAsia" w:ascii="方正书宋_GBK" w:eastAsia="方正书宋_GBK"/>
              </w:rPr>
              <w:t>人次，建设农民诉求站</w:t>
            </w:r>
            <w:r>
              <w:rPr>
                <w:rFonts w:ascii="方正书宋_GBK" w:eastAsia="方正书宋_GBK"/>
              </w:rPr>
              <w:t>2</w:t>
            </w:r>
            <w:r>
              <w:rPr>
                <w:rFonts w:hint="eastAsia" w:ascii="方正书宋_GBK" w:eastAsia="方正书宋_GBK"/>
              </w:rPr>
              <w:t>家，并改造完善社区综合服务站</w:t>
            </w:r>
            <w:r>
              <w:rPr>
                <w:rFonts w:ascii="方正书宋_GBK" w:eastAsia="方正书宋_GBK"/>
              </w:rPr>
              <w:t>46</w:t>
            </w:r>
            <w:r>
              <w:rPr>
                <w:rFonts w:hint="eastAsia" w:ascii="方正书宋_GBK" w:eastAsia="方正书宋_GBK"/>
              </w:rPr>
              <w:t>家、供销超市</w:t>
            </w:r>
            <w:r>
              <w:rPr>
                <w:rFonts w:ascii="方正书宋_GBK" w:eastAsia="方正书宋_GBK"/>
              </w:rPr>
              <w:t>5</w:t>
            </w:r>
            <w:r>
              <w:rPr>
                <w:rFonts w:hint="eastAsia" w:ascii="方正书宋_GBK" w:eastAsia="方正书宋_GBK"/>
              </w:rPr>
              <w:t>家、物流中心</w:t>
            </w:r>
            <w:r>
              <w:rPr>
                <w:rFonts w:ascii="方正书宋_GBK" w:eastAsia="方正书宋_GBK"/>
              </w:rPr>
              <w:t>1</w:t>
            </w:r>
            <w:r>
              <w:rPr>
                <w:rFonts w:hint="eastAsia" w:ascii="方正书宋_GBK" w:eastAsia="方正书宋_GBK"/>
              </w:rPr>
              <w:t>家，新增营业面积</w:t>
            </w:r>
            <w:r>
              <w:rPr>
                <w:rFonts w:ascii="方正书宋_GBK" w:eastAsia="方正书宋_GBK"/>
              </w:rPr>
              <w:t>1000</w:t>
            </w:r>
            <w:r>
              <w:rPr>
                <w:rFonts w:hint="eastAsia" w:ascii="方正书宋_GBK" w:eastAsia="方正书宋_GBK"/>
              </w:rPr>
              <w:t>平方米，需资金</w:t>
            </w:r>
            <w:r>
              <w:rPr>
                <w:rFonts w:ascii="方正书宋_GBK" w:eastAsia="方正书宋_GBK"/>
              </w:rPr>
              <w:t>20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、带动农户数量</w:t>
            </w:r>
            <w:r>
              <w:rPr>
                <w:rFonts w:ascii="方正书宋_GBK" w:eastAsia="方正书宋_GBK"/>
              </w:rPr>
              <w:t>3000</w:t>
            </w:r>
            <w:r>
              <w:rPr>
                <w:rFonts w:hint="eastAsia" w:ascii="方正书宋_GBK" w:eastAsia="方正书宋_GBK"/>
              </w:rPr>
              <w:t>户，建设庄稼医院</w:t>
            </w:r>
            <w:r>
              <w:rPr>
                <w:rFonts w:ascii="方正书宋_GBK" w:eastAsia="方正书宋_GBK"/>
              </w:rPr>
              <w:t>3</w:t>
            </w:r>
            <w:r>
              <w:rPr>
                <w:rFonts w:hint="eastAsia" w:ascii="方正书宋_GBK" w:eastAsia="方正书宋_GBK"/>
              </w:rPr>
              <w:t>家、诉求站</w:t>
            </w:r>
            <w:r>
              <w:rPr>
                <w:rFonts w:ascii="方正书宋_GBK" w:eastAsia="方正书宋_GBK"/>
              </w:rPr>
              <w:t>2</w:t>
            </w:r>
            <w:r>
              <w:rPr>
                <w:rFonts w:hint="eastAsia" w:ascii="方正书宋_GBK" w:eastAsia="方正书宋_GBK"/>
              </w:rPr>
              <w:t>家、各类农民专业社</w:t>
            </w:r>
            <w:r>
              <w:rPr>
                <w:rFonts w:ascii="方正书宋_GBK" w:eastAsia="方正书宋_GBK"/>
              </w:rPr>
              <w:t>10</w:t>
            </w:r>
            <w:r>
              <w:rPr>
                <w:rFonts w:hint="eastAsia" w:ascii="方正书宋_GBK" w:eastAsia="方正书宋_GBK"/>
              </w:rPr>
              <w:t>家，培训社员及负责人</w:t>
            </w:r>
            <w:r>
              <w:rPr>
                <w:rFonts w:ascii="方正书宋_GBK" w:eastAsia="方正书宋_GBK"/>
              </w:rPr>
              <w:t>2000</w:t>
            </w:r>
            <w:r>
              <w:rPr>
                <w:rFonts w:hint="eastAsia" w:ascii="方正书宋_GBK" w:eastAsia="方正书宋_GBK"/>
              </w:rPr>
              <w:t>人次，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、改造社区综合服务站</w:t>
            </w:r>
            <w:r>
              <w:rPr>
                <w:rFonts w:ascii="方正书宋_GBK" w:eastAsia="方正书宋_GBK"/>
              </w:rPr>
              <w:t>46</w:t>
            </w:r>
            <w:r>
              <w:rPr>
                <w:rFonts w:hint="eastAsia" w:ascii="方正书宋_GBK" w:eastAsia="方正书宋_GBK"/>
              </w:rPr>
              <w:t>家、供销社超市</w:t>
            </w:r>
            <w:r>
              <w:rPr>
                <w:rFonts w:ascii="方正书宋_GBK" w:eastAsia="方正书宋_GBK"/>
              </w:rPr>
              <w:t>5</w:t>
            </w:r>
            <w:r>
              <w:rPr>
                <w:rFonts w:hint="eastAsia" w:ascii="方正书宋_GBK" w:eastAsia="方正书宋_GBK"/>
              </w:rPr>
              <w:t>家、物流中心</w:t>
            </w:r>
            <w:r>
              <w:rPr>
                <w:rFonts w:ascii="方正书宋_GBK" w:eastAsia="方正书宋_GBK"/>
              </w:rPr>
              <w:t>1</w:t>
            </w:r>
            <w:r>
              <w:rPr>
                <w:rFonts w:hint="eastAsia" w:ascii="方正书宋_GBK" w:eastAsia="方正书宋_GBK"/>
              </w:rPr>
              <w:t>家，新增营业面积</w:t>
            </w:r>
            <w:r>
              <w:rPr>
                <w:rFonts w:ascii="方正书宋_GBK" w:eastAsia="方正书宋_GBK"/>
              </w:rPr>
              <w:t>1000</w:t>
            </w:r>
            <w:r>
              <w:rPr>
                <w:rFonts w:hint="eastAsia" w:ascii="方正书宋_GBK" w:eastAsia="方正书宋_GBK"/>
              </w:rPr>
              <w:t>平方米</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新增营业面积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新增营业面积数量（平方米）</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r>
              <w:rPr>
                <w:rFonts w:hint="eastAsia" w:ascii="方正书宋_GBK" w:eastAsia="方正书宋_GBK"/>
              </w:rPr>
              <w:t>平方米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改造服务站数量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改造服务功能的服务站数量（家）</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46</w:t>
            </w:r>
            <w:r>
              <w:rPr>
                <w:rFonts w:hint="eastAsia" w:ascii="方正书宋_GBK" w:eastAsia="方正书宋_GBK"/>
              </w:rPr>
              <w:t>家</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培训社员及负责人数量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参加培训技能农户及负责人的数量（人次）</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r>
              <w:rPr>
                <w:rFonts w:hint="eastAsia" w:ascii="方正书宋_GBK" w:eastAsia="方正书宋_GBK"/>
              </w:rPr>
              <w:t>人次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带动入社农户数量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带动入社农户数量（户）</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r>
              <w:rPr>
                <w:rFonts w:hint="eastAsia" w:ascii="方正书宋_GBK" w:eastAsia="方正书宋_GBK"/>
              </w:rPr>
              <w:t>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建设庄稼医院数量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建设庄稼医院的数量（家）</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家</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改造供销超市数量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改造供销超市的数量（家）</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家</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建设农户诉求站数量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建设农户诉求站的数量（家）</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家</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改造物流中心数量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改造物流中心的数量（家）</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家</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建设农民专业社数量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建设领办各类农民专业社的数量（家）</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家</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农副产品购进增长率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农副产品购进额比上年增长的比例</w:t>
            </w:r>
            <w:r>
              <w:rPr>
                <w:rFonts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农资销售额增长率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农资销售额比上年增长的比例</w:t>
            </w:r>
            <w:r>
              <w:rPr>
                <w:rFonts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销售总额增长率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销售总额比上年增长的比例</w:t>
            </w:r>
            <w:r>
              <w:rPr>
                <w:rFonts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带动入社农户增收致富额</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带动入社农户增收致富额（万元）</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入社农户农产品进入销售市场的能力提升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提升入社农户的农产品进入市场销售能力提高的比例率</w:t>
            </w:r>
            <w:r>
              <w:rPr>
                <w:rFonts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专家测评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农户满意度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调查满意农户和较满意农户占全部入社农户的比例</w:t>
            </w:r>
            <w:r>
              <w:rPr>
                <w:rFonts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专家测评</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3、退役军人公益岗绩效目标表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32843765"/>
      <w:r>
        <w:rPr>
          <w:rFonts w:hint="eastAsia" w:ascii="方正仿宋_GBK" w:eastAsia="方正仿宋_GBK"/>
          <w:b/>
          <w:sz w:val="28"/>
        </w:rPr>
        <w:instrText xml:space="preserve">3、退役军人公益岗绩效目标表</w:instrText>
      </w:r>
      <w:bookmarkEnd w:id="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000-9999-JSN-4N64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退役军人公益岗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44.63</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44.63</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对符合政府安排工作条件的退役士兵帮扶救助，加大就业援助，通过公益岗位给予安置。我单位</w:t>
            </w:r>
            <w:r>
              <w:rPr>
                <w:rFonts w:ascii="方正书宋_GBK" w:eastAsia="方正书宋_GBK"/>
              </w:rPr>
              <w:t>11</w:t>
            </w:r>
            <w:r>
              <w:rPr>
                <w:rFonts w:hint="eastAsia" w:ascii="方正书宋_GBK" w:eastAsia="方正书宋_GBK"/>
              </w:rPr>
              <w:t>名退役人员均由财政负担，需资金</w:t>
            </w:r>
            <w:r>
              <w:rPr>
                <w:rFonts w:ascii="方正书宋_GBK" w:eastAsia="方正书宋_GBK"/>
              </w:rPr>
              <w:t>44.63</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、对符合条件的军队退役人员</w:t>
            </w:r>
            <w:r>
              <w:rPr>
                <w:rFonts w:ascii="方正书宋_GBK" w:eastAsia="方正书宋_GBK"/>
              </w:rPr>
              <w:t>11</w:t>
            </w:r>
            <w:r>
              <w:rPr>
                <w:rFonts w:hint="eastAsia" w:ascii="方正书宋_GBK" w:eastAsia="方正书宋_GBK"/>
              </w:rPr>
              <w:t>名，帮扶救助到位，实现就业。</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、工资执行公益岗位工资，加生活补助和军龄补助，按月及时发放到位。</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退役人员公益岗位安置人数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退役人员公益岗位托底安置</w:t>
            </w:r>
            <w:r>
              <w:rPr>
                <w:rFonts w:ascii="方正书宋_GBK" w:eastAsia="方正书宋_GBK"/>
              </w:rPr>
              <w:t>11</w:t>
            </w:r>
            <w:r>
              <w:rPr>
                <w:rFonts w:hint="eastAsia" w:ascii="方正书宋_GBK" w:eastAsia="方正书宋_GBK"/>
              </w:rPr>
              <w:t>（人）</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退役人员公益岗位工资标准元</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退役人员公益岗位工资为公益岗工资加生活补贴加军龄补贴（元）</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3223</w:t>
            </w:r>
            <w:r>
              <w:rPr>
                <w:rFonts w:hint="eastAsia" w:ascii="方正书宋_GBK" w:eastAsia="方正书宋_GBK"/>
              </w:rPr>
              <w:t>元</w:t>
            </w:r>
            <w:r>
              <w:rPr>
                <w:rFont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退役军人工资发放及时率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退役人员工资及时发放人数占退役安置人数的比例</w:t>
            </w:r>
            <w:r>
              <w:rPr>
                <w:rFonts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安置退役人员人数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安置退役人员人数（人）</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退役安置人员满意人数和比较满意人数占退役安置人数的比例</w:t>
            </w:r>
            <w:r>
              <w:rPr>
                <w:rFonts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号文</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4、新型基层社及专业社联合社组织体系绩效目标表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32843766"/>
      <w:r>
        <w:rPr>
          <w:rFonts w:hint="eastAsia" w:ascii="方正仿宋_GBK" w:eastAsia="方正仿宋_GBK"/>
          <w:b/>
          <w:sz w:val="28"/>
        </w:rPr>
        <w:instrText xml:space="preserve">4、新型基层社及专业社联合社组织体系绩效目标表</w:instrText>
      </w:r>
      <w:bookmarkEnd w:id="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000-9999-JSN-V62H</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新型基层社及专业社联合社组织体系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规范基层社管理运营为重点，全面推进基层社建设提档升级，建成</w:t>
            </w:r>
            <w:r>
              <w:rPr>
                <w:rFonts w:ascii="方正书宋_GBK" w:eastAsia="方正书宋_GBK"/>
              </w:rPr>
              <w:t>3-5</w:t>
            </w:r>
            <w:r>
              <w:rPr>
                <w:rFonts w:hint="eastAsia" w:ascii="方正书宋_GBK" w:eastAsia="方正书宋_GBK"/>
              </w:rPr>
              <w:t>个示范基层社，推进</w:t>
            </w:r>
            <w:r>
              <w:rPr>
                <w:rFonts w:ascii="方正书宋_GBK" w:eastAsia="方正书宋_GBK"/>
              </w:rPr>
              <w:t>12</w:t>
            </w:r>
            <w:r>
              <w:rPr>
                <w:rFonts w:hint="eastAsia" w:ascii="方正书宋_GBK" w:eastAsia="方正书宋_GBK"/>
              </w:rPr>
              <w:t>个乡镇基层社分类改造，建设便民超市，开展农资销售、日用消费品销售、农副产品收购，规范乡级农民专业社联合社</w:t>
            </w:r>
            <w:r>
              <w:rPr>
                <w:rFonts w:ascii="方正书宋_GBK" w:eastAsia="方正书宋_GBK"/>
              </w:rPr>
              <w:t>12</w:t>
            </w:r>
            <w:r>
              <w:rPr>
                <w:rFonts w:hint="eastAsia" w:ascii="方正书宋_GBK" w:eastAsia="方正书宋_GBK"/>
              </w:rPr>
              <w:t>个，组建完善产业专业联合社</w:t>
            </w:r>
            <w:r>
              <w:rPr>
                <w:rFonts w:ascii="方正书宋_GBK" w:eastAsia="方正书宋_GBK"/>
              </w:rPr>
              <w:t>10</w:t>
            </w:r>
            <w:r>
              <w:rPr>
                <w:rFonts w:hint="eastAsia" w:ascii="方正书宋_GBK" w:eastAsia="方正书宋_GBK"/>
              </w:rPr>
              <w:t>个。</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、规范基层社管理运营为重点，全面推进基层社建设提档升级，建成</w:t>
            </w:r>
            <w:r>
              <w:rPr>
                <w:rFonts w:ascii="方正书宋_GBK" w:eastAsia="方正书宋_GBK"/>
              </w:rPr>
              <w:t>3-5</w:t>
            </w:r>
            <w:r>
              <w:rPr>
                <w:rFonts w:hint="eastAsia" w:ascii="方正书宋_GBK" w:eastAsia="方正书宋_GBK"/>
              </w:rPr>
              <w:t>个示范基层社，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、规范乡级农民专业社联合社</w:t>
            </w:r>
            <w:r>
              <w:rPr>
                <w:rFonts w:ascii="方正书宋_GBK" w:eastAsia="方正书宋_GBK"/>
              </w:rPr>
              <w:t>12</w:t>
            </w:r>
            <w:r>
              <w:rPr>
                <w:rFonts w:hint="eastAsia" w:ascii="方正书宋_GBK" w:eastAsia="方正书宋_GBK"/>
              </w:rPr>
              <w:t>个，组建完善产业专业联合社</w:t>
            </w:r>
            <w:r>
              <w:rPr>
                <w:rFonts w:ascii="方正书宋_GBK" w:eastAsia="方正书宋_GBK"/>
              </w:rPr>
              <w:t>10</w:t>
            </w:r>
            <w:r>
              <w:rPr>
                <w:rFonts w:hint="eastAsia" w:ascii="方正书宋_GBK" w:eastAsia="方正书宋_GBK"/>
              </w:rPr>
              <w:t>个，</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规范建设乡级联合社数量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规范建设的乡级示范社数量个</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个，年考核计划指标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专家测评，计划标准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产业联合社数量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组建产业联合社数量个</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个，年考核计划</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专家测评，计划标准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农村综合服务工作完成率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年度内实际完成的农综工作占计划的比例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基层社分类改造带动量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带动建设示范社数量个</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个以上，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专家测评验收，计划标准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带动便民超市建设数量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带动建设便民超市的数量个</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个以上，年考核计划</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专家验收组测评，计划标准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基层社和专业社满意度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满意基层社和专业社数量占调查入社数量的比例</w:t>
            </w:r>
            <w:r>
              <w:rPr>
                <w:rFonts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专家测评，历史标准</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5、再生资源管理及回收利用体系建设绩效目标表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 w:name="_Toc32843767"/>
      <w:r>
        <w:rPr>
          <w:rFonts w:hint="eastAsia" w:ascii="方正仿宋_GBK" w:eastAsia="方正仿宋_GBK"/>
          <w:b/>
          <w:sz w:val="28"/>
        </w:rPr>
        <w:instrText xml:space="preserve">5、再生资源管理及回收利用体系建设绩效目标表</w:instrText>
      </w:r>
      <w:bookmarkEnd w:id="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000-9999-JSN-66HX</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再生资源管理及回收利用体系建设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保障再生资源管理办公室的运营和管理，建设区废旧物资回收利用体系，合格布局回收站点，做好垃圾分类宣传教育，规范回收行业，推动回收园区建设</w:t>
            </w:r>
            <w:r>
              <w:rPr>
                <w:rFonts w:ascii="方正书宋_GBK" w:eastAsia="方正书宋_GBK"/>
              </w:rPr>
              <w:t>,</w:t>
            </w:r>
            <w:r>
              <w:rPr>
                <w:rFonts w:hint="eastAsia" w:ascii="方正书宋_GBK" w:eastAsia="方正书宋_GBK"/>
              </w:rPr>
              <w:t>建设高标准站点</w:t>
            </w:r>
            <w:r>
              <w:rPr>
                <w:rFonts w:ascii="方正书宋_GBK" w:eastAsia="方正书宋_GBK"/>
              </w:rPr>
              <w:t>13</w:t>
            </w:r>
            <w:r>
              <w:rPr>
                <w:rFonts w:hint="eastAsia" w:ascii="方正书宋_GBK" w:eastAsia="方正书宋_GBK"/>
              </w:rPr>
              <w:t>个，发放宣传资料</w:t>
            </w:r>
            <w:r>
              <w:rPr>
                <w:rFonts w:ascii="方正书宋_GBK" w:eastAsia="方正书宋_GBK"/>
              </w:rPr>
              <w:t>2000</w:t>
            </w:r>
            <w:r>
              <w:rPr>
                <w:rFonts w:hint="eastAsia" w:ascii="方正书宋_GBK" w:eastAsia="方正书宋_GBK"/>
              </w:rPr>
              <w:t>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、保障再生资源管理办公室的运营和管理，建设区废旧物资回收利用体系，结合区创城要求，建设高标准站点</w:t>
            </w:r>
            <w:r>
              <w:rPr>
                <w:rFonts w:ascii="方正书宋_GBK" w:eastAsia="方正书宋_GBK"/>
              </w:rPr>
              <w:t>13</w:t>
            </w:r>
            <w:r>
              <w:rPr>
                <w:rFonts w:hint="eastAsia" w:ascii="方正书宋_GBK" w:eastAsia="方正书宋_GBK"/>
              </w:rPr>
              <w:t>个。</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、搞好垃圾分类回收利用的宣传，规范行业建设，使区农村废旧物资</w:t>
            </w:r>
            <w:r>
              <w:rPr>
                <w:rFonts w:ascii="方正书宋_GBK" w:eastAsia="方正书宋_GBK"/>
              </w:rPr>
              <w:t>95%</w:t>
            </w:r>
            <w:r>
              <w:rPr>
                <w:rFonts w:hint="eastAsia" w:ascii="方正书宋_GBK" w:eastAsia="方正书宋_GBK"/>
              </w:rPr>
              <w:t>以上得到回收利用，发放宣传资料</w:t>
            </w:r>
            <w:r>
              <w:rPr>
                <w:rFonts w:ascii="方正书宋_GBK" w:eastAsia="方正书宋_GBK"/>
              </w:rPr>
              <w:t>2000</w:t>
            </w:r>
            <w:r>
              <w:rPr>
                <w:rFonts w:hint="eastAsia" w:ascii="方正书宋_GBK" w:eastAsia="方正书宋_GBK"/>
              </w:rPr>
              <w:t>份。</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站点建设数量个</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按照上级要求，建设高标准站点</w:t>
            </w:r>
            <w:r>
              <w:rPr>
                <w:rFonts w:ascii="方正书宋_GBK" w:eastAsia="方正书宋_GBK"/>
              </w:rPr>
              <w:t>13</w:t>
            </w:r>
            <w:r>
              <w:rPr>
                <w:rFonts w:hint="eastAsia" w:ascii="方正书宋_GBK" w:eastAsia="方正书宋_GBK"/>
              </w:rPr>
              <w:t>个</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发放垃圾分类资料（份本）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发放再生资源分类资料</w:t>
            </w:r>
            <w:r>
              <w:rPr>
                <w:rFonts w:ascii="方正书宋_GBK" w:eastAsia="方正书宋_GBK"/>
              </w:rPr>
              <w:t>2000</w:t>
            </w:r>
            <w:r>
              <w:rPr>
                <w:rFonts w:hint="eastAsia" w:ascii="方正书宋_GBK" w:eastAsia="方正书宋_GBK"/>
              </w:rPr>
              <w:t>本份</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r>
              <w:rPr>
                <w:rFonts w:hint="eastAsia" w:ascii="方正书宋_GBK" w:eastAsia="方正书宋_GBK"/>
              </w:rPr>
              <w:t>份</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农村废旧物资利用率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农村实际利用废旧物资占农村应利用废旧物资的比例</w:t>
            </w:r>
            <w:r>
              <w:rPr>
                <w:rFonts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95%</w:t>
            </w:r>
            <w:r>
              <w:rPr>
                <w:rFonts w:hint="eastAsia" w:ascii="方正书宋_GBK" w:eastAsia="方正书宋_GBK"/>
              </w:rPr>
              <w:t>以上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全部站点达到创城要求验收通过的比例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达到创城要求的站点占全部站点的比例</w:t>
            </w:r>
            <w:r>
              <w:rPr>
                <w:rFonts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回收站点建设满意度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回收站点满意和较满意数量占全部站点数量的比例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其他标准</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bookmarkEnd w:id="0"/>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9"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rPr>
        <w:t>0</w:t>
      </w:r>
      <w:r>
        <w:rPr>
          <w:rFonts w:ascii="Times New Roman" w:hAnsi="Times New Roman" w:eastAsia="仿宋" w:cs="Times New Roman"/>
          <w:sz w:val="32"/>
          <w:szCs w:val="24"/>
        </w:rPr>
        <w:t>万元。</w:t>
      </w:r>
      <w:bookmarkEnd w:id="9"/>
      <w:r>
        <w:rPr>
          <w:rFonts w:hint="eastAsia" w:ascii="Times New Roman" w:hAnsi="Times New Roman" w:eastAsia="仿宋" w:cs="Times New Roman"/>
          <w:sz w:val="32"/>
          <w:szCs w:val="24"/>
          <w:lang w:eastAsia="zh-CN"/>
        </w:rPr>
        <w:t>具体内容见下表。</w:t>
      </w:r>
    </w:p>
    <w:p>
      <w:pPr>
        <w:jc w:val="center"/>
        <w:rPr>
          <w:rFonts w:ascii="方正小标宋_GBK" w:eastAsia="方正小标宋_GBK"/>
          <w:sz w:val="32"/>
          <w:szCs w:val="32"/>
        </w:rPr>
      </w:pPr>
      <w:r>
        <w:rPr>
          <w:rFonts w:hint="eastAsia" w:ascii="方正小标宋_GBK" w:eastAsia="方正小标宋_GBK"/>
          <w:sz w:val="32"/>
          <w:szCs w:val="32"/>
        </w:rPr>
        <w:t>部门政府采购预算</w:t>
      </w:r>
    </w:p>
    <w:tbl>
      <w:tblPr>
        <w:tblStyle w:val="7"/>
        <w:tblW w:w="1473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60"/>
        <w:gridCol w:w="1134"/>
        <w:gridCol w:w="1417"/>
        <w:gridCol w:w="1294"/>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928"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p>
        </w:tc>
        <w:tc>
          <w:tcPr>
            <w:tcW w:w="6804"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94"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41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29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单位</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56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417" w:type="dxa"/>
            <w:vMerge w:val="continue"/>
            <w:shd w:val="clear" w:color="auto" w:fill="auto"/>
            <w:vAlign w:val="center"/>
          </w:tcPr>
          <w:p>
            <w:pPr>
              <w:spacing w:line="300" w:lineRule="exact"/>
              <w:jc w:val="left"/>
              <w:outlineLvl w:val="1"/>
              <w:rPr>
                <w:rFonts w:eastAsia="方正仿宋_GBK"/>
                <w:sz w:val="28"/>
              </w:rPr>
            </w:pPr>
          </w:p>
        </w:tc>
        <w:tc>
          <w:tcPr>
            <w:tcW w:w="1294" w:type="dxa"/>
            <w:vMerge w:val="continue"/>
            <w:shd w:val="clear" w:color="auto" w:fill="auto"/>
            <w:vAlign w:val="center"/>
          </w:tcPr>
          <w:p>
            <w:pPr>
              <w:spacing w:line="300" w:lineRule="exact"/>
              <w:jc w:val="left"/>
              <w:outlineLvl w:val="1"/>
              <w:rPr>
                <w:rFonts w:eastAsia="方正仿宋_GBK"/>
                <w:sz w:val="28"/>
              </w:rPr>
            </w:pPr>
          </w:p>
        </w:tc>
        <w:tc>
          <w:tcPr>
            <w:tcW w:w="709" w:type="dxa"/>
            <w:vMerge w:val="continue"/>
            <w:shd w:val="clear" w:color="auto" w:fill="auto"/>
            <w:vAlign w:val="center"/>
          </w:tcPr>
          <w:p>
            <w:pPr>
              <w:spacing w:line="300" w:lineRule="exact"/>
              <w:jc w:val="left"/>
              <w:outlineLvl w:val="1"/>
              <w:rPr>
                <w:rFonts w:eastAsia="方正仿宋_GBK"/>
                <w:sz w:val="28"/>
              </w:rPr>
            </w:pPr>
          </w:p>
        </w:tc>
        <w:tc>
          <w:tcPr>
            <w:tcW w:w="907" w:type="dxa"/>
            <w:vMerge w:val="continue"/>
            <w:shd w:val="clear" w:color="auto" w:fill="auto"/>
            <w:vAlign w:val="center"/>
          </w:tcPr>
          <w:p>
            <w:pPr>
              <w:spacing w:line="300" w:lineRule="exact"/>
              <w:jc w:val="left"/>
              <w:outlineLvl w:val="1"/>
              <w:rPr>
                <w:rFonts w:eastAsia="方正仿宋_GBK"/>
                <w:sz w:val="28"/>
              </w:rPr>
            </w:pPr>
          </w:p>
        </w:tc>
        <w:tc>
          <w:tcPr>
            <w:tcW w:w="907" w:type="dxa"/>
            <w:vMerge w:val="continue"/>
            <w:shd w:val="clear" w:color="auto" w:fill="auto"/>
            <w:vAlign w:val="center"/>
          </w:tcPr>
          <w:p>
            <w:pPr>
              <w:spacing w:line="300" w:lineRule="exact"/>
              <w:jc w:val="left"/>
              <w:outlineLvl w:val="1"/>
              <w:rPr>
                <w:rFonts w:eastAsia="方正仿宋_GBK"/>
                <w:sz w:val="28"/>
              </w:rPr>
            </w:pP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56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shd w:val="clear" w:color="auto" w:fill="auto"/>
            <w:vAlign w:val="center"/>
          </w:tcPr>
          <w:p>
            <w:pPr>
              <w:spacing w:line="300" w:lineRule="exact"/>
              <w:jc w:val="right"/>
              <w:rPr>
                <w:rFonts w:ascii="方正书宋_GBK" w:eastAsia="方正书宋_GBK"/>
                <w:b/>
              </w:rPr>
            </w:pPr>
          </w:p>
        </w:tc>
        <w:tc>
          <w:tcPr>
            <w:tcW w:w="1417" w:type="dxa"/>
            <w:shd w:val="clear" w:color="auto" w:fill="auto"/>
            <w:vAlign w:val="center"/>
          </w:tcPr>
          <w:p>
            <w:pPr>
              <w:spacing w:line="300" w:lineRule="exact"/>
              <w:jc w:val="left"/>
              <w:rPr>
                <w:rFonts w:ascii="方正书宋_GBK" w:eastAsia="方正书宋_GBK"/>
                <w:b/>
              </w:rPr>
            </w:pPr>
          </w:p>
        </w:tc>
        <w:tc>
          <w:tcPr>
            <w:tcW w:w="1294"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15" w:hRule="atLeast"/>
          <w:jc w:val="center"/>
        </w:trPr>
        <w:tc>
          <w:tcPr>
            <w:tcW w:w="1560" w:type="dxa"/>
            <w:shd w:val="clear" w:color="auto" w:fill="auto"/>
            <w:vAlign w:val="center"/>
          </w:tcPr>
          <w:p>
            <w:pPr>
              <w:spacing w:line="300" w:lineRule="exact"/>
              <w:jc w:val="center"/>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417" w:type="dxa"/>
            <w:shd w:val="clear" w:color="auto" w:fill="auto"/>
            <w:vAlign w:val="center"/>
          </w:tcPr>
          <w:p>
            <w:pPr>
              <w:spacing w:line="300" w:lineRule="exact"/>
              <w:jc w:val="left"/>
              <w:rPr>
                <w:rFonts w:ascii="方正书宋_GBK" w:eastAsia="方正书宋_GBK"/>
                <w:b/>
              </w:rPr>
            </w:pPr>
          </w:p>
        </w:tc>
        <w:tc>
          <w:tcPr>
            <w:tcW w:w="1294"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560" w:type="dxa"/>
            <w:shd w:val="clear" w:color="auto" w:fill="auto"/>
            <w:vAlign w:val="center"/>
          </w:tcPr>
          <w:p>
            <w:pPr>
              <w:spacing w:line="300" w:lineRule="exact"/>
              <w:jc w:val="center"/>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417" w:type="dxa"/>
            <w:shd w:val="clear" w:color="auto" w:fill="auto"/>
            <w:vAlign w:val="center"/>
          </w:tcPr>
          <w:p>
            <w:pPr>
              <w:spacing w:line="300" w:lineRule="exact"/>
              <w:jc w:val="left"/>
              <w:rPr>
                <w:rFonts w:ascii="方正书宋_GBK" w:eastAsia="方正书宋_GBK"/>
                <w:b/>
              </w:rPr>
            </w:pPr>
          </w:p>
        </w:tc>
        <w:tc>
          <w:tcPr>
            <w:tcW w:w="1294"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560" w:type="dxa"/>
            <w:shd w:val="clear" w:color="auto" w:fill="auto"/>
            <w:vAlign w:val="center"/>
          </w:tcPr>
          <w:p>
            <w:pPr>
              <w:spacing w:line="300" w:lineRule="exact"/>
              <w:jc w:val="lef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p>
        </w:tc>
        <w:tc>
          <w:tcPr>
            <w:tcW w:w="1294" w:type="dxa"/>
            <w:shd w:val="clear" w:color="auto" w:fill="auto"/>
            <w:vAlign w:val="center"/>
          </w:tcPr>
          <w:p>
            <w:pPr>
              <w:spacing w:line="300" w:lineRule="exact"/>
              <w:jc w:val="left"/>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907" w:type="dxa"/>
            <w:shd w:val="clear" w:color="auto" w:fill="auto"/>
            <w:vAlign w:val="center"/>
          </w:tcPr>
          <w:p>
            <w:pPr>
              <w:spacing w:line="300" w:lineRule="exact"/>
              <w:jc w:val="right"/>
              <w:rPr>
                <w:rFonts w:ascii="方正书宋_GBK" w:eastAsia="方正书宋_GBK"/>
              </w:rPr>
            </w:pPr>
          </w:p>
        </w:tc>
        <w:tc>
          <w:tcPr>
            <w:tcW w:w="907"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560" w:type="dxa"/>
            <w:shd w:val="clear" w:color="auto" w:fill="auto"/>
            <w:vAlign w:val="center"/>
          </w:tcPr>
          <w:p>
            <w:pPr>
              <w:spacing w:line="300" w:lineRule="exact"/>
              <w:jc w:val="lef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p>
        </w:tc>
        <w:tc>
          <w:tcPr>
            <w:tcW w:w="1294" w:type="dxa"/>
            <w:shd w:val="clear" w:color="auto" w:fill="auto"/>
            <w:vAlign w:val="center"/>
          </w:tcPr>
          <w:p>
            <w:pPr>
              <w:spacing w:line="300" w:lineRule="exact"/>
              <w:jc w:val="left"/>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907" w:type="dxa"/>
            <w:shd w:val="clear" w:color="auto" w:fill="auto"/>
            <w:vAlign w:val="center"/>
          </w:tcPr>
          <w:p>
            <w:pPr>
              <w:spacing w:line="300" w:lineRule="exact"/>
              <w:jc w:val="right"/>
              <w:rPr>
                <w:rFonts w:ascii="方正书宋_GBK" w:eastAsia="方正书宋_GBK"/>
              </w:rPr>
            </w:pPr>
          </w:p>
        </w:tc>
        <w:tc>
          <w:tcPr>
            <w:tcW w:w="907"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560" w:type="dxa"/>
            <w:shd w:val="clear" w:color="auto" w:fill="auto"/>
            <w:vAlign w:val="center"/>
          </w:tcPr>
          <w:p>
            <w:pPr>
              <w:spacing w:line="300" w:lineRule="exact"/>
              <w:jc w:val="lef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p>
        </w:tc>
        <w:tc>
          <w:tcPr>
            <w:tcW w:w="1294" w:type="dxa"/>
            <w:shd w:val="clear" w:color="auto" w:fill="auto"/>
            <w:vAlign w:val="center"/>
          </w:tcPr>
          <w:p>
            <w:pPr>
              <w:spacing w:line="300" w:lineRule="exact"/>
              <w:jc w:val="left"/>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907" w:type="dxa"/>
            <w:shd w:val="clear" w:color="auto" w:fill="auto"/>
            <w:vAlign w:val="center"/>
          </w:tcPr>
          <w:p>
            <w:pPr>
              <w:spacing w:line="300" w:lineRule="exact"/>
              <w:jc w:val="right"/>
              <w:rPr>
                <w:rFonts w:ascii="方正书宋_GBK" w:eastAsia="方正书宋_GBK"/>
              </w:rPr>
            </w:pPr>
          </w:p>
        </w:tc>
        <w:tc>
          <w:tcPr>
            <w:tcW w:w="907"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560" w:type="dxa"/>
            <w:shd w:val="clear" w:color="auto" w:fill="auto"/>
            <w:vAlign w:val="center"/>
          </w:tcPr>
          <w:p>
            <w:pPr>
              <w:spacing w:line="300" w:lineRule="exact"/>
              <w:jc w:val="lef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p>
        </w:tc>
        <w:tc>
          <w:tcPr>
            <w:tcW w:w="1294" w:type="dxa"/>
            <w:shd w:val="clear" w:color="auto" w:fill="auto"/>
            <w:vAlign w:val="center"/>
          </w:tcPr>
          <w:p>
            <w:pPr>
              <w:spacing w:line="300" w:lineRule="exact"/>
              <w:jc w:val="left"/>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907" w:type="dxa"/>
            <w:shd w:val="clear" w:color="auto" w:fill="auto"/>
            <w:vAlign w:val="center"/>
          </w:tcPr>
          <w:p>
            <w:pPr>
              <w:spacing w:line="300" w:lineRule="exact"/>
              <w:jc w:val="right"/>
              <w:rPr>
                <w:rFonts w:ascii="方正书宋_GBK" w:eastAsia="方正书宋_GBK"/>
              </w:rPr>
            </w:pPr>
          </w:p>
        </w:tc>
        <w:tc>
          <w:tcPr>
            <w:tcW w:w="907"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560" w:type="dxa"/>
            <w:shd w:val="clear" w:color="auto" w:fill="auto"/>
            <w:vAlign w:val="center"/>
          </w:tcPr>
          <w:p>
            <w:pPr>
              <w:spacing w:line="300" w:lineRule="exact"/>
              <w:jc w:val="center"/>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417" w:type="dxa"/>
            <w:shd w:val="clear" w:color="auto" w:fill="auto"/>
            <w:vAlign w:val="center"/>
          </w:tcPr>
          <w:p>
            <w:pPr>
              <w:spacing w:line="300" w:lineRule="exact"/>
              <w:jc w:val="left"/>
              <w:rPr>
                <w:rFonts w:ascii="方正书宋_GBK" w:eastAsia="方正书宋_GBK"/>
                <w:b/>
              </w:rPr>
            </w:pPr>
          </w:p>
        </w:tc>
        <w:tc>
          <w:tcPr>
            <w:tcW w:w="1294"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560" w:type="dxa"/>
            <w:shd w:val="clear" w:color="auto" w:fill="auto"/>
            <w:vAlign w:val="center"/>
          </w:tcPr>
          <w:p>
            <w:pPr>
              <w:spacing w:line="300" w:lineRule="exact"/>
              <w:jc w:val="lef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p>
        </w:tc>
        <w:tc>
          <w:tcPr>
            <w:tcW w:w="1294" w:type="dxa"/>
            <w:shd w:val="clear" w:color="auto" w:fill="auto"/>
            <w:vAlign w:val="center"/>
          </w:tcPr>
          <w:p>
            <w:pPr>
              <w:spacing w:line="300" w:lineRule="exact"/>
              <w:jc w:val="left"/>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907" w:type="dxa"/>
            <w:shd w:val="clear" w:color="auto" w:fill="auto"/>
            <w:vAlign w:val="center"/>
          </w:tcPr>
          <w:p>
            <w:pPr>
              <w:spacing w:line="300" w:lineRule="exact"/>
              <w:jc w:val="right"/>
              <w:rPr>
                <w:rFonts w:ascii="方正书宋_GBK" w:eastAsia="方正书宋_GBK"/>
              </w:rPr>
            </w:pPr>
          </w:p>
        </w:tc>
        <w:tc>
          <w:tcPr>
            <w:tcW w:w="907"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560" w:type="dxa"/>
            <w:shd w:val="clear" w:color="auto" w:fill="auto"/>
            <w:vAlign w:val="center"/>
          </w:tcPr>
          <w:p>
            <w:pPr>
              <w:spacing w:line="300" w:lineRule="exact"/>
              <w:jc w:val="lef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p>
        </w:tc>
        <w:tc>
          <w:tcPr>
            <w:tcW w:w="1294" w:type="dxa"/>
            <w:shd w:val="clear" w:color="auto" w:fill="auto"/>
            <w:vAlign w:val="center"/>
          </w:tcPr>
          <w:p>
            <w:pPr>
              <w:spacing w:line="300" w:lineRule="exact"/>
              <w:jc w:val="left"/>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907" w:type="dxa"/>
            <w:shd w:val="clear" w:color="auto" w:fill="auto"/>
            <w:vAlign w:val="center"/>
          </w:tcPr>
          <w:p>
            <w:pPr>
              <w:spacing w:line="300" w:lineRule="exact"/>
              <w:jc w:val="right"/>
              <w:rPr>
                <w:rFonts w:ascii="方正书宋_GBK" w:eastAsia="方正书宋_GBK"/>
              </w:rPr>
            </w:pPr>
          </w:p>
        </w:tc>
        <w:tc>
          <w:tcPr>
            <w:tcW w:w="907"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bl>
    <w:p>
      <w:pPr>
        <w:ind w:firstLine="640" w:firstLineChars="200"/>
        <w:outlineLvl w:val="0"/>
        <w:rPr>
          <w:rFonts w:hint="eastAsia" w:ascii="Times New Roman" w:hAnsi="Times New Roman" w:eastAsia="仿宋" w:cs="Times New Roman"/>
          <w:sz w:val="32"/>
          <w:szCs w:val="24"/>
          <w:lang w:val="en-US" w:eastAsia="zh-CN"/>
        </w:rPr>
      </w:pPr>
      <w:r>
        <w:rPr>
          <w:rFonts w:hint="eastAsia" w:ascii="Times New Roman" w:hAnsi="Times New Roman" w:eastAsia="仿宋" w:cs="Times New Roman"/>
          <w:sz w:val="32"/>
          <w:szCs w:val="24"/>
          <w:lang w:val="en-US" w:eastAsia="zh-CN"/>
        </w:rPr>
        <w:t>注：2020年无政府采购预算，空表列示。</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sz w:val="32"/>
          <w:szCs w:val="32"/>
        </w:rPr>
        <w:t>石家庄市鹿泉区供销合作总社</w:t>
      </w:r>
      <w:r>
        <w:rPr>
          <w:rFonts w:hint="eastAsia" w:ascii="Times New Roman" w:hAnsi="Times New Roman" w:eastAsia="仿宋" w:cs="Times New Roman"/>
          <w:color w:val="000000"/>
          <w:sz w:val="32"/>
          <w:szCs w:val="32"/>
        </w:rPr>
        <w:t>2019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rPr>
        <w:t>59.73</w:t>
      </w:r>
      <w:r>
        <w:rPr>
          <w:rFonts w:ascii="Times New Roman" w:hAnsi="Times New Roman" w:eastAsia="仿宋" w:cs="Times New Roman"/>
          <w:color w:val="000000"/>
          <w:sz w:val="32"/>
          <w:szCs w:val="32"/>
        </w:rPr>
        <w:t>（详见下表），本年度拟购置固定资产</w:t>
      </w:r>
      <w:r>
        <w:rPr>
          <w:rFonts w:hint="eastAsia" w:ascii="Times New Roman" w:hAnsi="Times New Roman" w:eastAsia="仿宋" w:cs="Times New Roman"/>
          <w:color w:val="000000"/>
          <w:sz w:val="32"/>
          <w:szCs w:val="32"/>
        </w:rPr>
        <w:t>总额为0</w:t>
      </w:r>
      <w:r>
        <w:rPr>
          <w:rFonts w:ascii="Times New Roman" w:hAnsi="Times New Roman" w:eastAsia="仿宋" w:cs="Times New Roman"/>
          <w:color w:val="000000"/>
          <w:sz w:val="32"/>
          <w:szCs w:val="32"/>
        </w:rPr>
        <w:t>万元</w:t>
      </w:r>
      <w:r>
        <w:rPr>
          <w:rFonts w:hint="eastAsia" w:ascii="Times New Roman" w:hAnsi="Times New Roman" w:eastAsia="仿宋" w:cs="Times New Roman"/>
          <w:color w:val="000000"/>
          <w:sz w:val="32"/>
          <w:szCs w:val="32"/>
        </w:rPr>
        <w:t>。</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Layout w:type="fixed"/>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cs="Times New Roman" w:asciiTheme="minorEastAsia" w:hAnsiTheme="minorEastAsia" w:eastAsiaTheme="minorEastAsia"/>
                <w:b/>
                <w:sz w:val="32"/>
                <w:szCs w:val="32"/>
              </w:rPr>
              <w:t>石家庄市鹿泉区供销合作总社</w:t>
            </w:r>
            <w:r>
              <w:rPr>
                <w:rFonts w:hint="eastAsia" w:ascii="宋体" w:hAnsi="宋体" w:cs="宋体"/>
                <w:b/>
                <w:bCs/>
                <w:kern w:val="0"/>
                <w:sz w:val="32"/>
                <w:szCs w:val="32"/>
              </w:rPr>
              <w:t>固定资产占用情况表</w:t>
            </w:r>
          </w:p>
        </w:tc>
      </w:tr>
      <w:tr>
        <w:tblPrEx>
          <w:tblLayout w:type="fixed"/>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sz w:val="22"/>
              </w:rPr>
              <w:t>石家庄市鹿泉区供销合作总社</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tblPrEx>
          <w:tblLayout w:type="fixed"/>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color w:val="000000"/>
                <w:kern w:val="0"/>
                <w:sz w:val="22"/>
              </w:rPr>
              <w:t>59.73</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1584</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40</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263</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6.65</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19.73</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1、一般公共预算拨款收入：指省级财政当年拨付的资金。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书宋_GBK">
    <w:altName w:val="微软雅黑"/>
    <w:panose1 w:val="00000000000000000000"/>
    <w:charset w:val="86"/>
    <w:family w:val="script"/>
    <w:pitch w:val="default"/>
    <w:sig w:usb0="00000000" w:usb1="00000000" w:usb2="00000010" w:usb3="00000000" w:csb0="00040000" w:csb1="00000000"/>
  </w:font>
  <w:font w:name="方正仿宋_GBK">
    <w:altName w:val="微软雅黑"/>
    <w:panose1 w:val="00000000000000000000"/>
    <w:charset w:val="86"/>
    <w:family w:val="script"/>
    <w:pitch w:val="default"/>
    <w:sig w:usb0="00000000" w:usb1="00000000" w:usb2="0000001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21</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E71BA"/>
    <w:rsid w:val="000C7140"/>
    <w:rsid w:val="000E16DB"/>
    <w:rsid w:val="002D0CEA"/>
    <w:rsid w:val="00323B29"/>
    <w:rsid w:val="0039059E"/>
    <w:rsid w:val="00446887"/>
    <w:rsid w:val="0074364B"/>
    <w:rsid w:val="007F0341"/>
    <w:rsid w:val="00930990"/>
    <w:rsid w:val="009A521C"/>
    <w:rsid w:val="00A077C1"/>
    <w:rsid w:val="00A737A7"/>
    <w:rsid w:val="00C745F0"/>
    <w:rsid w:val="00C82DB4"/>
    <w:rsid w:val="00D106A9"/>
    <w:rsid w:val="00D607DA"/>
    <w:rsid w:val="00DC6EE5"/>
    <w:rsid w:val="00E009C1"/>
    <w:rsid w:val="00EE71BA"/>
    <w:rsid w:val="00F867E4"/>
    <w:rsid w:val="056D17C0"/>
    <w:rsid w:val="149C7CED"/>
    <w:rsid w:val="2C370CA0"/>
    <w:rsid w:val="37833BE4"/>
    <w:rsid w:val="583262E3"/>
  </w:rsids>
  <m:mathPr>
    <m:mathFont m:val="Cambria Math"/>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sdException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nhideWhenUsed="0" w:uiPriority="0" w:semiHidden="0" w:name="footnote text"/>
    <w:lsdException w:uiPriority="99" w:name="annotation text"/>
    <w:lsdException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unhideWhenUsed/>
    <w:qFormat/>
    <w:uiPriority w:val="1"/>
  </w:style>
  <w:style w:type="table" w:default="1" w:styleId="7">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3"/>
    <w:uiPriority w:val="0"/>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uiPriority w:val="0"/>
    <w:rPr>
      <w:rFonts w:ascii="Times New Roman" w:hAnsi="Times New Roman" w:cs="Times New Roman"/>
      <w:szCs w:val="24"/>
    </w:rPr>
  </w:style>
  <w:style w:type="paragraph" w:styleId="5">
    <w:name w:val="footnote text"/>
    <w:basedOn w:val="1"/>
    <w:uiPriority w:val="0"/>
    <w:pPr>
      <w:snapToGrid w:val="0"/>
      <w:jc w:val="left"/>
    </w:pPr>
    <w:rPr>
      <w:sz w:val="18"/>
      <w:szCs w:val="18"/>
    </w:rPr>
  </w:style>
  <w:style w:type="paragraph" w:styleId="6">
    <w:name w:val="toc 2"/>
    <w:basedOn w:val="1"/>
    <w:next w:val="1"/>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Char"/>
    <w:link w:val="2"/>
    <w:semiHidden/>
    <w:uiPriority w:val="0"/>
    <w:rPr>
      <w:rFonts w:ascii="Times New Roman" w:hAnsi="Times New Roman" w:eastAsia="宋体" w:cs="Times New Roman"/>
      <w:sz w:val="18"/>
      <w:szCs w:val="18"/>
    </w:rPr>
  </w:style>
  <w:style w:type="character" w:customStyle="1" w:styleId="13">
    <w:name w:val="页眉 Char"/>
    <w:link w:val="3"/>
    <w:semiHidden/>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22</Pages>
  <Words>1967</Words>
  <Characters>11214</Characters>
  <Lines>93</Lines>
  <Paragraphs>26</Paragraphs>
  <TotalTime>0</TotalTime>
  <ScaleCrop>false</ScaleCrop>
  <LinksUpToDate>false</LinksUpToDate>
  <CharactersWithSpaces>13155</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Administrator</cp:lastModifiedBy>
  <cp:lastPrinted>2020-01-10T15:53:00Z</cp:lastPrinted>
  <dcterms:modified xsi:type="dcterms:W3CDTF">2024-01-12T09:40:56Z</dcterms:modified>
  <dc:title>o</dc:title>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