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outlineLvl w:val="0"/>
      </w:pPr>
      <w:bookmarkStart w:id="15" w:name="_GoBack"/>
      <w:bookmarkEnd w:id="15"/>
      <w:r>
        <w:rPr>
          <w:rFonts w:ascii="黑体" w:hAnsi="黑体" w:eastAsia="黑体" w:cs="黑体"/>
          <w:b/>
          <w:color w:val="000000"/>
          <w:sz w:val="44"/>
        </w:rPr>
        <w:t>2022年部门预算信息公开目录</w:t>
      </w:r>
    </w:p>
    <w:p>
      <w:pPr>
        <w:spacing w:line="320" w:lineRule="exact"/>
        <w:jc w:val="center"/>
      </w:pPr>
      <w:r>
        <w:rPr>
          <w:rFonts w:ascii="黑体" w:hAnsi="黑体" w:eastAsia="黑体" w:cs="黑体"/>
          <w:b/>
          <w:color w:val="000000"/>
          <w:sz w:val="30"/>
        </w:rPr>
        <w:t xml:space="preserve"> </w:t>
      </w:r>
    </w:p>
    <w:p>
      <w:pPr>
        <w:spacing w:line="300" w:lineRule="exact"/>
      </w:pPr>
      <w:r>
        <w:rPr>
          <w:rFonts w:ascii="方正楷体_GBK" w:hAnsi="方正楷体_GBK" w:eastAsia="方正楷体_GBK" w:cs="方正楷体_GBK"/>
          <w:b/>
          <w:color w:val="000000"/>
          <w:sz w:val="28"/>
        </w:rPr>
        <w:t>部门预算公开表</w:t>
      </w:r>
    </w:p>
    <w:p>
      <w:pPr>
        <w:pStyle w:val="32"/>
        <w:tabs>
          <w:tab w:val="right" w:leader="dot" w:pos="14562"/>
        </w:tabs>
        <w:spacing w:line="300" w:lineRule="exact"/>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2</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spacing w:line="300" w:lineRule="exact"/>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spacing w:line="300" w:lineRule="exact"/>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spacing w:line="300" w:lineRule="exact"/>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spacing w:line="300" w:lineRule="exact"/>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spacing w:line="300" w:lineRule="exact"/>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2"/>
        <w:tabs>
          <w:tab w:val="right" w:leader="dot" w:pos="14562"/>
        </w:tabs>
        <w:spacing w:line="300" w:lineRule="exact"/>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2"/>
        <w:tabs>
          <w:tab w:val="right" w:leader="dot" w:pos="14562"/>
        </w:tabs>
        <w:spacing w:line="300" w:lineRule="exact"/>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spacing w:line="300" w:lineRule="exact"/>
      </w:pPr>
      <w:r>
        <w:fldChar w:fldCharType="end"/>
      </w:r>
    </w:p>
    <w:p>
      <w:pPr>
        <w:spacing w:line="300" w:lineRule="exact"/>
      </w:pPr>
      <w:r>
        <w:rPr>
          <w:rFonts w:ascii="方正楷体_GBK" w:hAnsi="方正楷体_GBK" w:eastAsia="方正楷体_GBK" w:cs="方正楷体_GBK"/>
          <w:b/>
          <w:color w:val="000000"/>
          <w:sz w:val="28"/>
        </w:rPr>
        <w:t>部门预算信息公开情况说明</w:t>
      </w:r>
    </w:p>
    <w:p>
      <w:pPr>
        <w:pStyle w:val="32"/>
        <w:tabs>
          <w:tab w:val="right" w:leader="dot" w:pos="14562"/>
        </w:tabs>
        <w:spacing w:line="300" w:lineRule="exact"/>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spacing w:line="300" w:lineRule="exact"/>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spacing w:line="300" w:lineRule="exact"/>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"_Toc_3_3_0000000015" </w:instrText>
      </w:r>
      <w:r>
        <w:fldChar w:fldCharType="separate"/>
      </w:r>
      <w:r>
        <w:t>六、政府采购预算情况</w:t>
      </w:r>
      <w:r>
        <w:tab/>
      </w:r>
      <w:r>
        <w:rPr>
          <w:rFonts w:hint="eastAsia" w:eastAsiaTheme="minorEastAsia"/>
          <w:lang w:eastAsia="zh-CN"/>
        </w:rPr>
        <w:t>30</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"_Toc_3_3_0000000016" </w:instrText>
      </w:r>
      <w:r>
        <w:fldChar w:fldCharType="separate"/>
      </w:r>
      <w:r>
        <w:t>七、国有资产信息</w:t>
      </w:r>
      <w:r>
        <w:tab/>
      </w:r>
      <w:r>
        <w:rPr>
          <w:rFonts w:hint="eastAsia" w:eastAsiaTheme="minorEastAsia"/>
          <w:lang w:eastAsia="zh-CN"/>
        </w:rPr>
        <w:t>30</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eastAsiaTheme="minorEastAsia"/>
          <w:lang w:eastAsia="zh-CN"/>
        </w:rPr>
        <w:t>1</w:t>
      </w:r>
      <w:r>
        <w:fldChar w:fldCharType="end"/>
      </w:r>
      <w:r>
        <w:fldChar w:fldCharType="end"/>
      </w:r>
    </w:p>
    <w:p>
      <w:pPr>
        <w:pStyle w:val="32"/>
        <w:tabs>
          <w:tab w:val="right" w:leader="dot" w:pos="14562"/>
        </w:tabs>
        <w:spacing w:line="300" w:lineRule="exact"/>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eastAsiaTheme="minorEastAsia"/>
          <w:lang w:eastAsia="zh-CN"/>
        </w:rPr>
        <w:t>1</w:t>
      </w:r>
      <w:r>
        <w:fldChar w:fldCharType="end"/>
      </w:r>
      <w:r>
        <w:fldChar w:fldCharType="end"/>
      </w:r>
      <w:r>
        <w:fldChar w:fldCharType="end"/>
      </w:r>
      <w:r>
        <w:br w:type="page"/>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rPr>
                <w:rFonts w:hint="eastAsia" w:eastAsiaTheme="minorEastAsia"/>
                <w:lang w:eastAsia="zh-CN"/>
              </w:rPr>
            </w:pPr>
            <w:r>
              <w:rPr>
                <w:rFonts w:hint="eastAsia" w:eastAsiaTheme="minorEastAsia"/>
                <w:lang w:eastAsia="zh-CN"/>
              </w:rPr>
              <w:t>359.56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199.77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rPr>
                <w:rFonts w:hint="eastAsia" w:eastAsiaTheme="minorEastAsia"/>
                <w:lang w:eastAsia="zh-CN"/>
              </w:rPr>
            </w:pPr>
            <w:r>
              <w:rPr>
                <w:rFonts w:hint="eastAsia" w:eastAsiaTheme="minorEastAsia"/>
                <w:lang w:eastAsia="zh-CN"/>
              </w:rPr>
              <w:t>359.56</w:t>
            </w:r>
          </w:p>
        </w:tc>
        <w:tc>
          <w:tcPr>
            <w:tcW w:w="4535" w:type="dxa"/>
            <w:vAlign w:val="center"/>
          </w:tcPr>
          <w:p>
            <w:pPr>
              <w:pStyle w:val="14"/>
            </w:pPr>
            <w:r>
              <w:t>本年支出合计</w:t>
            </w:r>
          </w:p>
        </w:tc>
        <w:tc>
          <w:tcPr>
            <w:tcW w:w="2126" w:type="dxa"/>
            <w:vAlign w:val="center"/>
          </w:tcPr>
          <w:p>
            <w:pPr>
              <w:pStyle w:val="15"/>
            </w:pPr>
            <w:r>
              <w:t>359.56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rPr>
                <w:rFonts w:hint="eastAsia"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rPr>
                <w:rFonts w:hint="eastAsia" w:eastAsiaTheme="minorEastAsia"/>
                <w:lang w:eastAsia="zh-CN"/>
              </w:rPr>
            </w:pPr>
            <w:r>
              <w:rPr>
                <w:rFonts w:hint="eastAsia" w:eastAsiaTheme="minorEastAsia"/>
                <w:lang w:eastAsia="zh-CN"/>
              </w:rPr>
              <w:t>359.56</w:t>
            </w:r>
          </w:p>
        </w:tc>
        <w:tc>
          <w:tcPr>
            <w:tcW w:w="4535" w:type="dxa"/>
            <w:vAlign w:val="center"/>
          </w:tcPr>
          <w:p>
            <w:pPr>
              <w:pStyle w:val="14"/>
            </w:pPr>
            <w:r>
              <w:t>支出总计</w:t>
            </w:r>
          </w:p>
        </w:tc>
        <w:tc>
          <w:tcPr>
            <w:tcW w:w="2126" w:type="dxa"/>
            <w:vAlign w:val="center"/>
          </w:tcPr>
          <w:p>
            <w:pPr>
              <w:pStyle w:val="15"/>
              <w:rPr>
                <w:rFonts w:hint="eastAsia" w:eastAsiaTheme="minorEastAsia"/>
                <w:lang w:eastAsia="zh-CN"/>
              </w:rPr>
            </w:pPr>
            <w:r>
              <w:rPr>
                <w:rFonts w:hint="eastAsia" w:eastAsiaTheme="minorEastAsia"/>
                <w:lang w:eastAsia="zh-CN"/>
              </w:rPr>
              <w:t>359.56</w:t>
            </w:r>
          </w:p>
        </w:tc>
      </w:tr>
    </w:tbl>
    <w:p>
      <w:pPr>
        <w:sectPr>
          <w:footerReference r:id="rId3" w:type="default"/>
          <w:footerReference r:id="rId4" w:type="even"/>
          <w:pgSz w:w="16840" w:h="11900" w:orient="landscape"/>
          <w:pgMar w:top="1134" w:right="1021" w:bottom="1134" w:left="1021"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183"/>
        <w:gridCol w:w="851"/>
        <w:gridCol w:w="1134"/>
        <w:gridCol w:w="1134"/>
        <w:gridCol w:w="992"/>
        <w:gridCol w:w="935"/>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40" w:type="dxa"/>
            <w:gridSpan w:val="5"/>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3061"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175" w:type="dxa"/>
            <w:gridSpan w:val="2"/>
            <w:vAlign w:val="center"/>
          </w:tcPr>
          <w:p>
            <w:pPr>
              <w:pStyle w:val="10"/>
            </w:pPr>
            <w:r>
              <w:t>功能分类科目</w:t>
            </w:r>
          </w:p>
        </w:tc>
        <w:tc>
          <w:tcPr>
            <w:tcW w:w="851" w:type="dxa"/>
            <w:vMerge w:val="restart"/>
            <w:vAlign w:val="center"/>
          </w:tcPr>
          <w:p>
            <w:pPr>
              <w:pStyle w:val="10"/>
            </w:pPr>
            <w:r>
              <w:t>合计</w:t>
            </w:r>
          </w:p>
        </w:tc>
        <w:tc>
          <w:tcPr>
            <w:tcW w:w="873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2183" w:type="dxa"/>
            <w:vAlign w:val="center"/>
          </w:tcPr>
          <w:p>
            <w:pPr>
              <w:pStyle w:val="10"/>
            </w:pPr>
            <w:r>
              <w:t>科目名称</w:t>
            </w:r>
          </w:p>
        </w:tc>
        <w:tc>
          <w:tcPr>
            <w:tcW w:w="851"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992" w:type="dxa"/>
            <w:vAlign w:val="center"/>
          </w:tcPr>
          <w:p>
            <w:pPr>
              <w:pStyle w:val="10"/>
            </w:pPr>
            <w:r>
              <w:t>财政专户 收入</w:t>
            </w:r>
          </w:p>
        </w:tc>
        <w:tc>
          <w:tcPr>
            <w:tcW w:w="935"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2183" w:type="dxa"/>
            <w:vAlign w:val="center"/>
          </w:tcPr>
          <w:p>
            <w:pPr>
              <w:pStyle w:val="10"/>
            </w:pPr>
            <w:r>
              <w:t>2</w:t>
            </w:r>
          </w:p>
        </w:tc>
        <w:tc>
          <w:tcPr>
            <w:tcW w:w="851"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992" w:type="dxa"/>
            <w:vAlign w:val="center"/>
          </w:tcPr>
          <w:p>
            <w:pPr>
              <w:pStyle w:val="10"/>
            </w:pPr>
            <w:r>
              <w:t>6</w:t>
            </w:r>
          </w:p>
        </w:tc>
        <w:tc>
          <w:tcPr>
            <w:tcW w:w="935"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2183" w:type="dxa"/>
            <w:vAlign w:val="center"/>
          </w:tcPr>
          <w:p>
            <w:pPr>
              <w:pStyle w:val="14"/>
            </w:pPr>
            <w:r>
              <w:t>合计</w:t>
            </w:r>
          </w:p>
        </w:tc>
        <w:tc>
          <w:tcPr>
            <w:tcW w:w="851" w:type="dxa"/>
            <w:vAlign w:val="center"/>
          </w:tcPr>
          <w:p>
            <w:pPr>
              <w:pStyle w:val="15"/>
            </w:pPr>
            <w:r>
              <w:t>359.56</w:t>
            </w:r>
          </w:p>
        </w:tc>
        <w:tc>
          <w:tcPr>
            <w:tcW w:w="1134" w:type="dxa"/>
            <w:vAlign w:val="center"/>
          </w:tcPr>
          <w:p>
            <w:pPr>
              <w:pStyle w:val="15"/>
              <w:rPr>
                <w:rFonts w:hint="eastAsia" w:eastAsiaTheme="minorEastAsia"/>
                <w:lang w:eastAsia="zh-CN"/>
              </w:rPr>
            </w:pPr>
            <w:r>
              <w:rPr>
                <w:rFonts w:hint="eastAsia" w:eastAsiaTheme="minorEastAsia"/>
                <w:lang w:eastAsia="zh-CN"/>
              </w:rPr>
              <w:t>359.56</w:t>
            </w:r>
          </w:p>
        </w:tc>
        <w:tc>
          <w:tcPr>
            <w:tcW w:w="1134" w:type="dxa"/>
            <w:vAlign w:val="center"/>
          </w:tcPr>
          <w:p>
            <w:pPr>
              <w:pStyle w:val="15"/>
              <w:rPr>
                <w:rFonts w:hint="eastAsia" w:eastAsiaTheme="minorEastAsia"/>
                <w:lang w:eastAsia="zh-CN"/>
              </w:rPr>
            </w:pPr>
            <w:r>
              <w:rPr>
                <w:rFonts w:hint="eastAsia" w:eastAsiaTheme="minorEastAsia"/>
                <w:lang w:eastAsia="zh-CN"/>
              </w:rPr>
              <w:t>359.56</w:t>
            </w:r>
          </w:p>
        </w:tc>
        <w:tc>
          <w:tcPr>
            <w:tcW w:w="992" w:type="dxa"/>
            <w:vAlign w:val="center"/>
          </w:tcPr>
          <w:p>
            <w:pPr>
              <w:pStyle w:val="15"/>
            </w:pPr>
          </w:p>
        </w:tc>
        <w:tc>
          <w:tcPr>
            <w:tcW w:w="93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rPr>
                <w:rFonts w:hint="eastAsia"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2183" w:type="dxa"/>
            <w:vAlign w:val="center"/>
          </w:tcPr>
          <w:p>
            <w:pPr>
              <w:pStyle w:val="12"/>
            </w:pPr>
            <w:r>
              <w:t>社会保障和就业支出</w:t>
            </w:r>
          </w:p>
        </w:tc>
        <w:tc>
          <w:tcPr>
            <w:tcW w:w="851" w:type="dxa"/>
            <w:vAlign w:val="center"/>
          </w:tcPr>
          <w:p>
            <w:pPr>
              <w:pStyle w:val="11"/>
            </w:pPr>
            <w:r>
              <w:t>132.89</w:t>
            </w:r>
          </w:p>
        </w:tc>
        <w:tc>
          <w:tcPr>
            <w:tcW w:w="1134" w:type="dxa"/>
            <w:vAlign w:val="center"/>
          </w:tcPr>
          <w:p>
            <w:pPr>
              <w:pStyle w:val="11"/>
            </w:pPr>
            <w:r>
              <w:t>132.89</w:t>
            </w:r>
          </w:p>
        </w:tc>
        <w:tc>
          <w:tcPr>
            <w:tcW w:w="1134" w:type="dxa"/>
            <w:vAlign w:val="center"/>
          </w:tcPr>
          <w:p>
            <w:pPr>
              <w:pStyle w:val="11"/>
            </w:pPr>
            <w:r>
              <w:t>132.89</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2183" w:type="dxa"/>
            <w:vAlign w:val="center"/>
          </w:tcPr>
          <w:p>
            <w:pPr>
              <w:pStyle w:val="12"/>
            </w:pPr>
            <w:r>
              <w:t>行政事业单位养老支出</w:t>
            </w:r>
          </w:p>
        </w:tc>
        <w:tc>
          <w:tcPr>
            <w:tcW w:w="851" w:type="dxa"/>
            <w:vAlign w:val="center"/>
          </w:tcPr>
          <w:p>
            <w:pPr>
              <w:pStyle w:val="11"/>
            </w:pPr>
            <w:r>
              <w:t>73.86</w:t>
            </w:r>
          </w:p>
        </w:tc>
        <w:tc>
          <w:tcPr>
            <w:tcW w:w="1134" w:type="dxa"/>
            <w:vAlign w:val="center"/>
          </w:tcPr>
          <w:p>
            <w:pPr>
              <w:pStyle w:val="11"/>
            </w:pPr>
            <w:r>
              <w:t>73.86</w:t>
            </w:r>
          </w:p>
        </w:tc>
        <w:tc>
          <w:tcPr>
            <w:tcW w:w="1134" w:type="dxa"/>
            <w:vAlign w:val="center"/>
          </w:tcPr>
          <w:p>
            <w:pPr>
              <w:pStyle w:val="11"/>
            </w:pPr>
            <w:r>
              <w:t>73.86</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2183" w:type="dxa"/>
            <w:vAlign w:val="center"/>
          </w:tcPr>
          <w:p>
            <w:pPr>
              <w:pStyle w:val="12"/>
            </w:pPr>
            <w:r>
              <w:t>行政单位离退休</w:t>
            </w:r>
          </w:p>
        </w:tc>
        <w:tc>
          <w:tcPr>
            <w:tcW w:w="851" w:type="dxa"/>
            <w:vAlign w:val="center"/>
          </w:tcPr>
          <w:p>
            <w:pPr>
              <w:pStyle w:val="11"/>
            </w:pPr>
            <w:r>
              <w:t>61.57</w:t>
            </w:r>
          </w:p>
        </w:tc>
        <w:tc>
          <w:tcPr>
            <w:tcW w:w="1134" w:type="dxa"/>
            <w:vAlign w:val="center"/>
          </w:tcPr>
          <w:p>
            <w:pPr>
              <w:pStyle w:val="11"/>
            </w:pPr>
            <w:r>
              <w:t>61.57</w:t>
            </w:r>
          </w:p>
        </w:tc>
        <w:tc>
          <w:tcPr>
            <w:tcW w:w="1134" w:type="dxa"/>
            <w:vAlign w:val="center"/>
          </w:tcPr>
          <w:p>
            <w:pPr>
              <w:pStyle w:val="11"/>
            </w:pPr>
            <w:r>
              <w:t>61.57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2183" w:type="dxa"/>
            <w:vAlign w:val="center"/>
          </w:tcPr>
          <w:p>
            <w:pPr>
              <w:pStyle w:val="12"/>
            </w:pPr>
            <w:r>
              <w:t>机关事业单位基本养老保险缴费支出</w:t>
            </w:r>
          </w:p>
        </w:tc>
        <w:tc>
          <w:tcPr>
            <w:tcW w:w="851" w:type="dxa"/>
            <w:vAlign w:val="center"/>
          </w:tcPr>
          <w:p>
            <w:pPr>
              <w:pStyle w:val="11"/>
            </w:pPr>
            <w:r>
              <w:t>12.29</w:t>
            </w:r>
          </w:p>
        </w:tc>
        <w:tc>
          <w:tcPr>
            <w:tcW w:w="1134" w:type="dxa"/>
            <w:vAlign w:val="center"/>
          </w:tcPr>
          <w:p>
            <w:pPr>
              <w:pStyle w:val="11"/>
            </w:pPr>
            <w:r>
              <w:t>12.29</w:t>
            </w:r>
          </w:p>
        </w:tc>
        <w:tc>
          <w:tcPr>
            <w:tcW w:w="1134" w:type="dxa"/>
            <w:vAlign w:val="center"/>
          </w:tcPr>
          <w:p>
            <w:pPr>
              <w:pStyle w:val="11"/>
            </w:pPr>
            <w:r>
              <w:t>12.29</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2183" w:type="dxa"/>
            <w:vAlign w:val="center"/>
          </w:tcPr>
          <w:p>
            <w:pPr>
              <w:pStyle w:val="12"/>
            </w:pPr>
            <w:r>
              <w:t>退役安置</w:t>
            </w:r>
          </w:p>
        </w:tc>
        <w:tc>
          <w:tcPr>
            <w:tcW w:w="851" w:type="dxa"/>
            <w:vAlign w:val="center"/>
          </w:tcPr>
          <w:p>
            <w:pPr>
              <w:pStyle w:val="11"/>
            </w:pPr>
            <w:r>
              <w:t>59.03</w:t>
            </w:r>
          </w:p>
        </w:tc>
        <w:tc>
          <w:tcPr>
            <w:tcW w:w="1134" w:type="dxa"/>
            <w:vAlign w:val="center"/>
          </w:tcPr>
          <w:p>
            <w:pPr>
              <w:pStyle w:val="11"/>
            </w:pPr>
            <w:r>
              <w:t>59.03</w:t>
            </w:r>
          </w:p>
        </w:tc>
        <w:tc>
          <w:tcPr>
            <w:tcW w:w="1134" w:type="dxa"/>
            <w:vAlign w:val="center"/>
          </w:tcPr>
          <w:p>
            <w:pPr>
              <w:pStyle w:val="11"/>
            </w:pPr>
            <w:r>
              <w:t>59.03</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2183" w:type="dxa"/>
            <w:vAlign w:val="center"/>
          </w:tcPr>
          <w:p>
            <w:pPr>
              <w:pStyle w:val="12"/>
            </w:pPr>
            <w:r>
              <w:t>退役士兵安置</w:t>
            </w:r>
          </w:p>
        </w:tc>
        <w:tc>
          <w:tcPr>
            <w:tcW w:w="851" w:type="dxa"/>
            <w:vAlign w:val="center"/>
          </w:tcPr>
          <w:p>
            <w:pPr>
              <w:pStyle w:val="11"/>
            </w:pPr>
            <w:r>
              <w:t>59.03</w:t>
            </w:r>
          </w:p>
        </w:tc>
        <w:tc>
          <w:tcPr>
            <w:tcW w:w="1134" w:type="dxa"/>
            <w:vAlign w:val="center"/>
          </w:tcPr>
          <w:p>
            <w:pPr>
              <w:pStyle w:val="11"/>
            </w:pPr>
            <w:r>
              <w:t>59.03</w:t>
            </w:r>
          </w:p>
        </w:tc>
        <w:tc>
          <w:tcPr>
            <w:tcW w:w="1134" w:type="dxa"/>
            <w:vAlign w:val="center"/>
          </w:tcPr>
          <w:p>
            <w:pPr>
              <w:pStyle w:val="11"/>
            </w:pPr>
            <w:r>
              <w:t>59.03</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2183" w:type="dxa"/>
            <w:vAlign w:val="center"/>
          </w:tcPr>
          <w:p>
            <w:pPr>
              <w:pStyle w:val="12"/>
            </w:pPr>
            <w:r>
              <w:t>卫生健康支出</w:t>
            </w:r>
          </w:p>
        </w:tc>
        <w:tc>
          <w:tcPr>
            <w:tcW w:w="851" w:type="dxa"/>
            <w:vAlign w:val="center"/>
          </w:tcPr>
          <w:p>
            <w:pPr>
              <w:pStyle w:val="11"/>
            </w:pPr>
            <w:r>
              <w:t>11.65</w:t>
            </w:r>
          </w:p>
        </w:tc>
        <w:tc>
          <w:tcPr>
            <w:tcW w:w="1134"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2183" w:type="dxa"/>
            <w:vAlign w:val="center"/>
          </w:tcPr>
          <w:p>
            <w:pPr>
              <w:pStyle w:val="12"/>
            </w:pPr>
            <w:r>
              <w:t>行政事业单位医疗</w:t>
            </w:r>
          </w:p>
        </w:tc>
        <w:tc>
          <w:tcPr>
            <w:tcW w:w="851" w:type="dxa"/>
            <w:vAlign w:val="center"/>
          </w:tcPr>
          <w:p>
            <w:pPr>
              <w:pStyle w:val="11"/>
            </w:pPr>
            <w:r>
              <w:t>11.65</w:t>
            </w:r>
          </w:p>
        </w:tc>
        <w:tc>
          <w:tcPr>
            <w:tcW w:w="1134"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2183" w:type="dxa"/>
            <w:vAlign w:val="center"/>
          </w:tcPr>
          <w:p>
            <w:pPr>
              <w:pStyle w:val="12"/>
            </w:pPr>
            <w:r>
              <w:t>行政单位医疗</w:t>
            </w:r>
          </w:p>
        </w:tc>
        <w:tc>
          <w:tcPr>
            <w:tcW w:w="851" w:type="dxa"/>
            <w:vAlign w:val="center"/>
          </w:tcPr>
          <w:p>
            <w:pPr>
              <w:pStyle w:val="11"/>
            </w:pPr>
            <w:r>
              <w:t>11.65</w:t>
            </w:r>
          </w:p>
        </w:tc>
        <w:tc>
          <w:tcPr>
            <w:tcW w:w="1134"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w:t>
            </w:r>
          </w:p>
        </w:tc>
        <w:tc>
          <w:tcPr>
            <w:tcW w:w="2183" w:type="dxa"/>
            <w:vAlign w:val="center"/>
          </w:tcPr>
          <w:p>
            <w:pPr>
              <w:pStyle w:val="12"/>
            </w:pPr>
            <w:r>
              <w:t>商业服务业等支出</w:t>
            </w:r>
          </w:p>
        </w:tc>
        <w:tc>
          <w:tcPr>
            <w:tcW w:w="851" w:type="dxa"/>
            <w:vAlign w:val="center"/>
          </w:tcPr>
          <w:p>
            <w:pPr>
              <w:pStyle w:val="11"/>
            </w:pPr>
            <w:r>
              <w:t>199.77</w:t>
            </w:r>
          </w:p>
        </w:tc>
        <w:tc>
          <w:tcPr>
            <w:tcW w:w="1134" w:type="dxa"/>
            <w:vAlign w:val="center"/>
          </w:tcPr>
          <w:p>
            <w:pPr>
              <w:pStyle w:val="11"/>
              <w:rPr>
                <w:rFonts w:hint="eastAsia" w:eastAsiaTheme="minorEastAsia"/>
                <w:lang w:eastAsia="zh-CN"/>
              </w:rPr>
            </w:pPr>
            <w:r>
              <w:rPr>
                <w:rFonts w:hint="eastAsia" w:eastAsiaTheme="minorEastAsia"/>
                <w:lang w:eastAsia="zh-CN"/>
              </w:rPr>
              <w:t>199.77</w:t>
            </w:r>
          </w:p>
        </w:tc>
        <w:tc>
          <w:tcPr>
            <w:tcW w:w="1134" w:type="dxa"/>
            <w:vAlign w:val="center"/>
          </w:tcPr>
          <w:p>
            <w:pPr>
              <w:pStyle w:val="11"/>
              <w:rPr>
                <w:rFonts w:hint="eastAsia" w:eastAsiaTheme="minorEastAsia"/>
                <w:lang w:eastAsia="zh-CN"/>
              </w:rPr>
            </w:pPr>
            <w:r>
              <w:rPr>
                <w:rFonts w:hint="eastAsia" w:eastAsiaTheme="minorEastAsia"/>
                <w:lang w:eastAsia="zh-CN"/>
              </w:rPr>
              <w:t>199.77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eastAsia"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21602</w:t>
            </w:r>
          </w:p>
        </w:tc>
        <w:tc>
          <w:tcPr>
            <w:tcW w:w="2183" w:type="dxa"/>
            <w:vAlign w:val="center"/>
          </w:tcPr>
          <w:p>
            <w:pPr>
              <w:pStyle w:val="12"/>
            </w:pPr>
            <w:r>
              <w:t>商业流通事务</w:t>
            </w:r>
          </w:p>
        </w:tc>
        <w:tc>
          <w:tcPr>
            <w:tcW w:w="851" w:type="dxa"/>
            <w:vAlign w:val="center"/>
          </w:tcPr>
          <w:p>
            <w:pPr>
              <w:pStyle w:val="11"/>
            </w:pPr>
            <w:r>
              <w:t>199.77</w:t>
            </w:r>
          </w:p>
        </w:tc>
        <w:tc>
          <w:tcPr>
            <w:tcW w:w="1134" w:type="dxa"/>
            <w:vAlign w:val="center"/>
          </w:tcPr>
          <w:p>
            <w:pPr>
              <w:pStyle w:val="11"/>
              <w:rPr>
                <w:rFonts w:hint="eastAsia" w:eastAsiaTheme="minorEastAsia"/>
                <w:lang w:eastAsia="zh-CN"/>
              </w:rPr>
            </w:pPr>
            <w:r>
              <w:rPr>
                <w:rFonts w:hint="eastAsia" w:eastAsiaTheme="minorEastAsia"/>
                <w:lang w:eastAsia="zh-CN"/>
              </w:rPr>
              <w:t>199.77</w:t>
            </w:r>
          </w:p>
        </w:tc>
        <w:tc>
          <w:tcPr>
            <w:tcW w:w="1134" w:type="dxa"/>
            <w:vAlign w:val="center"/>
          </w:tcPr>
          <w:p>
            <w:pPr>
              <w:pStyle w:val="11"/>
              <w:rPr>
                <w:rFonts w:hint="eastAsia" w:eastAsiaTheme="minorEastAsia"/>
                <w:lang w:eastAsia="zh-CN"/>
              </w:rPr>
            </w:pPr>
            <w:r>
              <w:rPr>
                <w:rFonts w:hint="eastAsia" w:eastAsiaTheme="minorEastAsia"/>
                <w:lang w:eastAsia="zh-CN"/>
              </w:rPr>
              <w:t>199.77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eastAsia"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2160250</w:t>
            </w:r>
          </w:p>
        </w:tc>
        <w:tc>
          <w:tcPr>
            <w:tcW w:w="2183" w:type="dxa"/>
            <w:vAlign w:val="center"/>
          </w:tcPr>
          <w:p>
            <w:pPr>
              <w:pStyle w:val="12"/>
            </w:pPr>
            <w:r>
              <w:t>事业运行</w:t>
            </w:r>
          </w:p>
        </w:tc>
        <w:tc>
          <w:tcPr>
            <w:tcW w:w="851" w:type="dxa"/>
            <w:vAlign w:val="center"/>
          </w:tcPr>
          <w:p>
            <w:pPr>
              <w:pStyle w:val="11"/>
            </w:pPr>
            <w:r>
              <w:t>154.77</w:t>
            </w:r>
          </w:p>
        </w:tc>
        <w:tc>
          <w:tcPr>
            <w:tcW w:w="1134" w:type="dxa"/>
            <w:vAlign w:val="center"/>
          </w:tcPr>
          <w:p>
            <w:pPr>
              <w:pStyle w:val="11"/>
              <w:rPr>
                <w:rFonts w:hint="eastAsia" w:eastAsiaTheme="minorEastAsia"/>
                <w:lang w:eastAsia="zh-CN"/>
              </w:rPr>
            </w:pPr>
            <w:r>
              <w:rPr>
                <w:rFonts w:hint="eastAsia" w:eastAsiaTheme="minorEastAsia"/>
                <w:lang w:eastAsia="zh-CN"/>
              </w:rPr>
              <w:t>154.77</w:t>
            </w:r>
          </w:p>
        </w:tc>
        <w:tc>
          <w:tcPr>
            <w:tcW w:w="1134" w:type="dxa"/>
            <w:vAlign w:val="center"/>
          </w:tcPr>
          <w:p>
            <w:pPr>
              <w:pStyle w:val="11"/>
              <w:rPr>
                <w:rFonts w:hint="eastAsia" w:eastAsiaTheme="minorEastAsia"/>
                <w:lang w:eastAsia="zh-CN"/>
              </w:rPr>
            </w:pPr>
            <w:r>
              <w:rPr>
                <w:rFonts w:hint="eastAsia" w:eastAsiaTheme="minorEastAsia"/>
                <w:lang w:eastAsia="zh-CN"/>
              </w:rPr>
              <w:t>154.77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eastAsia"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2160299</w:t>
            </w:r>
          </w:p>
        </w:tc>
        <w:tc>
          <w:tcPr>
            <w:tcW w:w="2183" w:type="dxa"/>
            <w:vAlign w:val="center"/>
          </w:tcPr>
          <w:p>
            <w:pPr>
              <w:pStyle w:val="12"/>
            </w:pPr>
            <w:r>
              <w:t>其他商业流通事务支出</w:t>
            </w:r>
          </w:p>
        </w:tc>
        <w:tc>
          <w:tcPr>
            <w:tcW w:w="851"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2183" w:type="dxa"/>
            <w:vAlign w:val="center"/>
          </w:tcPr>
          <w:p>
            <w:pPr>
              <w:pStyle w:val="12"/>
            </w:pPr>
            <w:r>
              <w:t>住房保障支出</w:t>
            </w:r>
          </w:p>
        </w:tc>
        <w:tc>
          <w:tcPr>
            <w:tcW w:w="851" w:type="dxa"/>
            <w:vAlign w:val="center"/>
          </w:tcPr>
          <w:p>
            <w:pPr>
              <w:pStyle w:val="11"/>
            </w:pPr>
            <w:r>
              <w:t>15.25</w:t>
            </w:r>
          </w:p>
        </w:tc>
        <w:tc>
          <w:tcPr>
            <w:tcW w:w="1134"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2183" w:type="dxa"/>
            <w:vAlign w:val="center"/>
          </w:tcPr>
          <w:p>
            <w:pPr>
              <w:pStyle w:val="12"/>
            </w:pPr>
            <w:r>
              <w:t>住房改革支出</w:t>
            </w:r>
          </w:p>
        </w:tc>
        <w:tc>
          <w:tcPr>
            <w:tcW w:w="851" w:type="dxa"/>
            <w:vAlign w:val="center"/>
          </w:tcPr>
          <w:p>
            <w:pPr>
              <w:pStyle w:val="11"/>
            </w:pPr>
            <w:r>
              <w:t>15.25</w:t>
            </w:r>
          </w:p>
        </w:tc>
        <w:tc>
          <w:tcPr>
            <w:tcW w:w="1134"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2183" w:type="dxa"/>
            <w:vAlign w:val="center"/>
          </w:tcPr>
          <w:p>
            <w:pPr>
              <w:pStyle w:val="12"/>
            </w:pPr>
            <w:r>
              <w:t>住房公积金</w:t>
            </w:r>
          </w:p>
        </w:tc>
        <w:tc>
          <w:tcPr>
            <w:tcW w:w="851" w:type="dxa"/>
            <w:vAlign w:val="center"/>
          </w:tcPr>
          <w:p>
            <w:pPr>
              <w:pStyle w:val="11"/>
            </w:pPr>
            <w:r>
              <w:t>15.25</w:t>
            </w:r>
          </w:p>
        </w:tc>
        <w:tc>
          <w:tcPr>
            <w:tcW w:w="1134"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359.56</w:t>
            </w:r>
          </w:p>
        </w:tc>
        <w:tc>
          <w:tcPr>
            <w:tcW w:w="1361" w:type="dxa"/>
            <w:vAlign w:val="center"/>
          </w:tcPr>
          <w:p>
            <w:pPr>
              <w:pStyle w:val="15"/>
            </w:pPr>
            <w:r>
              <w:t>255.53</w:t>
            </w:r>
          </w:p>
        </w:tc>
        <w:tc>
          <w:tcPr>
            <w:tcW w:w="1361" w:type="dxa"/>
            <w:vAlign w:val="center"/>
          </w:tcPr>
          <w:p>
            <w:pPr>
              <w:pStyle w:val="15"/>
            </w:pPr>
            <w:r>
              <w:t>104.03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132.89</w:t>
            </w:r>
          </w:p>
        </w:tc>
        <w:tc>
          <w:tcPr>
            <w:tcW w:w="1361" w:type="dxa"/>
            <w:vAlign w:val="center"/>
          </w:tcPr>
          <w:p>
            <w:pPr>
              <w:pStyle w:val="11"/>
            </w:pPr>
            <w:r>
              <w:t>73.86</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73.86</w:t>
            </w:r>
          </w:p>
        </w:tc>
        <w:tc>
          <w:tcPr>
            <w:tcW w:w="1361" w:type="dxa"/>
            <w:vAlign w:val="center"/>
          </w:tcPr>
          <w:p>
            <w:pPr>
              <w:pStyle w:val="11"/>
            </w:pPr>
            <w:r>
              <w:t>73.86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61.57</w:t>
            </w:r>
          </w:p>
        </w:tc>
        <w:tc>
          <w:tcPr>
            <w:tcW w:w="1361" w:type="dxa"/>
            <w:vAlign w:val="center"/>
          </w:tcPr>
          <w:p>
            <w:pPr>
              <w:pStyle w:val="11"/>
            </w:pPr>
            <w:r>
              <w:t>61.57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12.29</w:t>
            </w:r>
          </w:p>
        </w:tc>
        <w:tc>
          <w:tcPr>
            <w:tcW w:w="1361" w:type="dxa"/>
            <w:vAlign w:val="center"/>
          </w:tcPr>
          <w:p>
            <w:pPr>
              <w:pStyle w:val="11"/>
            </w:pPr>
            <w:r>
              <w:t>12.29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6" w:type="dxa"/>
            <w:vAlign w:val="center"/>
          </w:tcPr>
          <w:p>
            <w:pPr>
              <w:pStyle w:val="12"/>
            </w:pPr>
            <w:r>
              <w:t>退役安置</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6" w:type="dxa"/>
            <w:vAlign w:val="center"/>
          </w:tcPr>
          <w:p>
            <w:pPr>
              <w:pStyle w:val="12"/>
            </w:pPr>
            <w:r>
              <w:t>退役士兵安置</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w:t>
            </w:r>
          </w:p>
        </w:tc>
        <w:tc>
          <w:tcPr>
            <w:tcW w:w="4536" w:type="dxa"/>
            <w:vAlign w:val="center"/>
          </w:tcPr>
          <w:p>
            <w:pPr>
              <w:pStyle w:val="12"/>
            </w:pPr>
            <w:r>
              <w:t>商业服务业等支出</w:t>
            </w:r>
          </w:p>
        </w:tc>
        <w:tc>
          <w:tcPr>
            <w:tcW w:w="1361" w:type="dxa"/>
            <w:vAlign w:val="center"/>
          </w:tcPr>
          <w:p>
            <w:pPr>
              <w:pStyle w:val="11"/>
            </w:pPr>
            <w:r>
              <w:t>199.77</w:t>
            </w:r>
          </w:p>
        </w:tc>
        <w:tc>
          <w:tcPr>
            <w:tcW w:w="1361" w:type="dxa"/>
            <w:vAlign w:val="center"/>
          </w:tcPr>
          <w:p>
            <w:pPr>
              <w:pStyle w:val="11"/>
            </w:pPr>
            <w:r>
              <w:t>154.77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21602</w:t>
            </w:r>
          </w:p>
        </w:tc>
        <w:tc>
          <w:tcPr>
            <w:tcW w:w="4536" w:type="dxa"/>
            <w:vAlign w:val="center"/>
          </w:tcPr>
          <w:p>
            <w:pPr>
              <w:pStyle w:val="12"/>
            </w:pPr>
            <w:r>
              <w:t>商业流通事务</w:t>
            </w:r>
          </w:p>
        </w:tc>
        <w:tc>
          <w:tcPr>
            <w:tcW w:w="1361" w:type="dxa"/>
            <w:vAlign w:val="center"/>
          </w:tcPr>
          <w:p>
            <w:pPr>
              <w:pStyle w:val="11"/>
            </w:pPr>
            <w:r>
              <w:t>199.77</w:t>
            </w:r>
          </w:p>
        </w:tc>
        <w:tc>
          <w:tcPr>
            <w:tcW w:w="1361" w:type="dxa"/>
            <w:vAlign w:val="center"/>
          </w:tcPr>
          <w:p>
            <w:pPr>
              <w:pStyle w:val="11"/>
            </w:pPr>
            <w:r>
              <w:t>154.77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2160250</w:t>
            </w:r>
          </w:p>
        </w:tc>
        <w:tc>
          <w:tcPr>
            <w:tcW w:w="4536" w:type="dxa"/>
            <w:vAlign w:val="center"/>
          </w:tcPr>
          <w:p>
            <w:pPr>
              <w:pStyle w:val="12"/>
            </w:pPr>
            <w:r>
              <w:t>事业运行</w:t>
            </w:r>
          </w:p>
        </w:tc>
        <w:tc>
          <w:tcPr>
            <w:tcW w:w="1361" w:type="dxa"/>
            <w:vAlign w:val="center"/>
          </w:tcPr>
          <w:p>
            <w:pPr>
              <w:pStyle w:val="11"/>
            </w:pPr>
            <w:r>
              <w:t>154.77</w:t>
            </w:r>
          </w:p>
        </w:tc>
        <w:tc>
          <w:tcPr>
            <w:tcW w:w="1361" w:type="dxa"/>
            <w:vAlign w:val="center"/>
          </w:tcPr>
          <w:p>
            <w:pPr>
              <w:pStyle w:val="11"/>
            </w:pPr>
            <w:r>
              <w:t>154.77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2160299</w:t>
            </w:r>
          </w:p>
        </w:tc>
        <w:tc>
          <w:tcPr>
            <w:tcW w:w="4536" w:type="dxa"/>
            <w:vAlign w:val="center"/>
          </w:tcPr>
          <w:p>
            <w:pPr>
              <w:pStyle w:val="12"/>
            </w:pPr>
            <w:r>
              <w:t>其他商业流通事务支出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eastAsia" w:eastAsiaTheme="minorEastAsia"/>
                <w:lang w:eastAsia="zh-CN"/>
              </w:rPr>
            </w:pPr>
            <w:r>
              <w:rPr>
                <w:rFonts w:hint="eastAsia" w:eastAsiaTheme="minorEastAsia"/>
                <w:lang w:eastAsia="zh-CN"/>
              </w:rPr>
              <w:t>359.56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132.89</w:t>
            </w:r>
          </w:p>
        </w:tc>
        <w:tc>
          <w:tcPr>
            <w:tcW w:w="1474" w:type="dxa"/>
            <w:vAlign w:val="center"/>
          </w:tcPr>
          <w:p>
            <w:pPr>
              <w:pStyle w:val="11"/>
            </w:pPr>
            <w:r>
              <w:t>132.89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11.65</w:t>
            </w:r>
          </w:p>
        </w:tc>
        <w:tc>
          <w:tcPr>
            <w:tcW w:w="1474" w:type="dxa"/>
            <w:vAlign w:val="center"/>
          </w:tcPr>
          <w:p>
            <w:pPr>
              <w:pStyle w:val="11"/>
            </w:pPr>
            <w:r>
              <w:t>11.65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199.77</w:t>
            </w:r>
          </w:p>
        </w:tc>
        <w:tc>
          <w:tcPr>
            <w:tcW w:w="1474" w:type="dxa"/>
            <w:vAlign w:val="center"/>
          </w:tcPr>
          <w:p>
            <w:pPr>
              <w:pStyle w:val="11"/>
            </w:pPr>
            <w:r>
              <w:t>199.77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15.25</w:t>
            </w:r>
          </w:p>
        </w:tc>
        <w:tc>
          <w:tcPr>
            <w:tcW w:w="1474" w:type="dxa"/>
            <w:vAlign w:val="center"/>
          </w:tcPr>
          <w:p>
            <w:pPr>
              <w:pStyle w:val="11"/>
            </w:pPr>
            <w:r>
              <w:t>15.25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rPr>
                <w:rFonts w:hint="eastAsia" w:eastAsiaTheme="minorEastAsia"/>
                <w:lang w:eastAsia="zh-CN"/>
              </w:rPr>
            </w:pPr>
            <w:r>
              <w:rPr>
                <w:rFonts w:hint="eastAsia" w:eastAsiaTheme="minorEastAsia"/>
                <w:lang w:eastAsia="zh-CN"/>
              </w:rPr>
              <w:t>359.56</w:t>
            </w:r>
          </w:p>
        </w:tc>
        <w:tc>
          <w:tcPr>
            <w:tcW w:w="3402" w:type="dxa"/>
            <w:vAlign w:val="center"/>
          </w:tcPr>
          <w:p>
            <w:pPr>
              <w:pStyle w:val="14"/>
            </w:pPr>
            <w:r>
              <w:t>本年支出合计</w:t>
            </w:r>
          </w:p>
        </w:tc>
        <w:tc>
          <w:tcPr>
            <w:tcW w:w="1474" w:type="dxa"/>
            <w:vAlign w:val="center"/>
          </w:tcPr>
          <w:p>
            <w:pPr>
              <w:pStyle w:val="15"/>
            </w:pPr>
            <w:r>
              <w:t>359.56</w:t>
            </w:r>
          </w:p>
        </w:tc>
        <w:tc>
          <w:tcPr>
            <w:tcW w:w="1474" w:type="dxa"/>
            <w:vAlign w:val="center"/>
          </w:tcPr>
          <w:p>
            <w:pPr>
              <w:pStyle w:val="15"/>
            </w:pPr>
            <w:r>
              <w:t>359.56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rPr>
                <w:rFonts w:hint="eastAsia" w:eastAsiaTheme="minorEastAsia"/>
                <w:lang w:eastAsia="zh-CN"/>
              </w:rPr>
            </w:pPr>
            <w:r>
              <w:rPr>
                <w:rFonts w:hint="eastAsia" w:eastAsiaTheme="minorEastAsia"/>
                <w:lang w:eastAsia="zh-CN"/>
              </w:rPr>
              <w:t>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rPr>
                <w:rFonts w:hint="eastAsia" w:eastAsiaTheme="minorEastAsia"/>
                <w:lang w:eastAsia="zh-CN"/>
              </w:rPr>
            </w:pPr>
            <w:r>
              <w:rPr>
                <w:rFonts w:hint="eastAsia" w:eastAsiaTheme="minorEastAsia"/>
                <w:lang w:eastAsia="zh-CN"/>
              </w:rPr>
              <w:t>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359.56</w:t>
            </w:r>
          </w:p>
        </w:tc>
        <w:tc>
          <w:tcPr>
            <w:tcW w:w="3402" w:type="dxa"/>
            <w:vAlign w:val="center"/>
          </w:tcPr>
          <w:p>
            <w:pPr>
              <w:pStyle w:val="14"/>
            </w:pPr>
            <w:r>
              <w:t>支出总计</w:t>
            </w:r>
          </w:p>
        </w:tc>
        <w:tc>
          <w:tcPr>
            <w:tcW w:w="1474" w:type="dxa"/>
            <w:vAlign w:val="center"/>
          </w:tcPr>
          <w:p>
            <w:pPr>
              <w:pStyle w:val="15"/>
            </w:pPr>
            <w:r>
              <w:t>359.56</w:t>
            </w:r>
          </w:p>
        </w:tc>
        <w:tc>
          <w:tcPr>
            <w:tcW w:w="1474" w:type="dxa"/>
            <w:vAlign w:val="center"/>
          </w:tcPr>
          <w:p>
            <w:pPr>
              <w:pStyle w:val="15"/>
            </w:pPr>
            <w:r>
              <w:t>359.56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359.56</w:t>
            </w:r>
          </w:p>
        </w:tc>
        <w:tc>
          <w:tcPr>
            <w:tcW w:w="2551" w:type="dxa"/>
            <w:vAlign w:val="center"/>
          </w:tcPr>
          <w:p>
            <w:pPr>
              <w:pStyle w:val="15"/>
            </w:pPr>
            <w:r>
              <w:t>255.53</w:t>
            </w:r>
          </w:p>
        </w:tc>
        <w:tc>
          <w:tcPr>
            <w:tcW w:w="2551" w:type="dxa"/>
            <w:vAlign w:val="center"/>
          </w:tcPr>
          <w:p>
            <w:pPr>
              <w:pStyle w:val="15"/>
            </w:pPr>
            <w:r>
              <w:t>104.03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132.89</w:t>
            </w:r>
          </w:p>
        </w:tc>
        <w:tc>
          <w:tcPr>
            <w:tcW w:w="2551" w:type="dxa"/>
            <w:vAlign w:val="center"/>
          </w:tcPr>
          <w:p>
            <w:pPr>
              <w:pStyle w:val="11"/>
            </w:pPr>
            <w:r>
              <w:t>73.86</w:t>
            </w: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73.86</w:t>
            </w:r>
          </w:p>
        </w:tc>
        <w:tc>
          <w:tcPr>
            <w:tcW w:w="2551" w:type="dxa"/>
            <w:vAlign w:val="center"/>
          </w:tcPr>
          <w:p>
            <w:pPr>
              <w:pStyle w:val="11"/>
            </w:pPr>
            <w:r>
              <w:t>73.86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61.57</w:t>
            </w:r>
          </w:p>
        </w:tc>
        <w:tc>
          <w:tcPr>
            <w:tcW w:w="2551" w:type="dxa"/>
            <w:vAlign w:val="center"/>
          </w:tcPr>
          <w:p>
            <w:pPr>
              <w:pStyle w:val="11"/>
            </w:pPr>
            <w:r>
              <w:t>61.57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12.29</w:t>
            </w:r>
          </w:p>
        </w:tc>
        <w:tc>
          <w:tcPr>
            <w:tcW w:w="2551" w:type="dxa"/>
            <w:vAlign w:val="center"/>
          </w:tcPr>
          <w:p>
            <w:pPr>
              <w:pStyle w:val="11"/>
            </w:pPr>
            <w:r>
              <w:t>12.29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59.03</w:t>
            </w:r>
          </w:p>
        </w:tc>
        <w:tc>
          <w:tcPr>
            <w:tcW w:w="2551" w:type="dxa"/>
            <w:vAlign w:val="center"/>
          </w:tcPr>
          <w:p>
            <w:pPr>
              <w:pStyle w:val="11"/>
            </w:pP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59.03</w:t>
            </w:r>
          </w:p>
        </w:tc>
        <w:tc>
          <w:tcPr>
            <w:tcW w:w="2551" w:type="dxa"/>
            <w:vAlign w:val="center"/>
          </w:tcPr>
          <w:p>
            <w:pPr>
              <w:pStyle w:val="11"/>
            </w:pP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199.77</w:t>
            </w:r>
          </w:p>
        </w:tc>
        <w:tc>
          <w:tcPr>
            <w:tcW w:w="2551" w:type="dxa"/>
            <w:vAlign w:val="center"/>
          </w:tcPr>
          <w:p>
            <w:pPr>
              <w:pStyle w:val="11"/>
              <w:rPr>
                <w:rFonts w:hint="eastAsia" w:eastAsiaTheme="minorEastAsia"/>
                <w:lang w:eastAsia="zh-CN"/>
              </w:rPr>
            </w:pPr>
            <w:r>
              <w:rPr>
                <w:rFonts w:hint="eastAsia" w:eastAsiaTheme="minorEastAsia"/>
                <w:lang w:eastAsia="zh-CN"/>
              </w:rPr>
              <w:t>154.77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199.77</w:t>
            </w:r>
          </w:p>
        </w:tc>
        <w:tc>
          <w:tcPr>
            <w:tcW w:w="2551" w:type="dxa"/>
            <w:vAlign w:val="center"/>
          </w:tcPr>
          <w:p>
            <w:pPr>
              <w:pStyle w:val="11"/>
              <w:rPr>
                <w:rFonts w:hint="eastAsia" w:eastAsiaTheme="minorEastAsia"/>
                <w:lang w:eastAsia="zh-CN"/>
              </w:rPr>
            </w:pPr>
            <w:r>
              <w:rPr>
                <w:rFonts w:hint="eastAsia" w:eastAsiaTheme="minorEastAsia"/>
                <w:lang w:eastAsia="zh-CN"/>
              </w:rPr>
              <w:t>154.77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2160250</w:t>
            </w:r>
          </w:p>
        </w:tc>
        <w:tc>
          <w:tcPr>
            <w:tcW w:w="4535" w:type="dxa"/>
            <w:vAlign w:val="center"/>
          </w:tcPr>
          <w:p>
            <w:pPr>
              <w:pStyle w:val="12"/>
            </w:pPr>
            <w:r>
              <w:t>事业运行</w:t>
            </w:r>
          </w:p>
        </w:tc>
        <w:tc>
          <w:tcPr>
            <w:tcW w:w="2551" w:type="dxa"/>
            <w:vAlign w:val="center"/>
          </w:tcPr>
          <w:p>
            <w:pPr>
              <w:pStyle w:val="11"/>
            </w:pPr>
            <w:r>
              <w:t>154.77</w:t>
            </w:r>
          </w:p>
        </w:tc>
        <w:tc>
          <w:tcPr>
            <w:tcW w:w="2551" w:type="dxa"/>
            <w:vAlign w:val="center"/>
          </w:tcPr>
          <w:p>
            <w:pPr>
              <w:pStyle w:val="11"/>
            </w:pPr>
            <w:r>
              <w:t>154.77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255.53</w:t>
            </w:r>
          </w:p>
        </w:tc>
        <w:tc>
          <w:tcPr>
            <w:tcW w:w="2551" w:type="dxa"/>
            <w:vAlign w:val="center"/>
          </w:tcPr>
          <w:p>
            <w:pPr>
              <w:pStyle w:val="15"/>
            </w:pPr>
            <w:r>
              <w:t>226.27</w:t>
            </w:r>
          </w:p>
        </w:tc>
        <w:tc>
          <w:tcPr>
            <w:tcW w:w="2552" w:type="dxa"/>
            <w:vAlign w:val="center"/>
          </w:tcPr>
          <w:p>
            <w:pPr>
              <w:pStyle w:val="15"/>
            </w:pPr>
            <w:r>
              <w:t>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163.41</w:t>
            </w:r>
          </w:p>
        </w:tc>
        <w:tc>
          <w:tcPr>
            <w:tcW w:w="2551" w:type="dxa"/>
            <w:vAlign w:val="center"/>
          </w:tcPr>
          <w:p>
            <w:pPr>
              <w:pStyle w:val="11"/>
            </w:pPr>
            <w:r>
              <w:t>163.41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49.20</w:t>
            </w:r>
          </w:p>
        </w:tc>
        <w:tc>
          <w:tcPr>
            <w:tcW w:w="2551" w:type="dxa"/>
            <w:vAlign w:val="center"/>
          </w:tcPr>
          <w:p>
            <w:pPr>
              <w:pStyle w:val="11"/>
            </w:pPr>
            <w:r>
              <w:t>49.20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8.63</w:t>
            </w:r>
          </w:p>
        </w:tc>
        <w:tc>
          <w:tcPr>
            <w:tcW w:w="2551" w:type="dxa"/>
            <w:vAlign w:val="center"/>
          </w:tcPr>
          <w:p>
            <w:pPr>
              <w:pStyle w:val="11"/>
            </w:pPr>
            <w:r>
              <w:t>8.63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31.07</w:t>
            </w:r>
          </w:p>
        </w:tc>
        <w:tc>
          <w:tcPr>
            <w:tcW w:w="2551" w:type="dxa"/>
            <w:vAlign w:val="center"/>
          </w:tcPr>
          <w:p>
            <w:pPr>
              <w:pStyle w:val="11"/>
            </w:pPr>
            <w:r>
              <w:t>31.07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12.29</w:t>
            </w:r>
          </w:p>
        </w:tc>
        <w:tc>
          <w:tcPr>
            <w:tcW w:w="2551" w:type="dxa"/>
            <w:vAlign w:val="center"/>
          </w:tcPr>
          <w:p>
            <w:pPr>
              <w:pStyle w:val="11"/>
            </w:pPr>
            <w:r>
              <w:t>12.29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6.57</w:t>
            </w:r>
          </w:p>
        </w:tc>
        <w:tc>
          <w:tcPr>
            <w:tcW w:w="2551" w:type="dxa"/>
            <w:vAlign w:val="center"/>
          </w:tcPr>
          <w:p>
            <w:pPr>
              <w:pStyle w:val="11"/>
            </w:pPr>
            <w:r>
              <w:t>6.57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5.08</w:t>
            </w:r>
          </w:p>
        </w:tc>
        <w:tc>
          <w:tcPr>
            <w:tcW w:w="2551" w:type="dxa"/>
            <w:vAlign w:val="center"/>
          </w:tcPr>
          <w:p>
            <w:pPr>
              <w:pStyle w:val="11"/>
            </w:pPr>
            <w:r>
              <w:t>5.08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0.92</w:t>
            </w:r>
          </w:p>
        </w:tc>
        <w:tc>
          <w:tcPr>
            <w:tcW w:w="2551" w:type="dxa"/>
            <w:vAlign w:val="center"/>
          </w:tcPr>
          <w:p>
            <w:pPr>
              <w:pStyle w:val="11"/>
            </w:pPr>
            <w:r>
              <w:t>0.92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15.25</w:t>
            </w:r>
          </w:p>
        </w:tc>
        <w:tc>
          <w:tcPr>
            <w:tcW w:w="2551" w:type="dxa"/>
            <w:vAlign w:val="center"/>
          </w:tcPr>
          <w:p>
            <w:pPr>
              <w:pStyle w:val="11"/>
            </w:pPr>
            <w:r>
              <w:t>15.25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34.40</w:t>
            </w:r>
          </w:p>
        </w:tc>
        <w:tc>
          <w:tcPr>
            <w:tcW w:w="2551" w:type="dxa"/>
            <w:vAlign w:val="center"/>
          </w:tcPr>
          <w:p>
            <w:pPr>
              <w:pStyle w:val="11"/>
            </w:pPr>
            <w:r>
              <w:t>34.40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27.26</w:t>
            </w:r>
          </w:p>
        </w:tc>
        <w:tc>
          <w:tcPr>
            <w:tcW w:w="2551" w:type="dxa"/>
            <w:vAlign w:val="center"/>
          </w:tcPr>
          <w:p>
            <w:pPr>
              <w:pStyle w:val="11"/>
            </w:pPr>
          </w:p>
        </w:tc>
        <w:tc>
          <w:tcPr>
            <w:tcW w:w="2552" w:type="dxa"/>
            <w:vAlign w:val="center"/>
          </w:tcPr>
          <w:p>
            <w:pPr>
              <w:pStyle w:val="11"/>
            </w:pPr>
            <w:r>
              <w:t>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3.40</w:t>
            </w:r>
          </w:p>
        </w:tc>
        <w:tc>
          <w:tcPr>
            <w:tcW w:w="2551" w:type="dxa"/>
            <w:vAlign w:val="center"/>
          </w:tcPr>
          <w:p>
            <w:pPr>
              <w:pStyle w:val="11"/>
            </w:pPr>
          </w:p>
        </w:tc>
        <w:tc>
          <w:tcPr>
            <w:tcW w:w="2552"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3.64</w:t>
            </w:r>
          </w:p>
        </w:tc>
        <w:tc>
          <w:tcPr>
            <w:tcW w:w="2551" w:type="dxa"/>
            <w:vAlign w:val="center"/>
          </w:tcPr>
          <w:p>
            <w:pPr>
              <w:pStyle w:val="11"/>
            </w:pPr>
          </w:p>
        </w:tc>
        <w:tc>
          <w:tcPr>
            <w:tcW w:w="2552" w:type="dxa"/>
            <w:vAlign w:val="center"/>
          </w:tcPr>
          <w:p>
            <w:pPr>
              <w:pStyle w:val="11"/>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0.60</w:t>
            </w:r>
          </w:p>
        </w:tc>
        <w:tc>
          <w:tcPr>
            <w:tcW w:w="2551" w:type="dxa"/>
            <w:vAlign w:val="center"/>
          </w:tcPr>
          <w:p>
            <w:pPr>
              <w:pStyle w:val="11"/>
            </w:pPr>
          </w:p>
        </w:tc>
        <w:tc>
          <w:tcPr>
            <w:tcW w:w="2552"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13.61</w:t>
            </w:r>
          </w:p>
        </w:tc>
        <w:tc>
          <w:tcPr>
            <w:tcW w:w="2551" w:type="dxa"/>
            <w:vAlign w:val="center"/>
          </w:tcPr>
          <w:p>
            <w:pPr>
              <w:pStyle w:val="11"/>
            </w:pPr>
          </w:p>
        </w:tc>
        <w:tc>
          <w:tcPr>
            <w:tcW w:w="2552" w:type="dxa"/>
            <w:vAlign w:val="center"/>
          </w:tcPr>
          <w:p>
            <w:pPr>
              <w:pStyle w:val="11"/>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0.92</w:t>
            </w:r>
          </w:p>
        </w:tc>
        <w:tc>
          <w:tcPr>
            <w:tcW w:w="2551" w:type="dxa"/>
            <w:vAlign w:val="center"/>
          </w:tcPr>
          <w:p>
            <w:pPr>
              <w:pStyle w:val="11"/>
            </w:pPr>
          </w:p>
        </w:tc>
        <w:tc>
          <w:tcPr>
            <w:tcW w:w="2552"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1.14</w:t>
            </w:r>
          </w:p>
        </w:tc>
        <w:tc>
          <w:tcPr>
            <w:tcW w:w="2551" w:type="dxa"/>
            <w:vAlign w:val="center"/>
          </w:tcPr>
          <w:p>
            <w:pPr>
              <w:pStyle w:val="11"/>
            </w:pPr>
          </w:p>
        </w:tc>
        <w:tc>
          <w:tcPr>
            <w:tcW w:w="2552"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2"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1.96</w:t>
            </w:r>
          </w:p>
        </w:tc>
        <w:tc>
          <w:tcPr>
            <w:tcW w:w="2551" w:type="dxa"/>
            <w:vAlign w:val="center"/>
          </w:tcPr>
          <w:p>
            <w:pPr>
              <w:pStyle w:val="11"/>
            </w:pPr>
          </w:p>
        </w:tc>
        <w:tc>
          <w:tcPr>
            <w:tcW w:w="2552"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62.85</w:t>
            </w:r>
          </w:p>
        </w:tc>
        <w:tc>
          <w:tcPr>
            <w:tcW w:w="2551" w:type="dxa"/>
            <w:vAlign w:val="center"/>
          </w:tcPr>
          <w:p>
            <w:pPr>
              <w:pStyle w:val="11"/>
            </w:pPr>
            <w:r>
              <w:t>62.85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14.99</w:t>
            </w:r>
          </w:p>
        </w:tc>
        <w:tc>
          <w:tcPr>
            <w:tcW w:w="2551" w:type="dxa"/>
            <w:vAlign w:val="center"/>
          </w:tcPr>
          <w:p>
            <w:pPr>
              <w:pStyle w:val="11"/>
            </w:pPr>
            <w:r>
              <w:t>14.99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3.13</w:t>
            </w:r>
          </w:p>
        </w:tc>
        <w:tc>
          <w:tcPr>
            <w:tcW w:w="2551" w:type="dxa"/>
            <w:vAlign w:val="center"/>
          </w:tcPr>
          <w:p>
            <w:pPr>
              <w:pStyle w:val="11"/>
            </w:pPr>
            <w:r>
              <w:t>3.13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44.72</w:t>
            </w:r>
          </w:p>
        </w:tc>
        <w:tc>
          <w:tcPr>
            <w:tcW w:w="2551" w:type="dxa"/>
            <w:vAlign w:val="center"/>
          </w:tcPr>
          <w:p>
            <w:pPr>
              <w:pStyle w:val="11"/>
            </w:pPr>
            <w:r>
              <w:t>44.72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0.60</w:t>
            </w:r>
          </w:p>
        </w:tc>
        <w:tc>
          <w:tcPr>
            <w:tcW w:w="2381" w:type="dxa"/>
            <w:vAlign w:val="center"/>
          </w:tcPr>
          <w:p>
            <w:pPr>
              <w:pStyle w:val="15"/>
            </w:pPr>
            <w:r>
              <w:t>0.60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石家庄市鹿泉区供销合作总社2022年部门预算信息公开情况说明</w:t>
      </w:r>
    </w:p>
    <w:p>
      <w:pPr>
        <w:jc w:val="center"/>
      </w:pPr>
      <w:r>
        <w:rPr>
          <w:rFonts w:ascii="方正小标宋_GBK" w:hAnsi="方正小标宋_GBK" w:eastAsia="方正小标宋_GBK" w:cs="方正小标宋_GBK"/>
          <w:color w:val="000000"/>
          <w:sz w:val="44"/>
        </w:rPr>
        <w:t>石家庄市鹿泉区供销合作总社2022年部门预算信息公开情况说明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》、《地方预决算公开操作规程》和《关于进一步推进预算公开工作的实施意见》规定，现将石家庄市鹿泉区供销合作总社2022年部门预算公开如下：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1、宣传、贯彻党和政府有关农村工作和社会发展的方针、政策，制订并组织实施供销合作社发展规划。</w:t>
      </w:r>
    </w:p>
    <w:p>
      <w:pPr>
        <w:pStyle w:val="17"/>
      </w:pPr>
      <w:r>
        <w:t>2、协调与政府部门、社会组织的关系，维护供销合作社《章程》赋予的合法权益，促进合作经济的发展。</w:t>
      </w:r>
    </w:p>
    <w:p>
      <w:pPr>
        <w:pStyle w:val="17"/>
      </w:pPr>
      <w:r>
        <w:t>3、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pPr>
        <w:pStyle w:val="17"/>
      </w:pPr>
      <w:r>
        <w:t>4、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17"/>
      </w:pPr>
      <w:r>
        <w:t>5、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pPr>
        <w:pStyle w:val="17"/>
        <w:rPr>
          <w:rFonts w:ascii="方正楷体_GBK" w:hAnsi="方正楷体_GBK" w:eastAsia="方正楷体_GBK" w:cs="方正楷体_GBK"/>
          <w:b/>
          <w:color w:val="000000"/>
          <w:sz w:val="32"/>
          <w:lang w:eastAsia="zh-CN"/>
        </w:rPr>
      </w:pPr>
      <w:r>
        <w:t>6、根据区委、区政府和石家庄市供销社的工作安排，全面加强和创新社会管理，处理好改制遗留问题，妥善安置退役人员11人，突出抓好系统企业经营安全和商场、市场等人员密集场所消防安全，确保系统企业安全生产无事故，完成鹿泉区下达的防汛物资号备工作。</w:t>
      </w:r>
    </w:p>
    <w:p>
      <w:pPr>
        <w:ind w:firstLine="643" w:firstLineChars="200"/>
        <w:rPr>
          <w:rFonts w:hint="eastAsia" w:ascii="方正楷体_GBK" w:hAnsi="方正楷体_GBK" w:cs="方正楷体_GBK" w:eastAsiaTheme="minorEastAsia"/>
          <w:b/>
          <w:color w:val="000000"/>
          <w:sz w:val="32"/>
          <w:lang w:eastAsia="zh-CN"/>
        </w:rPr>
      </w:pPr>
    </w:p>
    <w:p>
      <w:pPr>
        <w:ind w:firstLine="643" w:firstLineChars="200"/>
      </w:pPr>
      <w:r>
        <w:rPr>
          <w:rFonts w:ascii="方正楷体_GBK" w:hAnsi="方正楷体_GBK" w:eastAsia="方正楷体_GBK" w:cs="方正楷体_GBK"/>
          <w:b/>
          <w:color w:val="000000"/>
          <w:sz w:val="32"/>
        </w:rPr>
        <w:t>机构设置：</w:t>
      </w:r>
    </w:p>
    <w:p>
      <w:pPr>
        <w:ind w:firstLine="640"/>
      </w:pPr>
    </w:p>
    <w:tbl>
      <w:tblPr>
        <w:tblStyle w:val="4"/>
        <w:tblpPr w:leftFromText="180" w:rightFromText="180" w:vertAnchor="text" w:horzAnchor="margin" w:tblpY="116"/>
        <w:tblW w:w="1314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53"/>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5353" w:type="dxa"/>
            <w:vAlign w:val="center"/>
          </w:tcPr>
          <w:p>
            <w:pPr>
              <w:pStyle w:val="10"/>
              <w:rPr>
                <w:sz w:val="32"/>
                <w:szCs w:val="32"/>
              </w:rPr>
            </w:pPr>
            <w:r>
              <w:rPr>
                <w:sz w:val="32"/>
                <w:szCs w:val="32"/>
              </w:rPr>
              <w:t>单位名称</w:t>
            </w:r>
          </w:p>
        </w:tc>
        <w:tc>
          <w:tcPr>
            <w:tcW w:w="1843" w:type="dxa"/>
            <w:vAlign w:val="center"/>
          </w:tcPr>
          <w:p>
            <w:pPr>
              <w:pStyle w:val="10"/>
              <w:rPr>
                <w:sz w:val="32"/>
                <w:szCs w:val="32"/>
              </w:rPr>
            </w:pPr>
            <w:r>
              <w:rPr>
                <w:sz w:val="32"/>
                <w:szCs w:val="32"/>
              </w:rPr>
              <w:t>单位性质</w:t>
            </w:r>
          </w:p>
        </w:tc>
        <w:tc>
          <w:tcPr>
            <w:tcW w:w="2126" w:type="dxa"/>
            <w:vAlign w:val="center"/>
          </w:tcPr>
          <w:p>
            <w:pPr>
              <w:pStyle w:val="10"/>
              <w:rPr>
                <w:sz w:val="32"/>
                <w:szCs w:val="32"/>
              </w:rPr>
            </w:pPr>
            <w:r>
              <w:rPr>
                <w:sz w:val="32"/>
                <w:szCs w:val="32"/>
              </w:rPr>
              <w:t>单位规格</w:t>
            </w:r>
          </w:p>
        </w:tc>
        <w:tc>
          <w:tcPr>
            <w:tcW w:w="3827" w:type="dxa"/>
            <w:vAlign w:val="center"/>
          </w:tcPr>
          <w:p>
            <w:pPr>
              <w:pStyle w:val="10"/>
              <w:rPr>
                <w:sz w:val="32"/>
                <w:szCs w:val="32"/>
              </w:rPr>
            </w:pPr>
            <w:r>
              <w:rPr>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5353" w:type="dxa"/>
            <w:vAlign w:val="center"/>
          </w:tcPr>
          <w:p>
            <w:pPr>
              <w:pStyle w:val="12"/>
              <w:rPr>
                <w:sz w:val="32"/>
                <w:szCs w:val="32"/>
              </w:rPr>
            </w:pPr>
            <w:r>
              <w:rPr>
                <w:sz w:val="32"/>
                <w:szCs w:val="32"/>
              </w:rPr>
              <w:t>石家庄市鹿泉区供销合作总社</w:t>
            </w:r>
          </w:p>
        </w:tc>
        <w:tc>
          <w:tcPr>
            <w:tcW w:w="1843" w:type="dxa"/>
            <w:vAlign w:val="center"/>
          </w:tcPr>
          <w:p>
            <w:pPr>
              <w:pStyle w:val="13"/>
              <w:rPr>
                <w:rFonts w:hint="eastAsia" w:eastAsiaTheme="minorEastAsia"/>
                <w:sz w:val="32"/>
                <w:szCs w:val="32"/>
                <w:lang w:eastAsia="zh-CN"/>
              </w:rPr>
            </w:pPr>
            <w:r>
              <w:rPr>
                <w:sz w:val="32"/>
                <w:szCs w:val="32"/>
              </w:rPr>
              <w:t>事业</w:t>
            </w:r>
          </w:p>
        </w:tc>
        <w:tc>
          <w:tcPr>
            <w:tcW w:w="2126" w:type="dxa"/>
            <w:vAlign w:val="center"/>
          </w:tcPr>
          <w:p>
            <w:pPr>
              <w:pStyle w:val="13"/>
              <w:rPr>
                <w:sz w:val="32"/>
                <w:szCs w:val="32"/>
              </w:rPr>
            </w:pPr>
            <w:r>
              <w:rPr>
                <w:sz w:val="32"/>
                <w:szCs w:val="32"/>
              </w:rPr>
              <w:t>正科级</w:t>
            </w:r>
          </w:p>
        </w:tc>
        <w:tc>
          <w:tcPr>
            <w:tcW w:w="3827" w:type="dxa"/>
            <w:vAlign w:val="center"/>
          </w:tcPr>
          <w:p>
            <w:pPr>
              <w:pStyle w:val="13"/>
              <w:rPr>
                <w:sz w:val="32"/>
                <w:szCs w:val="32"/>
              </w:rPr>
            </w:pPr>
            <w:r>
              <w:rPr>
                <w:sz w:val="32"/>
                <w:szCs w:val="32"/>
              </w:rPr>
              <w:t>财政性资金基本保证</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部门预算的编制实行综合预算管理，即全部收入和支出都反映在预算中。</w:t>
      </w:r>
    </w:p>
    <w:p>
      <w:pPr>
        <w:pStyle w:val="18"/>
      </w:pPr>
      <w:r>
        <w:t>1、收入说明</w:t>
      </w:r>
    </w:p>
    <w:p>
      <w:pPr>
        <w:pStyle w:val="18"/>
      </w:pPr>
      <w:r>
        <w:t>2022年</w:t>
      </w:r>
      <w:r>
        <w:rPr>
          <w:rFonts w:hint="eastAsia" w:eastAsiaTheme="minorEastAsia"/>
          <w:lang w:eastAsia="zh-CN"/>
        </w:rPr>
        <w:t>部门</w:t>
      </w:r>
      <w:r>
        <w:t>预算收入</w:t>
      </w:r>
      <w:r>
        <w:rPr>
          <w:rFonts w:hint="eastAsia" w:eastAsiaTheme="minorEastAsia"/>
          <w:lang w:eastAsia="zh-CN"/>
        </w:rPr>
        <w:t>359.56</w:t>
      </w:r>
      <w:r>
        <w:t>万元，其中：一般公共预算收入</w:t>
      </w:r>
      <w:r>
        <w:rPr>
          <w:rFonts w:hint="eastAsia" w:eastAsiaTheme="minorEastAsia"/>
          <w:lang w:eastAsia="zh-CN"/>
        </w:rPr>
        <w:t>359.56</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收支预算总表支出栏、基本支出表、项目支出表按经济分类和支出功能分类科目编制，反映石家庄市鹿泉区供销合作总社年度部门预算中支出预算的总体情况。2022年部门支出预算为</w:t>
      </w:r>
      <w:r>
        <w:rPr>
          <w:rFonts w:hint="eastAsia"/>
          <w:lang w:eastAsia="zh-CN"/>
        </w:rPr>
        <w:t>359.56</w:t>
      </w:r>
      <w:r>
        <w:t>万元，其中基本支出</w:t>
      </w:r>
      <w:r>
        <w:rPr>
          <w:rFonts w:hint="eastAsia"/>
          <w:lang w:eastAsia="zh-CN"/>
        </w:rPr>
        <w:t>255.53</w:t>
      </w:r>
      <w:r>
        <w:t>万元，包括人员经费</w:t>
      </w:r>
      <w:r>
        <w:rPr>
          <w:rFonts w:hint="eastAsia"/>
          <w:lang w:eastAsia="zh-CN"/>
        </w:rPr>
        <w:t>226.27</w:t>
      </w:r>
      <w:r>
        <w:t>万元和日常公用经费29.26万元；项目支出</w:t>
      </w:r>
      <w:r>
        <w:rPr>
          <w:rFonts w:hint="eastAsia"/>
          <w:lang w:eastAsia="zh-CN"/>
        </w:rPr>
        <w:t>104.03</w:t>
      </w:r>
      <w:r>
        <w:t>万元，主要为农村产权交易中心专项业务及办公费支出20万元，社会化服务体系支出15万元，退役军人公益岗支出59.03万元，再生资源管理及回收利用体系建设10万元；其他支出0万元。</w:t>
      </w:r>
    </w:p>
    <w:p>
      <w:pPr>
        <w:pStyle w:val="18"/>
      </w:pPr>
      <w:r>
        <w:t>3、比上年增减情况</w:t>
      </w:r>
    </w:p>
    <w:p>
      <w:pPr>
        <w:pStyle w:val="18"/>
        <w:rPr>
          <w:rFonts w:eastAsiaTheme="minorEastAsia"/>
          <w:lang w:eastAsia="zh-CN"/>
        </w:rPr>
      </w:pPr>
      <w:r>
        <w:t>2022年部门预算收支安排</w:t>
      </w:r>
      <w:r>
        <w:rPr>
          <w:rFonts w:hint="eastAsia" w:eastAsiaTheme="minorEastAsia"/>
          <w:lang w:eastAsia="zh-CN"/>
        </w:rPr>
        <w:t>359.56</w:t>
      </w:r>
      <w:r>
        <w:t>万元，较2021年增加10.42万元，其中：基本支出增加10.42万元，主要是人员经费增加；其他支出无增减变化。</w:t>
      </w:r>
    </w:p>
    <w:p>
      <w:pPr>
        <w:pStyle w:val="18"/>
        <w:rPr>
          <w:rFonts w:eastAsiaTheme="minorEastAsia"/>
          <w:lang w:eastAsia="zh-CN"/>
        </w:rPr>
      </w:pPr>
    </w:p>
    <w:p>
      <w:pPr>
        <w:pStyle w:val="18"/>
        <w:rPr>
          <w:rFonts w:eastAsiaTheme="minorEastAsia"/>
          <w:lang w:eastAsia="zh-CN"/>
        </w:rPr>
      </w:pPr>
    </w:p>
    <w:p>
      <w:pPr>
        <w:pStyle w:val="18"/>
        <w:rPr>
          <w:b/>
          <w:sz w:val="32"/>
          <w:szCs w:val="32"/>
        </w:rPr>
      </w:pPr>
      <w:r>
        <w:rPr>
          <w:b/>
          <w:sz w:val="32"/>
          <w:szCs w:val="32"/>
        </w:rPr>
        <w:t>三、机关运行经费安排情况</w:t>
      </w:r>
    </w:p>
    <w:p>
      <w:pPr>
        <w:pStyle w:val="18"/>
      </w:pPr>
      <w:r>
        <w:t>2022年，我部门机关运行经费共计安排29.26万元，主要用于保证机关正常运转的办公及印刷费、邮电费、差旅费、会议费、福利费、专用材料及一般设备购置费、办公用房水电费、办公用房取暖费、日常维修费、办公楼物业管理费等支出。</w:t>
      </w:r>
    </w:p>
    <w:p>
      <w:pPr>
        <w:pStyle w:val="18"/>
        <w:rPr>
          <w:b/>
        </w:rPr>
      </w:pPr>
      <w:r>
        <w:rPr>
          <w:b/>
        </w:rPr>
        <w:t>四、财政拨款“三公”经费预算情况及增减变化原因</w:t>
      </w:r>
    </w:p>
    <w:p>
      <w:pPr>
        <w:pStyle w:val="18"/>
      </w:pPr>
      <w:r>
        <w:t>2022年，我部门财政拨款“三公”经费预算安排0.6万元，其中：因公出国（境）费0万元；公务用车购置及运维费0万元（其中：公务用车购置费0万元，公务用车运行维护费0万元)；公务接待费0.6万元。与上年持平。</w:t>
      </w:r>
    </w:p>
    <w:p>
      <w:pPr>
        <w:pStyle w:val="18"/>
        <w:rPr>
          <w:b/>
        </w:rPr>
      </w:pPr>
      <w:r>
        <w:rPr>
          <w:b/>
        </w:rPr>
        <w:t>五、预算绩效信息</w:t>
      </w:r>
    </w:p>
    <w:p>
      <w:pPr>
        <w:pStyle w:val="18"/>
        <w:rPr>
          <w:b/>
        </w:rPr>
      </w:pPr>
      <w:r>
        <w:rPr>
          <w:b/>
        </w:rPr>
        <w:t>第一部分  部门整体绩效目标</w:t>
      </w:r>
    </w:p>
    <w:p>
      <w:pPr>
        <w:pStyle w:val="18"/>
      </w:pPr>
      <w:r>
        <w:t>（一）总体绩效目标</w:t>
      </w:r>
    </w:p>
    <w:p>
      <w:pPr>
        <w:pStyle w:val="18"/>
      </w:pPr>
      <w:r>
        <w:rPr>
          <w:rFonts w:hint="eastAsia" w:eastAsiaTheme="minorEastAsia"/>
          <w:lang w:eastAsia="zh-CN"/>
        </w:rPr>
        <w:t>1</w:t>
      </w:r>
      <w:r>
        <w:t>、加强供销流通管理，建设供销社社会化服务体系</w:t>
      </w:r>
    </w:p>
    <w:p>
      <w:pPr>
        <w:pStyle w:val="18"/>
      </w:pPr>
      <w:r>
        <w:t>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pPr>
        <w:pStyle w:val="18"/>
      </w:pPr>
      <w:r>
        <w:rPr>
          <w:rFonts w:hint="eastAsia" w:eastAsiaTheme="minorEastAsia"/>
          <w:lang w:eastAsia="zh-CN"/>
        </w:rPr>
        <w:t>2</w:t>
      </w:r>
      <w:r>
        <w:t>、区农村产权交易中心建设及运营</w:t>
      </w:r>
    </w:p>
    <w:p>
      <w:pPr>
        <w:pStyle w:val="18"/>
      </w:pPr>
      <w:r>
        <w:t>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18"/>
      </w:pPr>
      <w:r>
        <w:rPr>
          <w:rFonts w:hint="eastAsia" w:eastAsiaTheme="minorEastAsia"/>
          <w:lang w:eastAsia="zh-CN"/>
        </w:rPr>
        <w:t>3</w:t>
      </w:r>
      <w:r>
        <w:t>、再生资源管理及回收利用体系建设</w:t>
      </w:r>
    </w:p>
    <w:p>
      <w:pPr>
        <w:pStyle w:val="18"/>
      </w:pPr>
      <w:r>
        <w:t>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pPr>
        <w:pStyle w:val="18"/>
      </w:pPr>
      <w:r>
        <w:rPr>
          <w:rFonts w:hint="eastAsia" w:eastAsiaTheme="minorEastAsia"/>
          <w:lang w:eastAsia="zh-CN"/>
        </w:rPr>
        <w:t>4</w:t>
      </w:r>
      <w:r>
        <w:t>、供销合作政务管理</w:t>
      </w:r>
    </w:p>
    <w:p>
      <w:pPr>
        <w:pStyle w:val="18"/>
      </w:pPr>
      <w:r>
        <w:t>做好供销合作社系统综合业务管理和综合事务管理，确保各项业务工作谋划到位、顺利开展。根据区委、区政府和石家庄市供销社的工作安排，全面加强和创新社会管理，处理好改制遗留问题，突出抓好商品经营安全和商场、市场等人员密集场所消防安全，确保系统企业安全生产无事故，完成鹿泉区下达的防汛物资号备任务等工作。</w:t>
      </w:r>
    </w:p>
    <w:p>
      <w:pPr>
        <w:pStyle w:val="18"/>
      </w:pPr>
      <w:r>
        <w:t>根据鹿泉办文[2017]31号文《鹿泉区关于进一步做好部分军队退役人员帮扶救助的若干措施》的通知，做好退役人员的安置帮扶工作。</w:t>
      </w:r>
    </w:p>
    <w:p>
      <w:pPr>
        <w:pStyle w:val="18"/>
      </w:pPr>
      <w:r>
        <w:t>（二）分项绩效目标</w:t>
      </w:r>
    </w:p>
    <w:p>
      <w:pPr>
        <w:pStyle w:val="18"/>
      </w:pPr>
      <w:r>
        <w:t>绩效目标一：加强供销流通管理，推动供销社社会化服务体系建设</w:t>
      </w:r>
    </w:p>
    <w:p>
      <w:pPr>
        <w:pStyle w:val="18"/>
      </w:pPr>
      <w:r>
        <w:t>绩效指标：根据区委、区政府和上级社工作部署，深化供销社综合改革，推动供销社向农民生产生活综合服务转变，服务手段向现代服务手段转变，创新基层供销社服务功能，壮大并发挥供销社为“三农”服务的作用。</w:t>
      </w:r>
    </w:p>
    <w:p>
      <w:pPr>
        <w:pStyle w:val="18"/>
      </w:pPr>
      <w:r>
        <w:t>1、健全农资、农副产品、日用消费品、再生资源回收利用四大网络，加快推进农村物流配。</w:t>
      </w:r>
    </w:p>
    <w:p>
      <w:pPr>
        <w:pStyle w:val="18"/>
      </w:pPr>
      <w:r>
        <w:t>2、培训农民社员、专业社负责人、农业技术人员1000人次，发放种养加技术服务资料3000份，带动致富农户1000户，改造社区综合服务站3家，新增营业面积100平方米，农副产品购进加工增长8%。</w:t>
      </w:r>
    </w:p>
    <w:p>
      <w:pPr>
        <w:pStyle w:val="18"/>
      </w:pPr>
      <w:r>
        <w:t>绩效目标二：：鹿泉区农村产权交易中心</w:t>
      </w:r>
    </w:p>
    <w:p>
      <w:pPr>
        <w:pStyle w:val="18"/>
      </w:pPr>
      <w:r>
        <w:t>绩效指标：</w:t>
      </w:r>
    </w:p>
    <w:p>
      <w:pPr>
        <w:pStyle w:val="18"/>
      </w:pPr>
      <w:r>
        <w:t>1、完善13个乡镇区农村产权交易服务站功能，建设村级示范站点10个，推进我区农村产权交易中心建设，打造便民服务平台,提供农村产权供求信息、产权政策咨询、平台交易咨询等服务，协助办理抵押登记和产权变更等业务，为农民朋友及合作社解决融资难建立新通道。</w:t>
      </w:r>
    </w:p>
    <w:p>
      <w:pPr>
        <w:pStyle w:val="18"/>
      </w:pPr>
      <w:r>
        <w:t>2、加强乡镇站点人员培训500人次，发放农村产权交易资料1000份，提供产权政策咨询、平台交易咨询等服务，农村产权供求信息100条以上，协助办理抵押登记和产权变更等业务。</w:t>
      </w:r>
    </w:p>
    <w:p>
      <w:pPr>
        <w:pStyle w:val="18"/>
      </w:pPr>
      <w:r>
        <w:t>绩效目标三：再生资源回收利用体系建设</w:t>
      </w:r>
    </w:p>
    <w:p>
      <w:pPr>
        <w:pStyle w:val="18"/>
      </w:pPr>
      <w:r>
        <w:t>绩效指标：按照《石家庄市再生资源回收体系建设工作实施方案》的通知精神，规范发展废旧物资回收行业，按照政府推动，市场运作，两网融合，合理布局”的工作总要求，加快建立可回收物及大件垃圾回收处理体系，探索利用“互联网、信息化”手段，优化再生资源回收体系。</w:t>
      </w:r>
    </w:p>
    <w:p>
      <w:pPr>
        <w:pStyle w:val="18"/>
      </w:pPr>
      <w:r>
        <w:t>1、做好宣传落实，发放垃圾分类和回收利用资料2000份，培训从业人员500人次，提高回收人员专业水平，提高资源利用率，促进回收行业健康发展。</w:t>
      </w:r>
    </w:p>
    <w:p>
      <w:pPr>
        <w:pStyle w:val="18"/>
      </w:pPr>
      <w:r>
        <w:t>2、制定并实施全区再生资源回收体系建设工作实施方案，加强对再生资源回收企业的管理。</w:t>
      </w:r>
    </w:p>
    <w:p>
      <w:pPr>
        <w:pStyle w:val="18"/>
      </w:pPr>
      <w:r>
        <w:t>绩效目标四：供销合作政务管理。</w:t>
      </w:r>
    </w:p>
    <w:p>
      <w:pPr>
        <w:pStyle w:val="18"/>
      </w:pPr>
      <w:r>
        <w:t>绩效指标：</w:t>
      </w:r>
    </w:p>
    <w:p>
      <w:pPr>
        <w:pStyle w:val="18"/>
      </w:pPr>
      <w:r>
        <w:t>1、供销合作社系统综合业务管理。</w:t>
      </w:r>
    </w:p>
    <w:p>
      <w:pPr>
        <w:pStyle w:val="18"/>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18"/>
      </w:pPr>
      <w:r>
        <w:t>二是拟定贯彻落实中央、省、市有关供销社改革发展的措施并组织实施，提出全区供销社年度工作计划建议，保障供销社各项工作谋划到位、顺利开展，确保按时按量按质完成年度重点工作。</w:t>
      </w:r>
    </w:p>
    <w:p>
      <w:pPr>
        <w:pStyle w:val="18"/>
      </w:pPr>
      <w:r>
        <w:t>2、供销合作社系统综合事务管理。</w:t>
      </w:r>
    </w:p>
    <w:p>
      <w:pPr>
        <w:pStyle w:val="18"/>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18"/>
      </w:pPr>
      <w:r>
        <w:t>二是根据鹿泉办文[2017]31号文《鹿泉区关于进一步做好部分军队退役人员帮扶救助的若干措施》的通知，做好11名退役人员的安置帮扶工作，安置帮扶100%。</w:t>
      </w:r>
    </w:p>
    <w:p>
      <w:pPr>
        <w:pStyle w:val="18"/>
      </w:pPr>
      <w:r>
        <w:t>（三）工作保障措施</w:t>
      </w:r>
    </w:p>
    <w:p>
      <w:pPr>
        <w:pStyle w:val="18"/>
      </w:pPr>
      <w:r>
        <w:t>1、加强制度建设。建立健全机关预算绩效管理制度，为全年预算绩效目标的实现奠定制度基础。</w:t>
      </w:r>
    </w:p>
    <w:p>
      <w:pPr>
        <w:pStyle w:val="18"/>
      </w:pPr>
      <w:r>
        <w:t>2、规范财务管理。进一步完善财务管理制度，通过科学编制预算、优化支出结构、加快政府采购、加快项目建设、及时拨付资金，确保经费支出进度达到规定标准。</w:t>
      </w:r>
    </w:p>
    <w:p>
      <w:pPr>
        <w:pStyle w:val="18"/>
      </w:pPr>
      <w:r>
        <w:t>3、加强内部监督。加强内部监督制度建设，对绩效运行、重大支出事项、资产处置及其他重要经济业务事项决策和执行进行监督，定期开展财务内部审计，确保财政资金使用安全合规。</w:t>
      </w:r>
    </w:p>
    <w:p>
      <w:pPr>
        <w:pStyle w:val="18"/>
      </w:pPr>
      <w:r>
        <w:t>4、加强绩效监控。积极开展绩效运行监控，发现问题及时采取措施，确保绩效目标如期保质实现。</w:t>
      </w:r>
    </w:p>
    <w:p>
      <w:pPr>
        <w:pStyle w:val="18"/>
      </w:pPr>
      <w:r>
        <w:t>5、做好绩效自评。按要求开展部门预算绩效自评和重点项目评价工作，对评价中发现的问题及时整改。</w:t>
      </w:r>
    </w:p>
    <w:p>
      <w:pPr>
        <w:pStyle w:val="18"/>
      </w:pPr>
      <w:r>
        <w:t>6、加强宣传培训。加强人员培训，加大宣传力度，强化预算绩效管理意识，促进预算绩效管理水平提升。</w:t>
      </w:r>
    </w:p>
    <w:p>
      <w:pPr>
        <w:ind w:firstLine="562" w:firstLineChars="200"/>
        <w:rPr>
          <w:rFonts w:hAnsi="宋体"/>
          <w:b/>
          <w:sz w:val="32"/>
        </w:rPr>
      </w:pPr>
      <w:r>
        <w:rPr>
          <w:rFonts w:hint="eastAsia" w:ascii="宋体" w:hAnsi="宋体" w:eastAsia="宋体" w:cs="宋体"/>
          <w:b/>
          <w:sz w:val="28"/>
          <w:szCs w:val="28"/>
        </w:rPr>
        <w:t>第二部分</w:t>
      </w:r>
      <w:r>
        <w:rPr>
          <w:b/>
        </w:rPr>
        <w:t xml:space="preserve">  </w:t>
      </w:r>
      <w:r>
        <w:rPr>
          <w:rFonts w:ascii="方正楷体_GBK" w:hAnsi="方正楷体_GBK" w:eastAsia="方正楷体_GBK" w:cs="方正楷体_GBK"/>
          <w:b/>
          <w:color w:val="000000"/>
          <w:sz w:val="32"/>
        </w:rPr>
        <w:t>预算项目绩效目标</w:t>
      </w:r>
    </w:p>
    <w:p>
      <w:pPr>
        <w:pStyle w:val="18"/>
      </w:pPr>
      <w:r>
        <w:rPr>
          <w:rFonts w:ascii="方正仿宋_GBK" w:hAnsi="方正仿宋_GBK" w:cs="方正仿宋_GBK"/>
          <w:b/>
          <w:color w:val="000000"/>
        </w:rPr>
        <w:t>1、农村产权交易中心办公费及运营业务费绩效目标表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1.带动村级示范站点10个，加强乡镇站点人员培训500人次，发放农村产权交易资料1000份，提供产权政策咨询、平台交易咨询等服务，农村产权供求信息100条以上，协助办理抵押登记和产权变更等业务。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培训乡镇村人数</w:t>
            </w:r>
          </w:p>
        </w:tc>
        <w:tc>
          <w:tcPr>
            <w:tcW w:w="2835" w:type="dxa"/>
            <w:vAlign w:val="center"/>
          </w:tcPr>
          <w:p>
            <w:pPr>
              <w:pStyle w:val="12"/>
            </w:pPr>
            <w:r>
              <w:t>培训乡镇村服务人员的数量</w:t>
            </w:r>
          </w:p>
        </w:tc>
        <w:tc>
          <w:tcPr>
            <w:tcW w:w="2551" w:type="dxa"/>
            <w:vAlign w:val="center"/>
          </w:tcPr>
          <w:p>
            <w:pPr>
              <w:pStyle w:val="12"/>
            </w:pPr>
            <w:r>
              <w:t>≥500人次</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发放农村产权宣传资料数量</w:t>
            </w:r>
          </w:p>
        </w:tc>
        <w:tc>
          <w:tcPr>
            <w:tcW w:w="2835" w:type="dxa"/>
            <w:vAlign w:val="center"/>
          </w:tcPr>
          <w:p>
            <w:pPr>
              <w:pStyle w:val="12"/>
            </w:pPr>
            <w:r>
              <w:t>发放农村宣传资料的数量（份）</w:t>
            </w:r>
          </w:p>
        </w:tc>
        <w:tc>
          <w:tcPr>
            <w:tcW w:w="2551" w:type="dxa"/>
            <w:vAlign w:val="center"/>
          </w:tcPr>
          <w:p>
            <w:pPr>
              <w:pStyle w:val="12"/>
            </w:pPr>
            <w:r>
              <w:t>≥1000份</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土地流转完成率</w:t>
            </w:r>
          </w:p>
        </w:tc>
        <w:tc>
          <w:tcPr>
            <w:tcW w:w="2835" w:type="dxa"/>
            <w:vAlign w:val="center"/>
          </w:tcPr>
          <w:p>
            <w:pPr>
              <w:pStyle w:val="12"/>
            </w:pPr>
            <w:r>
              <w:t>年度内办理土地流转备案完成数量占预期目标的比例</w:t>
            </w:r>
          </w:p>
        </w:tc>
        <w:tc>
          <w:tcPr>
            <w:tcW w:w="2551" w:type="dxa"/>
            <w:vAlign w:val="center"/>
          </w:tcPr>
          <w:p>
            <w:pPr>
              <w:pStyle w:val="12"/>
            </w:pPr>
            <w:r>
              <w:t>115%</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农村产权交易中标额备案节约率</w:t>
            </w:r>
          </w:p>
        </w:tc>
        <w:tc>
          <w:tcPr>
            <w:tcW w:w="2835" w:type="dxa"/>
            <w:vAlign w:val="center"/>
          </w:tcPr>
          <w:p>
            <w:pPr>
              <w:pStyle w:val="12"/>
            </w:pPr>
            <w:r>
              <w:t>农村产权交易中标额与标底额的差额占标底额的比例</w:t>
            </w:r>
          </w:p>
        </w:tc>
        <w:tc>
          <w:tcPr>
            <w:tcW w:w="2551" w:type="dxa"/>
            <w:vAlign w:val="center"/>
          </w:tcPr>
          <w:p>
            <w:pPr>
              <w:pStyle w:val="12"/>
            </w:pPr>
            <w:r>
              <w:t>≥10%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交易流转备案办结及时率</w:t>
            </w:r>
          </w:p>
        </w:tc>
        <w:tc>
          <w:tcPr>
            <w:tcW w:w="2835" w:type="dxa"/>
            <w:vAlign w:val="center"/>
          </w:tcPr>
          <w:p>
            <w:pPr>
              <w:pStyle w:val="12"/>
            </w:pPr>
            <w:r>
              <w:t>时间内实际交易流转备案办结数占申请流转备案数的比例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交易备案办结率</w:t>
            </w:r>
          </w:p>
        </w:tc>
        <w:tc>
          <w:tcPr>
            <w:tcW w:w="2835" w:type="dxa"/>
            <w:vAlign w:val="center"/>
          </w:tcPr>
          <w:p>
            <w:pPr>
              <w:pStyle w:val="12"/>
            </w:pPr>
            <w:r>
              <w:t>实际交易备案数量占申请登记交易备案数量的比例</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农村产权交易增长率</w:t>
            </w:r>
          </w:p>
        </w:tc>
        <w:tc>
          <w:tcPr>
            <w:tcW w:w="2835" w:type="dxa"/>
            <w:vAlign w:val="center"/>
          </w:tcPr>
          <w:p>
            <w:pPr>
              <w:pStyle w:val="12"/>
            </w:pPr>
            <w:r>
              <w:t>年度内交易备案的数量占上年交易备案的比例</w:t>
            </w:r>
          </w:p>
        </w:tc>
        <w:tc>
          <w:tcPr>
            <w:tcW w:w="2551" w:type="dxa"/>
            <w:vAlign w:val="center"/>
          </w:tcPr>
          <w:p>
            <w:pPr>
              <w:pStyle w:val="12"/>
            </w:pPr>
            <w:r>
              <w:t>≥10%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带动村级示范点增长量</w:t>
            </w:r>
          </w:p>
        </w:tc>
        <w:tc>
          <w:tcPr>
            <w:tcW w:w="2835" w:type="dxa"/>
            <w:vAlign w:val="center"/>
          </w:tcPr>
          <w:p>
            <w:pPr>
              <w:pStyle w:val="12"/>
            </w:pPr>
            <w:r>
              <w:t>年带动村级示范点增长的数量</w:t>
            </w:r>
          </w:p>
        </w:tc>
        <w:tc>
          <w:tcPr>
            <w:tcW w:w="2551" w:type="dxa"/>
            <w:vAlign w:val="center"/>
          </w:tcPr>
          <w:p>
            <w:pPr>
              <w:pStyle w:val="12"/>
            </w:pPr>
            <w:r>
              <w:t>≥5个</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备案人的满意度</w:t>
            </w:r>
          </w:p>
        </w:tc>
        <w:tc>
          <w:tcPr>
            <w:tcW w:w="2835" w:type="dxa"/>
            <w:vAlign w:val="center"/>
          </w:tcPr>
          <w:p>
            <w:pPr>
              <w:pStyle w:val="12"/>
            </w:pPr>
            <w:r>
              <w:t>备案满意人的数量和较满意人的数量占申请备案人的数量的比例</w:t>
            </w:r>
          </w:p>
        </w:tc>
        <w:tc>
          <w:tcPr>
            <w:tcW w:w="2551" w:type="dxa"/>
            <w:vAlign w:val="center"/>
          </w:tcPr>
          <w:p>
            <w:pPr>
              <w:pStyle w:val="12"/>
            </w:pPr>
            <w:r>
              <w:t>≥95%</w:t>
            </w:r>
          </w:p>
        </w:tc>
        <w:tc>
          <w:tcPr>
            <w:tcW w:w="2268"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1.持续深化供销社综合改革，推进基层供销社乡镇全覆盖，着眼筑牢服务根基，延长服务触角，全面加强基层社组织机构建设，加强四大配送网络建设</w:t>
            </w:r>
          </w:p>
          <w:p>
            <w:pPr>
              <w:pStyle w:val="12"/>
            </w:pPr>
            <w:r>
              <w:t>2.培训农民社员、专业社负责人、农业技术人员1000人次，发放种养加技术服务资料3000份，带动致富农户1000户，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发放宣传资料数量</w:t>
            </w:r>
          </w:p>
        </w:tc>
        <w:tc>
          <w:tcPr>
            <w:tcW w:w="2835" w:type="dxa"/>
            <w:vAlign w:val="center"/>
          </w:tcPr>
          <w:p>
            <w:pPr>
              <w:pStyle w:val="12"/>
            </w:pPr>
            <w:r>
              <w:t>发放宣传资料的总份数</w:t>
            </w:r>
          </w:p>
        </w:tc>
        <w:tc>
          <w:tcPr>
            <w:tcW w:w="2551" w:type="dxa"/>
            <w:vAlign w:val="center"/>
          </w:tcPr>
          <w:p>
            <w:pPr>
              <w:pStyle w:val="12"/>
            </w:pPr>
            <w:r>
              <w:t>≥3000份</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培训社员及专业社负责人人数</w:t>
            </w:r>
          </w:p>
        </w:tc>
        <w:tc>
          <w:tcPr>
            <w:tcW w:w="2835" w:type="dxa"/>
            <w:vAlign w:val="center"/>
          </w:tcPr>
          <w:p>
            <w:pPr>
              <w:pStyle w:val="12"/>
            </w:pPr>
            <w:r>
              <w:t>培训社员和专业社负责人的总人数</w:t>
            </w:r>
          </w:p>
        </w:tc>
        <w:tc>
          <w:tcPr>
            <w:tcW w:w="2551" w:type="dxa"/>
            <w:vAlign w:val="center"/>
          </w:tcPr>
          <w:p>
            <w:pPr>
              <w:pStyle w:val="12"/>
            </w:pPr>
            <w:r>
              <w:t>≥1000人次</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农村物流配送网络配送率</w:t>
            </w:r>
          </w:p>
        </w:tc>
        <w:tc>
          <w:tcPr>
            <w:tcW w:w="2835" w:type="dxa"/>
            <w:vAlign w:val="center"/>
          </w:tcPr>
          <w:p>
            <w:pPr>
              <w:pStyle w:val="12"/>
            </w:pPr>
            <w:r>
              <w:t>农资、农副产品、日用消费品、再生资源回收利用四个网络区域内货物配送额占货物购进额的比例%</w:t>
            </w:r>
          </w:p>
        </w:tc>
        <w:tc>
          <w:tcPr>
            <w:tcW w:w="2551" w:type="dxa"/>
            <w:vAlign w:val="center"/>
          </w:tcPr>
          <w:p>
            <w:pPr>
              <w:pStyle w:val="12"/>
            </w:pPr>
            <w:r>
              <w:t>≥80%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社员农户种养成本节约率</w:t>
            </w:r>
          </w:p>
        </w:tc>
        <w:tc>
          <w:tcPr>
            <w:tcW w:w="2835" w:type="dxa"/>
            <w:vAlign w:val="center"/>
          </w:tcPr>
          <w:p>
            <w:pPr>
              <w:pStyle w:val="12"/>
            </w:pPr>
            <w:r>
              <w:t>种养成本节约额占种养总成本的比例%</w:t>
            </w:r>
          </w:p>
        </w:tc>
        <w:tc>
          <w:tcPr>
            <w:tcW w:w="2551" w:type="dxa"/>
            <w:vAlign w:val="center"/>
          </w:tcPr>
          <w:p>
            <w:pPr>
              <w:pStyle w:val="12"/>
            </w:pPr>
            <w:r>
              <w:t>15%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年度内四个网络健全完成数量</w:t>
            </w:r>
          </w:p>
        </w:tc>
        <w:tc>
          <w:tcPr>
            <w:tcW w:w="2835" w:type="dxa"/>
            <w:vAlign w:val="center"/>
          </w:tcPr>
          <w:p>
            <w:pPr>
              <w:pStyle w:val="12"/>
            </w:pPr>
            <w:r>
              <w:t>年度内四个网络健全完成的数量</w:t>
            </w:r>
          </w:p>
        </w:tc>
        <w:tc>
          <w:tcPr>
            <w:tcW w:w="2551" w:type="dxa"/>
            <w:vAlign w:val="center"/>
          </w:tcPr>
          <w:p>
            <w:pPr>
              <w:pStyle w:val="12"/>
            </w:pPr>
            <w:r>
              <w:t>4个</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农资销售增长率</w:t>
            </w:r>
          </w:p>
        </w:tc>
        <w:tc>
          <w:tcPr>
            <w:tcW w:w="2835" w:type="dxa"/>
            <w:vAlign w:val="center"/>
          </w:tcPr>
          <w:p>
            <w:pPr>
              <w:pStyle w:val="12"/>
            </w:pPr>
            <w:r>
              <w:t>农资销售额比上年增长的比例%</w:t>
            </w:r>
          </w:p>
        </w:tc>
        <w:tc>
          <w:tcPr>
            <w:tcW w:w="2551" w:type="dxa"/>
            <w:vAlign w:val="center"/>
          </w:tcPr>
          <w:p>
            <w:pPr>
              <w:pStyle w:val="12"/>
            </w:pPr>
            <w:r>
              <w:t>6%</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农副产品购进额增长率</w:t>
            </w:r>
          </w:p>
        </w:tc>
        <w:tc>
          <w:tcPr>
            <w:tcW w:w="2835" w:type="dxa"/>
            <w:vAlign w:val="center"/>
          </w:tcPr>
          <w:p>
            <w:pPr>
              <w:pStyle w:val="12"/>
            </w:pPr>
            <w:r>
              <w:t>农副产品购进额比上年增长的比例%</w:t>
            </w:r>
          </w:p>
        </w:tc>
        <w:tc>
          <w:tcPr>
            <w:tcW w:w="2551" w:type="dxa"/>
            <w:vAlign w:val="center"/>
          </w:tcPr>
          <w:p>
            <w:pPr>
              <w:pStyle w:val="12"/>
            </w:pPr>
            <w:r>
              <w:t>8%</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持续提高带动三农的影响力</w:t>
            </w:r>
          </w:p>
        </w:tc>
        <w:tc>
          <w:tcPr>
            <w:tcW w:w="2835" w:type="dxa"/>
            <w:vAlign w:val="center"/>
          </w:tcPr>
          <w:p>
            <w:pPr>
              <w:pStyle w:val="12"/>
            </w:pPr>
            <w:r>
              <w:t>供销社带动三农的影响力提高的比例</w:t>
            </w:r>
          </w:p>
        </w:tc>
        <w:tc>
          <w:tcPr>
            <w:tcW w:w="2551" w:type="dxa"/>
            <w:vAlign w:val="center"/>
          </w:tcPr>
          <w:p>
            <w:pPr>
              <w:pStyle w:val="12"/>
            </w:pPr>
            <w:r>
              <w:t>≥10%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带动致富农户数量</w:t>
            </w:r>
          </w:p>
        </w:tc>
        <w:tc>
          <w:tcPr>
            <w:tcW w:w="2835" w:type="dxa"/>
            <w:vAlign w:val="center"/>
          </w:tcPr>
          <w:p>
            <w:pPr>
              <w:pStyle w:val="12"/>
            </w:pPr>
            <w:r>
              <w:t>带动致富农户的总数量</w:t>
            </w:r>
          </w:p>
        </w:tc>
        <w:tc>
          <w:tcPr>
            <w:tcW w:w="2551" w:type="dxa"/>
            <w:vAlign w:val="center"/>
          </w:tcPr>
          <w:p>
            <w:pPr>
              <w:pStyle w:val="12"/>
            </w:pPr>
            <w:r>
              <w:t>≥1000户</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社员满意和较满意人数占社员总人数的比例</w:t>
            </w:r>
          </w:p>
        </w:tc>
        <w:tc>
          <w:tcPr>
            <w:tcW w:w="2551" w:type="dxa"/>
            <w:vAlign w:val="center"/>
          </w:tcPr>
          <w:p>
            <w:pPr>
              <w:pStyle w:val="12"/>
            </w:pPr>
            <w:r>
              <w:t>≥95%</w:t>
            </w:r>
          </w:p>
        </w:tc>
        <w:tc>
          <w:tcPr>
            <w:tcW w:w="2268" w:type="dxa"/>
            <w:vAlign w:val="center"/>
          </w:tcPr>
          <w:p>
            <w:pPr>
              <w:pStyle w:val="12"/>
            </w:pPr>
            <w:r>
              <w:t>专家测评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3、退役军人公益岗绩效目标表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1.安置退役人员11人，月工资35450元，年工资425400元，社保费月12001元，年社保费144012元，过冬补贴2.09万元，以上三项共计59.03万元。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保障人数</w:t>
            </w:r>
          </w:p>
        </w:tc>
        <w:tc>
          <w:tcPr>
            <w:tcW w:w="2551" w:type="dxa"/>
            <w:vAlign w:val="center"/>
          </w:tcPr>
          <w:p>
            <w:pPr>
              <w:pStyle w:val="12"/>
            </w:pPr>
            <w:r>
              <w:t>11人</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工资发放精准性</w:t>
            </w:r>
          </w:p>
        </w:tc>
        <w:tc>
          <w:tcPr>
            <w:tcW w:w="2835" w:type="dxa"/>
            <w:vAlign w:val="center"/>
          </w:tcPr>
          <w:p>
            <w:pPr>
              <w:pStyle w:val="12"/>
            </w:pPr>
            <w:r>
              <w:t>工资福利等发放人员范围的精准性和发放数据的准确性</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2835" w:type="dxa"/>
            <w:vAlign w:val="center"/>
          </w:tcPr>
          <w:p>
            <w:pPr>
              <w:pStyle w:val="12"/>
            </w:pPr>
            <w:r>
              <w:t>工资发放及时情况</w:t>
            </w:r>
          </w:p>
        </w:tc>
        <w:tc>
          <w:tcPr>
            <w:tcW w:w="2551" w:type="dxa"/>
            <w:vAlign w:val="center"/>
          </w:tcPr>
          <w:p>
            <w:pPr>
              <w:pStyle w:val="12"/>
            </w:pPr>
            <w:r>
              <w:t>按规定时间发放</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工资、社会保障等发放（缴纳）标准</w:t>
            </w:r>
          </w:p>
        </w:tc>
        <w:tc>
          <w:tcPr>
            <w:tcW w:w="2835" w:type="dxa"/>
            <w:vAlign w:val="center"/>
          </w:tcPr>
          <w:p>
            <w:pPr>
              <w:pStyle w:val="12"/>
            </w:pPr>
            <w:r>
              <w:t>工资、社会保障等发放（缴纳）标准</w:t>
            </w:r>
          </w:p>
        </w:tc>
        <w:tc>
          <w:tcPr>
            <w:tcW w:w="2551" w:type="dxa"/>
            <w:vAlign w:val="center"/>
          </w:tcPr>
          <w:p>
            <w:pPr>
              <w:pStyle w:val="12"/>
            </w:pPr>
            <w:r>
              <w:t>按规定执行</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加强工作人员归属感，保持干部队伍稳定</w:t>
            </w:r>
          </w:p>
        </w:tc>
        <w:tc>
          <w:tcPr>
            <w:tcW w:w="2835" w:type="dxa"/>
            <w:vAlign w:val="center"/>
          </w:tcPr>
          <w:p>
            <w:pPr>
              <w:pStyle w:val="12"/>
            </w:pPr>
            <w:r>
              <w:t>通过按时按标准发放工资福利等，进一步增强干部职工得归属感，保持干部队伍相对稳定，保障办公正常运转</w:t>
            </w:r>
          </w:p>
        </w:tc>
        <w:tc>
          <w:tcPr>
            <w:tcW w:w="2551" w:type="dxa"/>
            <w:vAlign w:val="center"/>
          </w:tcPr>
          <w:p>
            <w:pPr>
              <w:pStyle w:val="12"/>
            </w:pPr>
            <w:r>
              <w:t>保持职工队伍稳定</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加强职工的归属感和责任感</w:t>
            </w:r>
          </w:p>
        </w:tc>
        <w:tc>
          <w:tcPr>
            <w:tcW w:w="2835" w:type="dxa"/>
            <w:vAlign w:val="center"/>
          </w:tcPr>
          <w:p>
            <w:pPr>
              <w:pStyle w:val="12"/>
            </w:pPr>
            <w:r>
              <w:t>通过按时按标准发放工资福利等，进一步增强干部职工得归属感、责任感，保障办公正常运转</w:t>
            </w:r>
          </w:p>
        </w:tc>
        <w:tc>
          <w:tcPr>
            <w:tcW w:w="2551" w:type="dxa"/>
            <w:vAlign w:val="center"/>
          </w:tcPr>
          <w:p>
            <w:pPr>
              <w:pStyle w:val="12"/>
            </w:pPr>
            <w:r>
              <w:t>增强职工归属感责任感</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2835" w:type="dxa"/>
            <w:vAlign w:val="center"/>
          </w:tcPr>
          <w:p>
            <w:pPr>
              <w:pStyle w:val="12"/>
            </w:pPr>
            <w:r>
              <w:t>单位人员对工资福利等发放工作的满意程度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4、再生资源管理办公费及回收利用业务费绩效目标表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1.优化再生资源回收体系。做好宣传落实，发放垃圾分类和回收利用资料2000份，培训从业人员500人次，提高回收人员专业水平，提高资源利用率，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发放宣传资料数量</w:t>
            </w:r>
          </w:p>
        </w:tc>
        <w:tc>
          <w:tcPr>
            <w:tcW w:w="2835" w:type="dxa"/>
            <w:vAlign w:val="center"/>
          </w:tcPr>
          <w:p>
            <w:pPr>
              <w:pStyle w:val="12"/>
            </w:pPr>
            <w:r>
              <w:t>发放再生资源分类管理资料的数量（份）</w:t>
            </w:r>
          </w:p>
        </w:tc>
        <w:tc>
          <w:tcPr>
            <w:tcW w:w="2551" w:type="dxa"/>
            <w:vAlign w:val="center"/>
          </w:tcPr>
          <w:p>
            <w:pPr>
              <w:pStyle w:val="12"/>
            </w:pPr>
            <w:r>
              <w:t>≥2000份</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培训从业人员数量</w:t>
            </w:r>
          </w:p>
        </w:tc>
        <w:tc>
          <w:tcPr>
            <w:tcW w:w="2835" w:type="dxa"/>
            <w:vAlign w:val="center"/>
          </w:tcPr>
          <w:p>
            <w:pPr>
              <w:pStyle w:val="12"/>
            </w:pPr>
            <w:r>
              <w:t>培训从业人员的数量</w:t>
            </w:r>
          </w:p>
        </w:tc>
        <w:tc>
          <w:tcPr>
            <w:tcW w:w="2551" w:type="dxa"/>
            <w:vAlign w:val="center"/>
          </w:tcPr>
          <w:p>
            <w:pPr>
              <w:pStyle w:val="12"/>
            </w:pPr>
            <w:r>
              <w:t>≥500人次</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废旧物资利用率</w:t>
            </w:r>
          </w:p>
        </w:tc>
        <w:tc>
          <w:tcPr>
            <w:tcW w:w="2835" w:type="dxa"/>
            <w:vAlign w:val="center"/>
          </w:tcPr>
          <w:p>
            <w:pPr>
              <w:pStyle w:val="12"/>
            </w:pPr>
            <w:r>
              <w:t>生活垃圾中可回收利用部分占应回收利用部分的比例</w:t>
            </w:r>
          </w:p>
        </w:tc>
        <w:tc>
          <w:tcPr>
            <w:tcW w:w="2551" w:type="dxa"/>
            <w:vAlign w:val="center"/>
          </w:tcPr>
          <w:p>
            <w:pPr>
              <w:pStyle w:val="12"/>
            </w:pPr>
            <w:r>
              <w:t>≥95%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再生资源回收体系规划制定完成及</w:t>
            </w:r>
          </w:p>
        </w:tc>
        <w:tc>
          <w:tcPr>
            <w:tcW w:w="2835" w:type="dxa"/>
            <w:vAlign w:val="center"/>
          </w:tcPr>
          <w:p>
            <w:pPr>
              <w:pStyle w:val="12"/>
            </w:pPr>
            <w:r>
              <w:t>再生资源回收体系规划制定完成时间占全年时间的比例</w:t>
            </w:r>
          </w:p>
        </w:tc>
        <w:tc>
          <w:tcPr>
            <w:tcW w:w="2551" w:type="dxa"/>
            <w:vAlign w:val="center"/>
          </w:tcPr>
          <w:p>
            <w:pPr>
              <w:pStyle w:val="12"/>
            </w:pPr>
            <w:r>
              <w:t>25%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培训的人均标准</w:t>
            </w:r>
          </w:p>
        </w:tc>
        <w:tc>
          <w:tcPr>
            <w:tcW w:w="2835" w:type="dxa"/>
            <w:vAlign w:val="center"/>
          </w:tcPr>
          <w:p>
            <w:pPr>
              <w:pStyle w:val="12"/>
            </w:pPr>
            <w:r>
              <w:t>培训人员费用的人均节约额占人均标准额的比例</w:t>
            </w:r>
          </w:p>
        </w:tc>
        <w:tc>
          <w:tcPr>
            <w:tcW w:w="2551" w:type="dxa"/>
            <w:vAlign w:val="center"/>
          </w:tcPr>
          <w:p>
            <w:pPr>
              <w:pStyle w:val="12"/>
            </w:pPr>
            <w:r>
              <w:t>20%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全部回收站点达到政府标准要求的</w:t>
            </w:r>
          </w:p>
        </w:tc>
        <w:tc>
          <w:tcPr>
            <w:tcW w:w="2835" w:type="dxa"/>
            <w:vAlign w:val="center"/>
          </w:tcPr>
          <w:p>
            <w:pPr>
              <w:pStyle w:val="12"/>
            </w:pPr>
            <w:r>
              <w:t>达到标准要求的回收站点数量占全部回收站点的比例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回收站点合理布局率</w:t>
            </w:r>
          </w:p>
        </w:tc>
        <w:tc>
          <w:tcPr>
            <w:tcW w:w="2835" w:type="dxa"/>
            <w:vAlign w:val="center"/>
          </w:tcPr>
          <w:p>
            <w:pPr>
              <w:pStyle w:val="12"/>
            </w:pPr>
            <w:r>
              <w:t>合理布局的回收站点占全部站点的比例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回收行业社会效益提高率</w:t>
            </w:r>
          </w:p>
        </w:tc>
        <w:tc>
          <w:tcPr>
            <w:tcW w:w="2835" w:type="dxa"/>
            <w:vAlign w:val="center"/>
          </w:tcPr>
          <w:p>
            <w:pPr>
              <w:pStyle w:val="12"/>
            </w:pPr>
            <w:r>
              <w:t>回收行业可持续发展带动社会效益提高的比例</w:t>
            </w:r>
          </w:p>
        </w:tc>
        <w:tc>
          <w:tcPr>
            <w:tcW w:w="2551" w:type="dxa"/>
            <w:vAlign w:val="center"/>
          </w:tcPr>
          <w:p>
            <w:pPr>
              <w:pStyle w:val="12"/>
            </w:pPr>
            <w:r>
              <w:t>≥15%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回收站点建设满意度</w:t>
            </w:r>
          </w:p>
        </w:tc>
        <w:tc>
          <w:tcPr>
            <w:tcW w:w="2835" w:type="dxa"/>
            <w:vAlign w:val="center"/>
          </w:tcPr>
          <w:p>
            <w:pPr>
              <w:pStyle w:val="12"/>
            </w:pPr>
            <w:r>
              <w:t>回收站点满意和较满意数量占全部回收站点数量的比例</w:t>
            </w:r>
          </w:p>
        </w:tc>
        <w:tc>
          <w:tcPr>
            <w:tcW w:w="2551" w:type="dxa"/>
            <w:vAlign w:val="center"/>
          </w:tcPr>
          <w:p>
            <w:pPr>
              <w:pStyle w:val="12"/>
            </w:pPr>
            <w:r>
              <w:t>≥90%</w:t>
            </w:r>
          </w:p>
        </w:tc>
        <w:tc>
          <w:tcPr>
            <w:tcW w:w="2268" w:type="dxa"/>
            <w:vAlign w:val="center"/>
          </w:tcPr>
          <w:p>
            <w:pPr>
              <w:pStyle w:val="12"/>
            </w:pPr>
            <w:r>
              <w:t>计划标准</w:t>
            </w:r>
          </w:p>
        </w:tc>
      </w:tr>
    </w:tbl>
    <w:p>
      <w:pPr>
        <w:pStyle w:val="18"/>
        <w:rPr>
          <w:rFonts w:eastAsiaTheme="minorEastAsia"/>
          <w:b/>
          <w:lang w:eastAsia="zh-CN"/>
        </w:rPr>
      </w:pPr>
    </w:p>
    <w:p>
      <w:pPr>
        <w:spacing w:before="10" w:after="10"/>
        <w:ind w:firstLine="640"/>
        <w:outlineLvl w:val="2"/>
      </w:pPr>
      <w:bookmarkStart w:id="11" w:name="_Toc_3_3_0000000015"/>
      <w:r>
        <w:rPr>
          <w:rFonts w:ascii="黑体" w:hAnsi="黑体" w:eastAsia="黑体" w:cs="黑体"/>
          <w:color w:val="000000"/>
          <w:sz w:val="32"/>
        </w:rPr>
        <w:t>六、政府采购预算情况</w:t>
      </w:r>
      <w:bookmarkEnd w:id="11"/>
    </w:p>
    <w:p>
      <w:pPr>
        <w:spacing w:line="500" w:lineRule="exact"/>
        <w:ind w:firstLine="560"/>
      </w:pPr>
      <w:r>
        <w:rPr>
          <w:rFonts w:eastAsia="方正仿宋_GBK"/>
          <w:color w:val="000000"/>
          <w:sz w:val="28"/>
        </w:rPr>
        <w:t>2022年，石家庄市鹿泉区供销合作总社安排政府采购预算0.00万元。具体内容见下表。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2" w:name="_Toc_3_3_0000000016"/>
      <w:r>
        <w:rPr>
          <w:rFonts w:ascii="黑体" w:hAnsi="黑体" w:eastAsia="黑体" w:cs="黑体"/>
          <w:color w:val="000000"/>
          <w:sz w:val="32"/>
        </w:rPr>
        <w:t>七、国有资产信息</w:t>
      </w:r>
      <w:bookmarkEnd w:id="12"/>
    </w:p>
    <w:p>
      <w:pPr>
        <w:spacing w:line="500" w:lineRule="exact"/>
        <w:ind w:firstLine="560"/>
      </w:pPr>
      <w:r>
        <w:rPr>
          <w:rFonts w:eastAsia="方正仿宋_GBK"/>
          <w:color w:val="000000"/>
          <w:sz w:val="28"/>
        </w:rPr>
        <w:t>石家庄市鹿泉区供销合作总社（含所属单位）上年末固定资产金额为6</w:t>
      </w:r>
      <w:r>
        <w:rPr>
          <w:rFonts w:hint="eastAsia" w:eastAsiaTheme="minorEastAsia"/>
          <w:color w:val="000000"/>
          <w:sz w:val="28"/>
          <w:lang w:eastAsia="zh-CN"/>
        </w:rPr>
        <w:t>4</w:t>
      </w:r>
      <w:r>
        <w:rPr>
          <w:rFonts w:eastAsia="方正仿宋_GBK"/>
          <w:color w:val="000000"/>
          <w:sz w:val="28"/>
        </w:rPr>
        <w:t>.40万元（详见下表）。本年度拟购置固定资产总额为</w:t>
      </w:r>
      <w:r>
        <w:rPr>
          <w:rFonts w:hint="eastAsia" w:eastAsiaTheme="minorEastAsia"/>
          <w:color w:val="000000"/>
          <w:sz w:val="28"/>
          <w:lang w:eastAsia="zh-CN"/>
        </w:rPr>
        <w:t>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w:t>
            </w:r>
            <w:r>
              <w:rPr>
                <w:rFonts w:hint="eastAsia" w:eastAsiaTheme="minorEastAsia"/>
                <w:lang w:eastAsia="zh-CN"/>
              </w:rPr>
              <w:t>4</w:t>
            </w:r>
            <w: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1584</w:t>
            </w:r>
          </w:p>
        </w:tc>
        <w:tc>
          <w:tcPr>
            <w:tcW w:w="2835"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263</w:t>
            </w:r>
          </w:p>
        </w:tc>
        <w:tc>
          <w:tcPr>
            <w:tcW w:w="2835"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24.40</w:t>
            </w:r>
          </w:p>
        </w:tc>
      </w:tr>
    </w:tbl>
    <w:p>
      <w:pPr>
        <w:ind w:firstLine="640"/>
      </w:pPr>
      <w:r>
        <w:rPr>
          <w:rFonts w:eastAsia="方正仿宋_GBK"/>
          <w:color w:val="000000"/>
          <w:sz w:val="32"/>
        </w:rPr>
        <w:t xml:space="preserve"> </w:t>
      </w:r>
    </w:p>
    <w:p>
      <w:pPr>
        <w:spacing w:before="10" w:after="10"/>
        <w:ind w:firstLine="640"/>
        <w:outlineLvl w:val="2"/>
      </w:pPr>
      <w:bookmarkStart w:id="13" w:name="_Toc_3_3_0000000017"/>
      <w:r>
        <w:rPr>
          <w:rFonts w:ascii="黑体" w:hAnsi="黑体" w:eastAsia="黑体" w:cs="黑体"/>
          <w:color w:val="000000"/>
          <w:sz w:val="32"/>
        </w:rPr>
        <w:t>八、名词解释</w:t>
      </w:r>
      <w:bookmarkEnd w:id="13"/>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4" w:name="_Toc_3_3_0000000018"/>
      <w:r>
        <w:rPr>
          <w:rFonts w:ascii="黑体" w:hAnsi="黑体" w:eastAsia="黑体" w:cs="黑体"/>
          <w:color w:val="000000"/>
          <w:sz w:val="32"/>
        </w:rPr>
        <w:t>九、其他需要说明的事项</w:t>
      </w:r>
      <w:bookmarkEnd w:id="14"/>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rsids>
    <w:rsidRoot w:val="00AC1629"/>
    <w:rsid w:val="000060FE"/>
    <w:rsid w:val="00075E29"/>
    <w:rsid w:val="0021269E"/>
    <w:rsid w:val="002A3E77"/>
    <w:rsid w:val="0034272C"/>
    <w:rsid w:val="00446F4C"/>
    <w:rsid w:val="004B609A"/>
    <w:rsid w:val="0052728D"/>
    <w:rsid w:val="00535277"/>
    <w:rsid w:val="00591205"/>
    <w:rsid w:val="005D5ABE"/>
    <w:rsid w:val="006470E9"/>
    <w:rsid w:val="006F3FD1"/>
    <w:rsid w:val="008E4B59"/>
    <w:rsid w:val="009F21AC"/>
    <w:rsid w:val="00AA3346"/>
    <w:rsid w:val="00AC1629"/>
    <w:rsid w:val="00BD4490"/>
    <w:rsid w:val="00C34D60"/>
    <w:rsid w:val="00CE798E"/>
    <w:rsid w:val="00D94ECC"/>
    <w:rsid w:val="00DC37AF"/>
    <w:rsid w:val="00DE35BC"/>
    <w:rsid w:val="00DF74AA"/>
    <w:rsid w:val="00E466DF"/>
    <w:rsid w:val="27D24B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2022-02-25T14:09:07Z</dcterms:created>
  <dcterms:modified xsi:type="dcterms:W3CDTF">2022-02-25T06:09:07Z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2022-02-25T14:09:15Z</dcterms:created>
  <dcterms:modified xsi:type="dcterms:W3CDTF">2022-02-25T06:09:15Z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2022-02-25T14:09:50Z</dcterms:created>
  <dcterms:modified xsi:type="dcterms:W3CDTF">2022-02-25T06:09:50Z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2022-02-25T14:09:04Z</dcterms:created>
  <dcterms:modified xsi:type="dcterms:W3CDTF">2022-02-25T06:09:04Z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2022-02-25T14:09:45Z</dcterms:created>
  <dcterms:modified xsi:type="dcterms:W3CDTF">2022-02-25T06:09:45Z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2022-02-25T14:10:02Z</dcterms:created>
  <dcterms:modified xsi:type="dcterms:W3CDTF">2022-02-25T06:10:02Z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2022-02-25T14:09:21Z</dcterms:created>
  <dcterms:modified xsi:type="dcterms:W3CDTF">2022-02-25T06:09:21Z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2022-02-25T14:09:54Z</dcterms:created>
  <dcterms:modified xsi:type="dcterms:W3CDTF">2022-02-25T06:09:54Z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2022-02-25T14:09:13Z</dcterms:created>
  <dcterms:modified xsi:type="dcterms:W3CDTF">2022-02-25T06:09:13Z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2022-02-25T14:09:09Z</dcterms:created>
  <dcterms:modified xsi:type="dcterms:W3CDTF">2022-02-25T06:09:09Z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2022-02-25T14:09:49Z</dcterms:created>
  <dcterms:modified xsi:type="dcterms:W3CDTF">2022-02-25T06:09:49Z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2022-02-25T14:09:52Z</dcterms:created>
  <dcterms:modified xsi:type="dcterms:W3CDTF">2022-02-25T06:09:52Z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2022-02-25T14:09:11Z</dcterms:created>
  <dcterms:modified xsi:type="dcterms:W3CDTF">2022-02-25T06:09:11Z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F8C4FB8-010F-44C6-8CCA-7CAC9E7197A2}">
  <ds:schemaRefs/>
</ds:datastoreItem>
</file>

<file path=customXml/itemProps11.xml><?xml version="1.0" encoding="utf-8"?>
<ds:datastoreItem xmlns:ds="http://schemas.openxmlformats.org/officeDocument/2006/customXml" ds:itemID="{9102F85C-B98D-4D74-A244-B7563CD69C11}">
  <ds:schemaRefs/>
</ds:datastoreItem>
</file>

<file path=customXml/itemProps12.xml><?xml version="1.0" encoding="utf-8"?>
<ds:datastoreItem xmlns:ds="http://schemas.openxmlformats.org/officeDocument/2006/customXml" ds:itemID="{9916443A-0248-43D7-A5E0-EAA538589F2C}">
  <ds:schemaRefs/>
</ds:datastoreItem>
</file>

<file path=customXml/itemProps13.xml><?xml version="1.0" encoding="utf-8"?>
<ds:datastoreItem xmlns:ds="http://schemas.openxmlformats.org/officeDocument/2006/customXml" ds:itemID="{0CD28D4A-9433-498F-A1C2-E5E4A5C7573F}">
  <ds:schemaRefs/>
</ds:datastoreItem>
</file>

<file path=customXml/itemProps14.xml><?xml version="1.0" encoding="utf-8"?>
<ds:datastoreItem xmlns:ds="http://schemas.openxmlformats.org/officeDocument/2006/customXml" ds:itemID="{62CB8AE4-CD5A-4211-BD36-31749AEF8631}">
  <ds:schemaRefs/>
</ds:datastoreItem>
</file>

<file path=customXml/itemProps15.xml><?xml version="1.0" encoding="utf-8"?>
<ds:datastoreItem xmlns:ds="http://schemas.openxmlformats.org/officeDocument/2006/customXml" ds:itemID="{9DCD0314-B22B-4047-AECB-E6D5CF400754}">
  <ds:schemaRefs/>
</ds:datastoreItem>
</file>

<file path=customXml/itemProps16.xml><?xml version="1.0" encoding="utf-8"?>
<ds:datastoreItem xmlns:ds="http://schemas.openxmlformats.org/officeDocument/2006/customXml" ds:itemID="{4019DA03-CD6E-4E6E-A066-7450E7BDD962}">
  <ds:schemaRefs/>
</ds:datastoreItem>
</file>

<file path=customXml/itemProps17.xml><?xml version="1.0" encoding="utf-8"?>
<ds:datastoreItem xmlns:ds="http://schemas.openxmlformats.org/officeDocument/2006/customXml" ds:itemID="{184BBD99-9F06-49E3-BBB4-D632B00DDEDE}">
  <ds:schemaRefs/>
</ds:datastoreItem>
</file>

<file path=customXml/itemProps18.xml><?xml version="1.0" encoding="utf-8"?>
<ds:datastoreItem xmlns:ds="http://schemas.openxmlformats.org/officeDocument/2006/customXml" ds:itemID="{5706445F-09CA-4E4F-B8EB-45EFC17AE608}">
  <ds:schemaRefs/>
</ds:datastoreItem>
</file>

<file path=customXml/itemProps19.xml><?xml version="1.0" encoding="utf-8"?>
<ds:datastoreItem xmlns:ds="http://schemas.openxmlformats.org/officeDocument/2006/customXml" ds:itemID="{D099D230-F1CA-48FE-B338-BD160DF07AFE}">
  <ds:schemaRefs/>
</ds:datastoreItem>
</file>

<file path=customXml/itemProps2.xml><?xml version="1.0" encoding="utf-8"?>
<ds:datastoreItem xmlns:ds="http://schemas.openxmlformats.org/officeDocument/2006/customXml" ds:itemID="{2B07DF97-6ED9-4899-9F96-B38686CD9A7A}">
  <ds:schemaRefs/>
</ds:datastoreItem>
</file>

<file path=customXml/itemProps20.xml><?xml version="1.0" encoding="utf-8"?>
<ds:datastoreItem xmlns:ds="http://schemas.openxmlformats.org/officeDocument/2006/customXml" ds:itemID="{71108BC0-BB5D-4CD8-B27C-8B1AD9DBD52D}">
  <ds:schemaRefs/>
</ds:datastoreItem>
</file>

<file path=customXml/itemProps21.xml><?xml version="1.0" encoding="utf-8"?>
<ds:datastoreItem xmlns:ds="http://schemas.openxmlformats.org/officeDocument/2006/customXml" ds:itemID="{7B4AECD7-FF96-434F-9CA0-81E4D811CC2B}">
  <ds:schemaRefs/>
</ds:datastoreItem>
</file>

<file path=customXml/itemProps22.xml><?xml version="1.0" encoding="utf-8"?>
<ds:datastoreItem xmlns:ds="http://schemas.openxmlformats.org/officeDocument/2006/customXml" ds:itemID="{1681837B-5A27-45DC-A75A-3F339D88DCA4}">
  <ds:schemaRefs/>
</ds:datastoreItem>
</file>

<file path=customXml/itemProps23.xml><?xml version="1.0" encoding="utf-8"?>
<ds:datastoreItem xmlns:ds="http://schemas.openxmlformats.org/officeDocument/2006/customXml" ds:itemID="{97C972B6-BE7E-4FA8-BB5B-39EEE77C5E7A}">
  <ds:schemaRefs/>
</ds:datastoreItem>
</file>

<file path=customXml/itemProps24.xml><?xml version="1.0" encoding="utf-8"?>
<ds:datastoreItem xmlns:ds="http://schemas.openxmlformats.org/officeDocument/2006/customXml" ds:itemID="{3A746E4C-215A-4F93-8653-51E0226EBFE1}">
  <ds:schemaRefs/>
</ds:datastoreItem>
</file>

<file path=customXml/itemProps25.xml><?xml version="1.0" encoding="utf-8"?>
<ds:datastoreItem xmlns:ds="http://schemas.openxmlformats.org/officeDocument/2006/customXml" ds:itemID="{DF5DB358-947B-4B3E-8FB9-A92397466DF0}">
  <ds:schemaRefs/>
</ds:datastoreItem>
</file>

<file path=customXml/itemProps26.xml><?xml version="1.0" encoding="utf-8"?>
<ds:datastoreItem xmlns:ds="http://schemas.openxmlformats.org/officeDocument/2006/customXml" ds:itemID="{1E69F419-9C02-4A43-9A21-21A9853621C3}">
  <ds:schemaRefs/>
</ds:datastoreItem>
</file>

<file path=customXml/itemProps27.xml><?xml version="1.0" encoding="utf-8"?>
<ds:datastoreItem xmlns:ds="http://schemas.openxmlformats.org/officeDocument/2006/customXml" ds:itemID="{9407C4D8-C06D-490A-AC5F-14AB90C644F0}">
  <ds:schemaRefs/>
</ds:datastoreItem>
</file>

<file path=customXml/itemProps3.xml><?xml version="1.0" encoding="utf-8"?>
<ds:datastoreItem xmlns:ds="http://schemas.openxmlformats.org/officeDocument/2006/customXml" ds:itemID="{68975F83-BB9F-4D8D-85CF-FB511668BA89}">
  <ds:schemaRefs/>
</ds:datastoreItem>
</file>

<file path=customXml/itemProps4.xml><?xml version="1.0" encoding="utf-8"?>
<ds:datastoreItem xmlns:ds="http://schemas.openxmlformats.org/officeDocument/2006/customXml" ds:itemID="{845611A0-9719-4A2A-BDA5-7348DBFC1463}">
  <ds:schemaRefs/>
</ds:datastoreItem>
</file>

<file path=customXml/itemProps5.xml><?xml version="1.0" encoding="utf-8"?>
<ds:datastoreItem xmlns:ds="http://schemas.openxmlformats.org/officeDocument/2006/customXml" ds:itemID="{3596BAC3-BBC7-46BE-A381-E53AD1AD67DB}">
  <ds:schemaRefs/>
</ds:datastoreItem>
</file>

<file path=customXml/itemProps6.xml><?xml version="1.0" encoding="utf-8"?>
<ds:datastoreItem xmlns:ds="http://schemas.openxmlformats.org/officeDocument/2006/customXml" ds:itemID="{9C50212D-5BE8-4E78-902C-97AA810B63BE}">
  <ds:schemaRefs/>
</ds:datastoreItem>
</file>

<file path=customXml/itemProps7.xml><?xml version="1.0" encoding="utf-8"?>
<ds:datastoreItem xmlns:ds="http://schemas.openxmlformats.org/officeDocument/2006/customXml" ds:itemID="{D4E792DF-7D53-431C-B08F-61A81F74B574}">
  <ds:schemaRefs/>
</ds:datastoreItem>
</file>

<file path=customXml/itemProps8.xml><?xml version="1.0" encoding="utf-8"?>
<ds:datastoreItem xmlns:ds="http://schemas.openxmlformats.org/officeDocument/2006/customXml" ds:itemID="{178EBD7A-AFDF-4448-A912-0593C550FA82}">
  <ds:schemaRefs/>
</ds:datastoreItem>
</file>

<file path=customXml/itemProps9.xml><?xml version="1.0" encoding="utf-8"?>
<ds:datastoreItem xmlns:ds="http://schemas.openxmlformats.org/officeDocument/2006/customXml" ds:itemID="{B8903CB0-79D8-4BC7-84C9-CB565F26EDAC}">
  <ds:schemaRefs/>
</ds:datastoreItem>
</file>

<file path=docProps/app.xml><?xml version="1.0" encoding="utf-8"?>
<Properties xmlns="http://schemas.openxmlformats.org/officeDocument/2006/extended-properties" xmlns:vt="http://schemas.openxmlformats.org/officeDocument/2006/docPropsVTypes">
  <Template>Normal</Template>
  <Pages>27</Pages>
  <Words>2364</Words>
  <Characters>13478</Characters>
  <Lines>112</Lines>
  <Paragraphs>31</Paragraphs>
  <TotalTime>70</TotalTime>
  <ScaleCrop>false</ScaleCrop>
  <LinksUpToDate>false</LinksUpToDate>
  <CharactersWithSpaces>15811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2022-02-25T06:15:00Z</dcterms:created>
  <dc:creator>Administrator</dc:creator>
  <cp:lastModifiedBy>Administrator</cp:lastModifiedBy>
  <dcterms:modified xsi:type="dcterms:W3CDTF">2024-01-12T09:42:16Z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