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lang w:eastAsia="zh-CN"/>
        </w:rPr>
        <w:t>石家庄市鹿泉区城市管理综合执法大队</w:t>
      </w:r>
    </w:p>
    <w:p>
      <w:pPr>
        <w:ind w:firstLine="880" w:firstLineChars="20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val="en-US" w:eastAsia="zh-CN"/>
        </w:rPr>
        <w:t>中华人民共和国</w:t>
      </w:r>
      <w:r>
        <w:rPr>
          <w:rFonts w:hint="eastAsia" w:ascii="仿宋" w:hAnsi="仿宋" w:eastAsia="仿宋" w:cs="仿宋"/>
          <w:sz w:val="32"/>
          <w:szCs w:val="32"/>
        </w:rPr>
        <w:t>预算法》、《地方预决算公开操作规程》和《河北省省级预算公开办法》规定，现将</w:t>
      </w:r>
      <w:r>
        <w:rPr>
          <w:rFonts w:hint="eastAsia" w:ascii="仿宋" w:hAnsi="仿宋" w:eastAsia="仿宋" w:cs="仿宋"/>
          <w:sz w:val="32"/>
          <w:szCs w:val="32"/>
          <w:lang w:eastAsia="zh-CN"/>
        </w:rPr>
        <w:t>石家庄市鹿泉区城市管理综合执法大队</w:t>
      </w:r>
      <w:r>
        <w:rPr>
          <w:rFonts w:hint="eastAsia" w:ascii="仿宋" w:hAnsi="仿宋" w:eastAsia="仿宋" w:cs="仿宋"/>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hint="eastAsia" w:ascii="仿宋_GB2312" w:eastAsia="仿宋_GB2312"/>
          <w:sz w:val="32"/>
          <w:szCs w:val="32"/>
        </w:rPr>
      </w:pPr>
      <w:r>
        <w:rPr>
          <w:rFonts w:hint="eastAsia" w:ascii="仿宋_GB2312" w:eastAsia="仿宋_GB2312"/>
          <w:sz w:val="32"/>
          <w:szCs w:val="32"/>
        </w:rPr>
        <w:t>（一）贯彻执</w:t>
      </w:r>
      <w:bookmarkStart w:id="3" w:name="_GoBack"/>
      <w:bookmarkEnd w:id="3"/>
      <w:r>
        <w:rPr>
          <w:rFonts w:hint="eastAsia" w:ascii="仿宋_GB2312" w:eastAsia="仿宋_GB2312"/>
          <w:sz w:val="32"/>
          <w:szCs w:val="32"/>
        </w:rPr>
        <w:t>行国家、省、市有关城市管理方面的方针政策和法律法规；拟定全区市容、环卫、渣土处置等城市管理规划、实施计划和地方性规范文件，并监督实施。</w:t>
      </w:r>
    </w:p>
    <w:p>
      <w:pPr>
        <w:ind w:firstLine="640" w:firstLineChars="200"/>
        <w:rPr>
          <w:rFonts w:hint="eastAsia" w:ascii="仿宋_GB2312" w:eastAsia="仿宋_GB2312"/>
          <w:sz w:val="32"/>
          <w:szCs w:val="32"/>
        </w:rPr>
      </w:pPr>
      <w:r>
        <w:rPr>
          <w:rFonts w:hint="eastAsia" w:ascii="仿宋_GB2312" w:eastAsia="仿宋_GB2312"/>
          <w:sz w:val="32"/>
          <w:szCs w:val="32"/>
        </w:rPr>
        <w:t>（二）负责查处审批前占用挖掘城市道路、砍伐移栽城市树木工作。</w:t>
      </w:r>
    </w:p>
    <w:p>
      <w:pPr>
        <w:ind w:firstLine="640" w:firstLineChars="200"/>
        <w:rPr>
          <w:rFonts w:hint="eastAsia" w:ascii="仿宋_GB2312" w:eastAsia="仿宋_GB2312"/>
          <w:sz w:val="32"/>
          <w:szCs w:val="32"/>
        </w:rPr>
      </w:pPr>
      <w:r>
        <w:rPr>
          <w:rFonts w:hint="eastAsia" w:ascii="仿宋_GB2312" w:eastAsia="仿宋_GB2312"/>
          <w:sz w:val="32"/>
          <w:szCs w:val="32"/>
        </w:rPr>
        <w:t>（三）负责国有土地上违法占地巡查工作；配合乡镇（区）做好集体土地违法占地的巡查工作。</w:t>
      </w:r>
    </w:p>
    <w:p>
      <w:pPr>
        <w:ind w:firstLine="640" w:firstLineChars="200"/>
        <w:rPr>
          <w:rFonts w:hint="eastAsia" w:ascii="仿宋_GB2312" w:eastAsia="仿宋_GB2312"/>
          <w:sz w:val="32"/>
          <w:szCs w:val="32"/>
        </w:rPr>
      </w:pPr>
      <w:r>
        <w:rPr>
          <w:rFonts w:hint="eastAsia" w:ascii="仿宋_GB2312" w:eastAsia="仿宋_GB2312"/>
          <w:sz w:val="32"/>
          <w:szCs w:val="32"/>
        </w:rPr>
        <w:t>（四）负责对未取得《建设工程规划许可证》或《临时建设工程规划许可证》（含市政工程类）违法建设行为的查处工作；负责配合乡镇（区）做好对未取得《乡村建设规划许可证》违法建设行为的查处工作。</w:t>
      </w:r>
    </w:p>
    <w:p>
      <w:pPr>
        <w:ind w:firstLine="640" w:firstLineChars="200"/>
        <w:rPr>
          <w:rFonts w:hint="eastAsia" w:ascii="仿宋_GB2312" w:eastAsia="仿宋_GB2312"/>
          <w:sz w:val="32"/>
          <w:szCs w:val="32"/>
        </w:rPr>
      </w:pPr>
      <w:r>
        <w:rPr>
          <w:rFonts w:hint="eastAsia" w:ascii="仿宋_GB2312" w:eastAsia="仿宋_GB2312"/>
          <w:sz w:val="32"/>
          <w:szCs w:val="32"/>
        </w:rPr>
        <w:t>（五）负责取得国有土地使用权的住宅小区内私搭乱建、侵占损毁公共绿地等违法行为的查处工作。</w:t>
      </w:r>
    </w:p>
    <w:p>
      <w:pPr>
        <w:ind w:firstLine="640" w:firstLineChars="200"/>
        <w:rPr>
          <w:rFonts w:hint="eastAsia" w:ascii="仿宋_GB2312" w:eastAsia="仿宋_GB2312"/>
          <w:sz w:val="32"/>
          <w:szCs w:val="32"/>
        </w:rPr>
      </w:pPr>
      <w:r>
        <w:rPr>
          <w:rFonts w:hint="eastAsia" w:ascii="仿宋_GB2312" w:eastAsia="仿宋_GB2312"/>
          <w:sz w:val="32"/>
          <w:szCs w:val="32"/>
        </w:rPr>
        <w:t>（六）负责主城区（不含开发区）市政道路两侧私搭乱建等违反市容管理行为的查处工作；负责配合获鹿镇政府及乡镇（区）做好主城区城中村及辖区范围内的私搭乱建等影响市容行为的查处工作。</w:t>
      </w:r>
    </w:p>
    <w:p>
      <w:pPr>
        <w:ind w:firstLine="640" w:firstLineChars="200"/>
        <w:rPr>
          <w:rFonts w:hint="eastAsia" w:ascii="仿宋_GB2312" w:eastAsia="仿宋_GB2312"/>
          <w:sz w:val="32"/>
          <w:szCs w:val="32"/>
        </w:rPr>
      </w:pPr>
      <w:r>
        <w:rPr>
          <w:rFonts w:hint="eastAsia" w:ascii="仿宋_GB2312" w:eastAsia="仿宋_GB2312"/>
          <w:sz w:val="32"/>
          <w:szCs w:val="32"/>
        </w:rPr>
        <w:t>（七）依法查处取缔主城区（不含开发区）占道无照商贩、店外或专业市场外经营行为。</w:t>
      </w:r>
    </w:p>
    <w:p>
      <w:pPr>
        <w:ind w:firstLine="640" w:firstLineChars="200"/>
        <w:rPr>
          <w:rFonts w:hint="eastAsia" w:ascii="仿宋_GB2312" w:eastAsia="仿宋_GB2312"/>
          <w:sz w:val="32"/>
          <w:szCs w:val="32"/>
        </w:rPr>
      </w:pPr>
      <w:r>
        <w:rPr>
          <w:rFonts w:hint="eastAsia" w:ascii="仿宋_GB2312" w:eastAsia="仿宋_GB2312"/>
          <w:sz w:val="32"/>
          <w:szCs w:val="32"/>
        </w:rPr>
        <w:t>（八）负责牵头和督导相关单位对主城区（不含开发区）主要街道机动车乱停乱放侵占城市道路和公共场地行为进行查处。</w:t>
      </w:r>
    </w:p>
    <w:p>
      <w:pPr>
        <w:ind w:firstLine="640" w:firstLineChars="200"/>
        <w:rPr>
          <w:rFonts w:hint="eastAsia" w:ascii="仿宋_GB2312" w:eastAsia="仿宋_GB2312"/>
          <w:sz w:val="32"/>
          <w:szCs w:val="32"/>
        </w:rPr>
      </w:pPr>
      <w:r>
        <w:rPr>
          <w:rFonts w:hint="eastAsia" w:ascii="仿宋_GB2312" w:eastAsia="仿宋_GB2312"/>
          <w:sz w:val="32"/>
          <w:szCs w:val="32"/>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pPr>
        <w:ind w:firstLine="640" w:firstLineChars="200"/>
        <w:rPr>
          <w:rFonts w:hint="eastAsia" w:ascii="仿宋_GB2312" w:eastAsia="仿宋_GB2312"/>
          <w:sz w:val="32"/>
          <w:szCs w:val="32"/>
        </w:rPr>
      </w:pPr>
      <w:r>
        <w:rPr>
          <w:rFonts w:hint="eastAsia" w:ascii="仿宋_GB2312" w:eastAsia="仿宋_GB2312"/>
          <w:sz w:val="32"/>
          <w:szCs w:val="32"/>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pPr>
        <w:ind w:firstLine="640" w:firstLineChars="200"/>
        <w:rPr>
          <w:rFonts w:hint="eastAsia" w:ascii="仿宋_GB2312" w:eastAsia="仿宋_GB2312"/>
          <w:sz w:val="32"/>
          <w:szCs w:val="32"/>
        </w:rPr>
      </w:pPr>
      <w:r>
        <w:rPr>
          <w:rFonts w:hint="eastAsia" w:ascii="仿宋_GB2312" w:eastAsia="仿宋_GB2312"/>
          <w:sz w:val="32"/>
          <w:szCs w:val="32"/>
        </w:rPr>
        <w:t>（十一）负责城乡生活垃圾处置、利用和消纳日常管理；负责区域生活垃圾压缩转运站及配套设施、设备的建设、维护与管理；依法查处从事城市生活垃圾经营性清扫、收集、运输、处理服务的违规行为。</w:t>
      </w:r>
    </w:p>
    <w:p>
      <w:pPr>
        <w:ind w:firstLine="640" w:firstLineChars="200"/>
        <w:rPr>
          <w:rFonts w:hint="eastAsia" w:ascii="仿宋_GB2312" w:eastAsia="仿宋_GB2312"/>
          <w:sz w:val="32"/>
          <w:szCs w:val="32"/>
        </w:rPr>
      </w:pPr>
      <w:r>
        <w:rPr>
          <w:rFonts w:hint="eastAsia" w:ascii="仿宋_GB2312" w:eastAsia="仿宋_GB2312"/>
          <w:sz w:val="32"/>
          <w:szCs w:val="32"/>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pPr>
        <w:ind w:firstLine="640" w:firstLineChars="200"/>
        <w:rPr>
          <w:rFonts w:hint="eastAsia" w:ascii="仿宋_GB2312" w:eastAsia="仿宋_GB2312"/>
          <w:sz w:val="32"/>
          <w:szCs w:val="32"/>
        </w:rPr>
      </w:pPr>
      <w:r>
        <w:rPr>
          <w:rFonts w:hint="eastAsia" w:ascii="仿宋_GB2312" w:eastAsia="仿宋_GB2312"/>
          <w:sz w:val="32"/>
          <w:szCs w:val="32"/>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pPr>
        <w:ind w:firstLine="640" w:firstLineChars="200"/>
        <w:rPr>
          <w:rFonts w:hint="eastAsia" w:ascii="仿宋_GB2312" w:eastAsia="仿宋_GB2312"/>
          <w:sz w:val="32"/>
          <w:szCs w:val="32"/>
        </w:rPr>
      </w:pPr>
      <w:r>
        <w:rPr>
          <w:rFonts w:hint="eastAsia" w:ascii="仿宋_GB2312" w:eastAsia="仿宋_GB2312"/>
          <w:sz w:val="32"/>
          <w:szCs w:val="32"/>
        </w:rPr>
        <w:t>（十四）负责省政府决定调整的城市管理领域的其它行政处罚事项。</w:t>
      </w:r>
    </w:p>
    <w:p>
      <w:pPr>
        <w:rPr>
          <w:rFonts w:hint="eastAsia" w:ascii="仿宋_GB2312" w:eastAsia="仿宋_GB2312"/>
          <w:sz w:val="32"/>
          <w:szCs w:val="32"/>
        </w:rPr>
      </w:pPr>
      <w:r>
        <w:rPr>
          <w:rFonts w:hint="eastAsia" w:ascii="仿宋_GB2312" w:eastAsia="仿宋_GB2312"/>
          <w:sz w:val="32"/>
          <w:szCs w:val="32"/>
        </w:rPr>
        <w:t>（十五）负责城乡环境容貌考评工作。负责主城区及各乡镇（区）政府所在地和主要交通干道环</w:t>
      </w:r>
    </w:p>
    <w:p>
      <w:pPr>
        <w:ind w:firstLine="640" w:firstLineChars="200"/>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w:t>
      </w:r>
    </w:p>
    <w:p>
      <w:pPr>
        <w:ind w:firstLine="640" w:firstLineChars="200"/>
        <w:rPr>
          <w:rFonts w:hint="eastAsia" w:ascii="宋体" w:hAnsi="宋体" w:eastAsia="仿宋" w:cs="仿宋_GB2312"/>
          <w:sz w:val="32"/>
          <w:szCs w:val="32"/>
        </w:rPr>
      </w:pPr>
      <w:r>
        <w:rPr>
          <w:rFonts w:hint="eastAsia" w:ascii="仿宋_GB2312" w:eastAsia="仿宋_GB2312"/>
          <w:sz w:val="32"/>
          <w:szCs w:val="32"/>
        </w:rPr>
        <w:t>根据上述职责，</w:t>
      </w:r>
      <w:r>
        <w:rPr>
          <w:rFonts w:hint="eastAsia" w:ascii="宋体" w:hAnsi="宋体" w:eastAsia="仿宋" w:cs="仿宋_GB2312"/>
          <w:sz w:val="32"/>
          <w:szCs w:val="32"/>
        </w:rPr>
        <w:t>区城市管理综合执法大队下设5个事业单位，</w:t>
      </w:r>
      <w:r>
        <w:rPr>
          <w:rFonts w:hint="eastAsia" w:ascii="楷体" w:hAnsi="楷体" w:eastAsia="楷体" w:cs="楷体_GB2312"/>
          <w:bCs/>
          <w:sz w:val="32"/>
          <w:szCs w:val="32"/>
        </w:rPr>
        <w:t>（</w:t>
      </w:r>
      <w:r>
        <w:rPr>
          <w:rFonts w:hint="eastAsia" w:ascii="宋体" w:hAnsi="宋体" w:eastAsia="仿宋" w:cs="仿宋_GB2312"/>
          <w:sz w:val="32"/>
          <w:szCs w:val="32"/>
        </w:rPr>
        <w:t>1）区市容监察中队（2）区城镇管理服务中心（3）区市场管理处加挂区城市管理综合执法机动中队牌子（4）区环境卫生管理处（5）区城乡卫生管理处</w:t>
      </w:r>
    </w:p>
    <w:p>
      <w:pPr>
        <w:autoSpaceDE w:val="0"/>
        <w:autoSpaceDN w:val="0"/>
        <w:adjustRightInd w:val="0"/>
        <w:jc w:val="left"/>
        <w:rPr>
          <w:rFonts w:ascii="方正仿宋_GBK" w:hAnsi="Times New Roman" w:eastAsia="方正仿宋_GBK" w:cs="Times New Roman"/>
          <w:b/>
          <w:sz w:val="32"/>
          <w:szCs w:val="32"/>
        </w:rPr>
      </w:pPr>
    </w:p>
    <w:p>
      <w:pPr>
        <w:autoSpaceDE w:val="0"/>
        <w:autoSpaceDN w:val="0"/>
        <w:adjustRightInd w:val="0"/>
        <w:ind w:left="198" w:firstLine="640" w:firstLineChars="200"/>
        <w:jc w:val="left"/>
        <w:rPr>
          <w:rFonts w:ascii="方正仿宋_GBK" w:hAnsi="Times New Roman" w:eastAsia="方正仿宋_GBK" w:cs="Times New Roman"/>
          <w:b/>
          <w:sz w:val="32"/>
          <w:szCs w:val="32"/>
        </w:rPr>
      </w:pP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rPr>
          <w:rFonts w:hint="eastAsia" w:ascii="Times New Roman" w:hAnsi="宋体"/>
          <w:sz w:val="32"/>
        </w:rPr>
      </w:pPr>
      <w:r>
        <w:rPr>
          <w:rFonts w:hint="eastAsia" w:ascii="方正小标宋_GBK" w:eastAsia="方正小标宋_GBK"/>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ascii="方正书宋_GBK" w:eastAsia="方正书宋_GBK"/>
              </w:rPr>
            </w:pPr>
            <w:r>
              <w:rPr>
                <w:rFonts w:hint="eastAsia" w:ascii="方正书宋_GBK" w:eastAsia="方正书宋_GBK"/>
              </w:rPr>
              <w:t>石家庄市鹿泉区城市管理综合执法大本级</w:t>
            </w:r>
          </w:p>
        </w:tc>
        <w:tc>
          <w:tcPr>
            <w:tcW w:w="1843" w:type="dxa"/>
            <w:noWrap w:val="0"/>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noWrap w:val="0"/>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noWrap w:val="0"/>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石家庄市鹿泉区市容监察中队</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石家庄市鹿泉区环境卫生</w:t>
            </w:r>
            <w:r>
              <w:rPr>
                <w:rFonts w:hint="eastAsia" w:ascii="方正书宋_GBK" w:eastAsia="方正书宋_GBK"/>
                <w:lang w:val="en-US" w:eastAsia="zh-CN"/>
              </w:rPr>
              <w:t>管理处</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石家庄市鹿泉区市场</w:t>
            </w:r>
            <w:r>
              <w:rPr>
                <w:rFonts w:hint="eastAsia" w:ascii="方正书宋_GBK" w:eastAsia="方正书宋_GBK"/>
                <w:lang w:val="en-US" w:eastAsia="zh-CN"/>
              </w:rPr>
              <w:t>管理处</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石家庄市鹿泉区城乡卫生</w:t>
            </w:r>
            <w:r>
              <w:rPr>
                <w:rFonts w:hint="eastAsia" w:ascii="方正书宋_GBK" w:eastAsia="方正书宋_GBK"/>
                <w:lang w:val="en-US" w:eastAsia="zh-CN"/>
              </w:rPr>
              <w:t>管理处</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石家庄市鹿泉区城镇服务管理中心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rPr>
              <w:t>财政性资金基本保证</w:t>
            </w:r>
          </w:p>
        </w:tc>
      </w:tr>
    </w:tbl>
    <w:p>
      <w:pPr>
        <w:rPr>
          <w:rFonts w:hint="eastAsia" w:ascii="黑体" w:hAnsi="黑体" w:eastAsia="黑体" w:cs="Times New Roman"/>
          <w:sz w:val="32"/>
          <w:szCs w:val="32"/>
        </w:rPr>
      </w:pPr>
    </w:p>
    <w:p>
      <w:pPr>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按照预算管理有关规定，目前我部门预算的编制实行综合预算管理，即全部收入和支出都反映在预算中。</w:t>
      </w:r>
      <w:r>
        <w:rPr>
          <w:rFonts w:hint="eastAsia" w:ascii="仿宋" w:hAnsi="仿宋" w:eastAsia="仿宋" w:cs="仿宋"/>
          <w:sz w:val="32"/>
          <w:szCs w:val="32"/>
          <w:lang w:eastAsia="zh-CN"/>
        </w:rPr>
        <w:t>石家庄市鹿泉区城市管理综合执法大队</w:t>
      </w:r>
      <w:r>
        <w:rPr>
          <w:rFonts w:hint="eastAsia" w:ascii="仿宋" w:hAnsi="仿宋" w:eastAsia="仿宋" w:cs="仿宋"/>
          <w:sz w:val="32"/>
          <w:szCs w:val="32"/>
        </w:rPr>
        <w:t>所属事业单位的收支包含在部门预算中。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反映本部门当年全部收入。2019年预算收入13578.14万元，其中：一般公共预算收入</w:t>
      </w:r>
      <w:r>
        <w:rPr>
          <w:rFonts w:hint="eastAsia" w:ascii="仿宋" w:hAnsi="仿宋" w:eastAsia="仿宋" w:cs="仿宋"/>
          <w:sz w:val="32"/>
          <w:szCs w:val="32"/>
          <w:lang w:val="en-US" w:eastAsia="zh-CN"/>
        </w:rPr>
        <w:t>3614.43</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9872.71</w:t>
      </w:r>
      <w:r>
        <w:rPr>
          <w:rFonts w:hint="eastAsia" w:ascii="仿宋" w:hAnsi="仿宋" w:eastAsia="仿宋" w:cs="仿宋"/>
          <w:sz w:val="32"/>
          <w:szCs w:val="32"/>
        </w:rPr>
        <w:t>万元，财政专户核拨收入0万元，其他来源收入</w:t>
      </w:r>
      <w:r>
        <w:rPr>
          <w:rFonts w:hint="eastAsia" w:ascii="仿宋" w:hAnsi="仿宋" w:eastAsia="仿宋" w:cs="仿宋"/>
          <w:sz w:val="32"/>
          <w:szCs w:val="32"/>
          <w:lang w:val="en-US" w:eastAsia="zh-CN"/>
        </w:rPr>
        <w:t>91</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石家庄市鹿泉区城市管理综合执法大队</w:t>
      </w:r>
      <w:r>
        <w:rPr>
          <w:rFonts w:hint="eastAsia" w:ascii="仿宋" w:hAnsi="仿宋" w:eastAsia="仿宋" w:cs="仿宋"/>
          <w:sz w:val="32"/>
          <w:szCs w:val="32"/>
        </w:rPr>
        <w:t>年度部门预算中支出预算的总体情况。2019年支出预算</w:t>
      </w:r>
      <w:r>
        <w:rPr>
          <w:rFonts w:hint="eastAsia" w:ascii="仿宋" w:hAnsi="仿宋" w:eastAsia="仿宋" w:cs="仿宋"/>
          <w:sz w:val="32"/>
          <w:szCs w:val="32"/>
          <w:lang w:val="en-US" w:eastAsia="zh-CN"/>
        </w:rPr>
        <w:t>13578.14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3392.41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2100.69</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1291.72</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10185.73</w:t>
      </w:r>
      <w:r>
        <w:rPr>
          <w:rFonts w:hint="eastAsia" w:ascii="仿宋" w:hAnsi="仿宋" w:eastAsia="仿宋" w:cs="仿宋"/>
          <w:sz w:val="32"/>
          <w:szCs w:val="32"/>
        </w:rPr>
        <w:t>万元，包括本级支出和</w:t>
      </w:r>
      <w:r>
        <w:rPr>
          <w:rFonts w:hint="eastAsia" w:ascii="仿宋" w:hAnsi="仿宋" w:eastAsia="仿宋" w:cs="仿宋"/>
          <w:sz w:val="32"/>
          <w:szCs w:val="32"/>
          <w:lang w:eastAsia="zh-CN"/>
        </w:rPr>
        <w:t>下属单位支出</w:t>
      </w:r>
      <w:r>
        <w:rPr>
          <w:rFonts w:hint="eastAsia" w:ascii="仿宋" w:hAnsi="仿宋" w:eastAsia="仿宋" w:cs="仿宋"/>
          <w:sz w:val="32"/>
          <w:szCs w:val="32"/>
        </w:rPr>
        <w:t>，主要为</w:t>
      </w:r>
      <w:r>
        <w:rPr>
          <w:rFonts w:hint="eastAsia" w:ascii="仿宋" w:hAnsi="仿宋" w:eastAsia="仿宋" w:cs="仿宋"/>
          <w:sz w:val="32"/>
          <w:szCs w:val="32"/>
          <w:lang w:eastAsia="zh-CN"/>
        </w:rPr>
        <w:t>城市管理行政执法、市容市貌管理、生活垃圾无害化管理、环境卫生管理、市场维护管理等</w:t>
      </w:r>
      <w:r>
        <w:rPr>
          <w:rFonts w:hint="eastAsia" w:ascii="仿宋" w:hAnsi="仿宋" w:eastAsia="仿宋" w:cs="仿宋"/>
          <w:sz w:val="32"/>
          <w:szCs w:val="32"/>
        </w:rPr>
        <w:t>；其他支出</w:t>
      </w:r>
      <w:r>
        <w:rPr>
          <w:rFonts w:hint="eastAsia" w:ascii="仿宋" w:hAnsi="仿宋" w:eastAsia="仿宋" w:cs="仿宋"/>
          <w:sz w:val="32"/>
          <w:szCs w:val="32"/>
          <w:lang w:val="en-US" w:eastAsia="zh-CN"/>
        </w:rPr>
        <w:t>91</w:t>
      </w:r>
      <w:r>
        <w:rPr>
          <w:rFonts w:hint="eastAsia" w:ascii="仿宋" w:hAnsi="仿宋" w:eastAsia="仿宋" w:cs="仿宋"/>
          <w:sz w:val="32"/>
          <w:szCs w:val="32"/>
        </w:rPr>
        <w:t>万元，主要包括</w:t>
      </w:r>
      <w:r>
        <w:rPr>
          <w:rFonts w:hint="eastAsia" w:ascii="仿宋" w:hAnsi="仿宋" w:eastAsia="仿宋" w:cs="仿宋"/>
          <w:sz w:val="32"/>
          <w:szCs w:val="32"/>
          <w:lang w:eastAsia="zh-CN"/>
        </w:rPr>
        <w:t>环境卫生及市场管理</w:t>
      </w:r>
      <w:r>
        <w:rPr>
          <w:rFonts w:hint="eastAsia" w:ascii="仿宋" w:hAnsi="仿宋" w:eastAsia="仿宋" w:cs="仿宋"/>
          <w:sz w:val="32"/>
          <w:szCs w:val="32"/>
        </w:rPr>
        <w:t>。</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2019年预算收支安排</w:t>
      </w:r>
      <w:r>
        <w:rPr>
          <w:rFonts w:hint="eastAsia" w:ascii="仿宋" w:hAnsi="仿宋" w:eastAsia="仿宋" w:cs="仿宋"/>
          <w:sz w:val="32"/>
          <w:szCs w:val="32"/>
          <w:lang w:val="en-US" w:eastAsia="zh-CN"/>
        </w:rPr>
        <w:t>13578.14</w:t>
      </w:r>
      <w:r>
        <w:rPr>
          <w:rFonts w:hint="eastAsia" w:ascii="仿宋" w:hAnsi="仿宋" w:eastAsia="仿宋" w:cs="仿宋"/>
          <w:sz w:val="32"/>
          <w:szCs w:val="32"/>
        </w:rPr>
        <w:t>万元，较2018年预算</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2186.27</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299.47</w:t>
      </w:r>
      <w:r>
        <w:rPr>
          <w:rFonts w:hint="eastAsia" w:ascii="仿宋" w:hAnsi="仿宋" w:eastAsia="仿宋" w:cs="仿宋"/>
          <w:sz w:val="32"/>
          <w:szCs w:val="32"/>
        </w:rPr>
        <w:t>万元，主要为</w:t>
      </w:r>
      <w:r>
        <w:rPr>
          <w:rFonts w:hint="eastAsia" w:ascii="仿宋" w:hAnsi="仿宋" w:eastAsia="仿宋" w:cs="仿宋"/>
          <w:sz w:val="32"/>
          <w:szCs w:val="32"/>
          <w:lang w:eastAsia="zh-CN"/>
        </w:rPr>
        <w:t>增加日常公用经费</w:t>
      </w:r>
      <w:r>
        <w:rPr>
          <w:rFonts w:hint="eastAsia" w:ascii="仿宋" w:hAnsi="仿宋" w:eastAsia="仿宋" w:cs="仿宋"/>
          <w:sz w:val="32"/>
          <w:szCs w:val="32"/>
        </w:rPr>
        <w:t>支出；项目支出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1886.8</w:t>
      </w:r>
      <w:r>
        <w:rPr>
          <w:rFonts w:hint="eastAsia" w:ascii="仿宋" w:hAnsi="仿宋" w:eastAsia="仿宋" w:cs="仿宋"/>
          <w:sz w:val="32"/>
          <w:szCs w:val="32"/>
        </w:rPr>
        <w:t>万元，主要为</w:t>
      </w:r>
      <w:r>
        <w:rPr>
          <w:rFonts w:hint="eastAsia" w:ascii="仿宋" w:hAnsi="仿宋" w:eastAsia="仿宋" w:cs="仿宋"/>
          <w:sz w:val="32"/>
          <w:szCs w:val="32"/>
          <w:lang w:eastAsia="zh-CN"/>
        </w:rPr>
        <w:t>增加城东便民市场提升改造一期工程、购置环卫设备、市场管网改造工程、旅游综合服务站建设、智能垃圾分类系统等项目</w:t>
      </w:r>
      <w:r>
        <w:rPr>
          <w:rFonts w:hint="eastAsia" w:ascii="仿宋" w:hAnsi="仿宋" w:eastAsia="仿宋" w:cs="仿宋"/>
          <w:sz w:val="32"/>
          <w:szCs w:val="32"/>
        </w:rPr>
        <w:t>资金；其他支出</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5</w:t>
      </w:r>
      <w:r>
        <w:rPr>
          <w:rFonts w:hint="eastAsia" w:ascii="仿宋" w:hAnsi="仿宋" w:eastAsia="仿宋" w:cs="仿宋"/>
          <w:sz w:val="32"/>
          <w:szCs w:val="32"/>
        </w:rPr>
        <w:t>万元，主要为</w:t>
      </w:r>
      <w:r>
        <w:rPr>
          <w:rFonts w:hint="eastAsia" w:ascii="仿宋" w:hAnsi="仿宋" w:eastAsia="仿宋" w:cs="仿宋"/>
          <w:sz w:val="32"/>
          <w:szCs w:val="32"/>
          <w:lang w:eastAsia="zh-CN"/>
        </w:rPr>
        <w:t>减少收费</w:t>
      </w:r>
      <w:r>
        <w:rPr>
          <w:rFonts w:hint="eastAsia" w:ascii="仿宋" w:hAnsi="仿宋" w:eastAsia="仿宋" w:cs="仿宋"/>
          <w:sz w:val="32"/>
          <w:szCs w:val="32"/>
        </w:rPr>
        <w:t>。</w:t>
      </w:r>
    </w:p>
    <w:p>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三、机关运行经费安排情况</w:t>
      </w:r>
    </w:p>
    <w:p>
      <w:pPr>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2019年，我</w:t>
      </w:r>
      <w:r>
        <w:rPr>
          <w:rFonts w:hint="eastAsia" w:ascii="仿宋" w:hAnsi="仿宋" w:eastAsia="仿宋" w:cs="仿宋"/>
          <w:color w:val="auto"/>
          <w:sz w:val="32"/>
          <w:szCs w:val="32"/>
          <w:lang w:eastAsia="zh-CN"/>
        </w:rPr>
        <w:t>部门</w:t>
      </w:r>
      <w:r>
        <w:rPr>
          <w:rFonts w:hint="eastAsia" w:ascii="仿宋" w:hAnsi="仿宋" w:eastAsia="仿宋" w:cs="仿宋"/>
          <w:color w:val="auto"/>
          <w:sz w:val="32"/>
          <w:szCs w:val="32"/>
        </w:rPr>
        <w:t>机关运行经费共计安排</w:t>
      </w:r>
      <w:r>
        <w:rPr>
          <w:rFonts w:hint="eastAsia" w:ascii="仿宋" w:hAnsi="仿宋" w:eastAsia="仿宋" w:cs="仿宋"/>
          <w:color w:val="auto"/>
          <w:sz w:val="32"/>
          <w:szCs w:val="32"/>
          <w:lang w:val="en-US" w:eastAsia="zh-CN"/>
        </w:rPr>
        <w:t>1291.72</w:t>
      </w:r>
      <w:r>
        <w:rPr>
          <w:rFonts w:hint="eastAsia" w:ascii="仿宋" w:hAnsi="仿宋" w:eastAsia="仿宋" w:cs="仿宋"/>
          <w:color w:val="auto"/>
          <w:sz w:val="32"/>
          <w:szCs w:val="32"/>
        </w:rPr>
        <w:t>万元，主要用于</w:t>
      </w:r>
      <w:r>
        <w:rPr>
          <w:rFonts w:hint="eastAsia" w:ascii="仿宋" w:hAnsi="仿宋" w:eastAsia="仿宋" w:cs="仿宋"/>
          <w:color w:val="auto"/>
          <w:sz w:val="32"/>
          <w:szCs w:val="32"/>
          <w:lang w:eastAsia="zh-CN"/>
        </w:rPr>
        <w:t>六个单位</w:t>
      </w:r>
      <w:r>
        <w:rPr>
          <w:rFonts w:hint="eastAsia" w:ascii="仿宋" w:hAnsi="仿宋" w:eastAsia="仿宋" w:cs="仿宋"/>
          <w:color w:val="auto"/>
          <w:sz w:val="32"/>
          <w:szCs w:val="32"/>
        </w:rPr>
        <w:t>的日常</w:t>
      </w:r>
      <w:r>
        <w:rPr>
          <w:rFonts w:hint="eastAsia" w:ascii="仿宋" w:hAnsi="仿宋" w:eastAsia="仿宋" w:cs="仿宋"/>
          <w:color w:val="auto"/>
          <w:sz w:val="32"/>
          <w:szCs w:val="32"/>
          <w:lang w:eastAsia="zh-CN"/>
        </w:rPr>
        <w:t>办公、</w:t>
      </w:r>
      <w:r>
        <w:rPr>
          <w:rFonts w:hint="eastAsia" w:ascii="仿宋" w:hAnsi="仿宋" w:eastAsia="仿宋" w:cs="仿宋"/>
          <w:color w:val="auto"/>
          <w:sz w:val="32"/>
          <w:szCs w:val="32"/>
        </w:rPr>
        <w:t>维修、办公用房水电费、办公用房取暖费、</w:t>
      </w:r>
      <w:r>
        <w:rPr>
          <w:rFonts w:hint="eastAsia" w:ascii="仿宋" w:hAnsi="仿宋" w:eastAsia="仿宋" w:cs="仿宋"/>
          <w:color w:val="auto"/>
          <w:sz w:val="32"/>
          <w:szCs w:val="32"/>
          <w:lang w:eastAsia="zh-CN"/>
        </w:rPr>
        <w:t>委托业务费、</w:t>
      </w:r>
      <w:r>
        <w:rPr>
          <w:rFonts w:hint="eastAsia" w:ascii="仿宋" w:hAnsi="仿宋" w:eastAsia="仿宋" w:cs="仿宋"/>
          <w:color w:val="auto"/>
          <w:sz w:val="32"/>
          <w:szCs w:val="32"/>
        </w:rPr>
        <w:t>办公用房物业管理费等日常运行支出。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w:t>
      </w:r>
      <w:r>
        <w:rPr>
          <w:rFonts w:hint="eastAsia" w:ascii="仿宋" w:hAnsi="仿宋" w:eastAsia="仿宋" w:cs="仿宋"/>
          <w:sz w:val="32"/>
          <w:szCs w:val="32"/>
          <w:lang w:val="en-US" w:eastAsia="zh-CN"/>
        </w:rPr>
        <w:t>区城市管理综合执法大队</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68.9</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68.4</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68.4</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0.5</w:t>
      </w:r>
      <w:r>
        <w:rPr>
          <w:rFonts w:hint="eastAsia" w:ascii="仿宋" w:hAnsi="仿宋" w:eastAsia="仿宋" w:cs="仿宋"/>
          <w:sz w:val="32"/>
          <w:szCs w:val="32"/>
        </w:rPr>
        <w:t>万元。与2018年相比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10.5万元</w:t>
      </w:r>
      <w:r>
        <w:rPr>
          <w:rFonts w:hint="eastAsia" w:ascii="仿宋" w:hAnsi="仿宋" w:eastAsia="仿宋" w:cs="仿宋"/>
          <w:sz w:val="32"/>
          <w:szCs w:val="32"/>
        </w:rPr>
        <w:t>，</w:t>
      </w:r>
      <w:r>
        <w:rPr>
          <w:rFonts w:hint="eastAsia" w:ascii="仿宋" w:hAnsi="仿宋" w:eastAsia="仿宋" w:cs="仿宋"/>
          <w:sz w:val="32"/>
          <w:szCs w:val="32"/>
          <w:lang w:eastAsia="zh-CN"/>
        </w:rPr>
        <w:t>增加</w:t>
      </w:r>
      <w:r>
        <w:rPr>
          <w:rFonts w:hint="eastAsia" w:ascii="仿宋" w:hAnsi="仿宋" w:eastAsia="仿宋" w:cs="仿宋"/>
          <w:sz w:val="32"/>
          <w:szCs w:val="32"/>
        </w:rPr>
        <w:t>的主要原因是：</w:t>
      </w:r>
      <w:r>
        <w:rPr>
          <w:rFonts w:hint="eastAsia" w:ascii="仿宋" w:hAnsi="仿宋" w:eastAsia="仿宋" w:cs="仿宋"/>
          <w:sz w:val="32"/>
          <w:szCs w:val="32"/>
          <w:lang w:eastAsia="zh-CN"/>
        </w:rPr>
        <w:t>为新组建执法部门，执法车辆费用增加，预算增加</w:t>
      </w:r>
      <w:r>
        <w:rPr>
          <w:rFonts w:hint="eastAsia" w:ascii="仿宋" w:hAnsi="仿宋" w:eastAsia="仿宋" w:cs="仿宋"/>
          <w:sz w:val="32"/>
          <w:szCs w:val="32"/>
        </w:rPr>
        <w:t>。</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spacing w:line="500" w:lineRule="exact"/>
        <w:ind w:firstLine="560"/>
        <w:rPr>
          <w:rFonts w:hint="eastAsia" w:ascii="仿宋" w:hAnsi="仿宋" w:eastAsia="仿宋" w:cs="仿宋"/>
          <w:b w:val="0"/>
          <w:bCs w:val="0"/>
          <w:sz w:val="32"/>
          <w:szCs w:val="32"/>
        </w:rPr>
      </w:pPr>
      <w:r>
        <w:rPr>
          <w:rFonts w:hint="eastAsia" w:ascii="仿宋" w:hAnsi="仿宋" w:eastAsia="仿宋" w:cs="仿宋"/>
          <w:b w:val="0"/>
          <w:bCs w:val="0"/>
          <w:sz w:val="32"/>
          <w:szCs w:val="32"/>
        </w:rPr>
        <w:t>2019年，鹿泉区城市管理综合执法大队将进一步转变思想观念，强化日常管理，深入开展环境容貌综合整治，不断推进综合执法规范化、城市管理精细化，努力提升环境容貌形象水平，力争取得良好的考评名次。</w:t>
      </w:r>
    </w:p>
    <w:p>
      <w:pPr>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职责分类绩效目标：</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（一）贯彻执行国家、省、市有关城市管理方面的方针政策和法律法规；拟定全区市容、环卫、渣土处置等城市管理规划、实施计划和地方性规范文件，并监督实施。</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（二）负责查处审批前占用挖掘城市道路、砍伐移栽城市树木工作。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（三）负责国有土地上违法占地巡查工作；配合乡镇（区）做好集体土地违法占地的巡查工作。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（四）负责对未取得《建设工程规划许可证》或《临时建设工程规划许可证》（含市政工程类）违法建设行为的查处工作；负责配合乡镇（区）做好对未取得《乡村建设规划许可证》违法建设行为的查处工作。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（五）负责取得国有土地使用权的住宅小区内私搭乱建、侵占损毁公共绿地等违法行为的查处工作。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（六）负责主城区（不含开发区）市政道路两侧私搭乱建等违反市容管理行为的查处工作；负责配合获鹿镇政府及乡镇（区）做好主城区城中村及辖区范围内的私搭乱建等影响市容行为的查处工作。</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（七）依法查处取缔主城区（不含开发区）占道无照商贩、店外或专业市场外经营行为。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（八）负责牵头和督导相关单位对主城区（不含开发区）主要街道机动车乱停乱放侵占城市道路和公共场地行为进行查处。</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（十一）负责城乡生活垃圾处置、利用和消纳日常管理；负责区域生活垃圾压缩转运站及配套设施、设备的建设、维护与管理；依法查处从事城市生活垃圾经营性清扫、收集、运输、处理服务的违规行为。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（十四）负责省政府决定调整的城市管理领域的其它行政处罚事项。</w:t>
      </w:r>
    </w:p>
    <w:p>
      <w:pPr>
        <w:spacing w:line="500" w:lineRule="exact"/>
        <w:ind w:firstLine="560"/>
        <w:rPr>
          <w:rFonts w:ascii="方正仿宋_GBK" w:eastAsia="方正仿宋_GBK"/>
          <w:sz w:val="28"/>
        </w:rPr>
      </w:pPr>
      <w:r>
        <w:rPr>
          <w:rFonts w:hint="eastAsia" w:ascii="仿宋" w:hAnsi="仿宋" w:eastAsia="仿宋" w:cs="仿宋"/>
          <w:sz w:val="32"/>
          <w:szCs w:val="32"/>
        </w:rPr>
        <w:t>（十五）负责城乡环境容貌考评工作。负责主城区及各乡镇（区）政府所在地和主要交通干道环境容貌考评工作；负责组织有关市容环境卫生专项整治行动；指导乡镇（区）城管中队工作。</w:t>
      </w:r>
    </w:p>
    <w:p>
      <w:pPr>
        <w:spacing w:line="500" w:lineRule="exact"/>
        <w:ind w:firstLine="560"/>
        <w:rPr>
          <w:rFonts w:ascii="方正仿宋_GBK" w:eastAsia="方正仿宋_GBK"/>
          <w:sz w:val="28"/>
        </w:rPr>
      </w:pPr>
    </w:p>
    <w:p>
      <w:pPr>
        <w:jc w:val="left"/>
        <w:rPr>
          <w:rFonts w:hint="eastAsia" w:ascii="方正黑体_GBK" w:eastAsia="方正黑体_GBK"/>
          <w:b/>
          <w:bCs/>
          <w:sz w:val="28"/>
        </w:rPr>
      </w:pPr>
      <w:r>
        <w:rPr>
          <w:rFonts w:hint="eastAsia" w:ascii="方正黑体_GBK" w:eastAsia="方正黑体_GBK"/>
          <w:sz w:val="28"/>
        </w:rPr>
        <w:t xml:space="preserve"> </w:t>
      </w:r>
      <w:r>
        <w:rPr>
          <w:rFonts w:hint="eastAsia" w:ascii="方正黑体_GBK" w:eastAsia="方正黑体_GBK"/>
          <w:sz w:val="32"/>
          <w:szCs w:val="32"/>
        </w:rPr>
        <w:t xml:space="preserve">   </w:t>
      </w:r>
      <w:r>
        <w:rPr>
          <w:rFonts w:hint="eastAsia" w:ascii="黑体" w:hAnsi="黑体" w:eastAsia="黑体" w:cs="黑体"/>
          <w:b/>
          <w:bCs/>
          <w:sz w:val="32"/>
          <w:szCs w:val="32"/>
        </w:rPr>
        <w:t>二、实现年度发展规划目标的保障措施</w:t>
      </w:r>
    </w:p>
    <w:p>
      <w:pPr>
        <w:spacing w:line="500" w:lineRule="exact"/>
        <w:ind w:firstLine="560"/>
        <w:rPr>
          <w:rFonts w:ascii="方正仿宋_GBK" w:eastAsia="方正仿宋_GBK"/>
          <w:sz w:val="28"/>
        </w:rPr>
      </w:pP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一是稳步推进生活垃圾分类工作。借鉴垃圾分类试点经验，2019年将逐步推广，力争在2019年底前，将所有企事业单位、商超、农贸市场等公共机构全部纳入生活垃圾强制分类和考核范围，并将辖区10%生活小区纳入试点范围。二是继续完善城市基础设施。谋划搬迁城区垃圾压缩转运站，跑办城区压缩转运站新址手续；引进建筑垃圾无害化处理设备，使建筑垃圾变废为宝，提高建筑垃圾资源利用化率；实施旅游综合综合服务站建设工程，为广大市民、游客提供更加便利的如厕环境。三是加快推进城东便民市场改造，为群众建设方便安全的市场环境。四是以“创卫”工作为依托，着力于城市容貌综合整治。五是推进标准化中队建设，积极争创群众满意执法中队。六是加强执法队伍管理，树立良好的执法形象。集中开展培训教育，着力加强队伍建设，深入转变工作作风，严肃执法纪律，既要依法依规强力执法，又要疏堵结合文明执法，切实树立政治合格、纪律严明、业务精通、作风过硬的执法队伍形象。</w:t>
      </w:r>
    </w:p>
    <w:p>
      <w:pPr>
        <w:spacing w:line="500" w:lineRule="exact"/>
        <w:ind w:firstLine="560"/>
        <w:rPr>
          <w:rFonts w:hint="eastAsia" w:ascii="楷体_GB2312" w:hAnsi="黑体" w:eastAsia="楷体_GB2312" w:cs="Times New Roman"/>
          <w:b/>
          <w:sz w:val="32"/>
          <w:szCs w:val="32"/>
        </w:rPr>
      </w:pPr>
      <w:r>
        <w:rPr>
          <w:rFonts w:hint="eastAsia" w:ascii="仿宋" w:hAnsi="仿宋" w:eastAsia="仿宋" w:cs="仿宋"/>
          <w:sz w:val="32"/>
          <w:szCs w:val="32"/>
        </w:rPr>
        <w:t>除做好以上几项重点工作外，进一步强化党建、信访、安全生产日常管理，严格落实党政同责、一岗双责等责任制度，加大各种隐患的排查、治理、化解力度，全力维护系统内外安全稳定。</w:t>
      </w:r>
    </w:p>
    <w:p>
      <w:pPr>
        <w:ind w:firstLine="560"/>
        <w:rPr>
          <w:rFonts w:hint="eastAsia" w:ascii="楷体_GB2312" w:hAnsi="黑体" w:eastAsia="楷体_GB2312" w:cs="Times New Roman"/>
          <w:b/>
          <w:sz w:val="32"/>
          <w:szCs w:val="32"/>
        </w:rPr>
      </w:pPr>
    </w:p>
    <w:p>
      <w:pPr>
        <w:ind w:firstLine="560"/>
        <w:rPr>
          <w:rFonts w:hint="eastAsia" w:ascii="楷体_GB2312" w:hAnsi="黑体" w:eastAsia="楷体_GB2312" w:cs="Times New Roman"/>
          <w:b/>
          <w:sz w:val="32"/>
          <w:szCs w:val="32"/>
        </w:rPr>
      </w:pPr>
    </w:p>
    <w:p>
      <w:pPr>
        <w:ind w:firstLine="560"/>
        <w:rPr>
          <w:rFonts w:hint="eastAsia" w:ascii="仿宋" w:hAnsi="仿宋" w:eastAsia="仿宋" w:cs="仿宋"/>
          <w:b/>
          <w:sz w:val="32"/>
          <w:szCs w:val="24"/>
        </w:rPr>
      </w:pPr>
      <w:r>
        <w:rPr>
          <w:rFonts w:hint="eastAsia" w:ascii="仿宋" w:hAnsi="仿宋" w:eastAsia="仿宋" w:cs="仿宋"/>
          <w:b/>
          <w:sz w:val="32"/>
          <w:szCs w:val="32"/>
        </w:rPr>
        <w:t>部门职责</w:t>
      </w:r>
      <w:r>
        <w:rPr>
          <w:rFonts w:hint="eastAsia" w:ascii="仿宋" w:hAnsi="仿宋" w:eastAsia="仿宋" w:cs="仿宋"/>
          <w:b/>
          <w:sz w:val="32"/>
          <w:szCs w:val="32"/>
          <w:lang w:val="en-US" w:eastAsia="zh-CN"/>
        </w:rPr>
        <w:t>-</w:t>
      </w:r>
      <w:r>
        <w:rPr>
          <w:rFonts w:hint="eastAsia" w:ascii="仿宋" w:hAnsi="仿宋" w:eastAsia="仿宋" w:cs="仿宋"/>
          <w:b/>
          <w:sz w:val="32"/>
          <w:szCs w:val="32"/>
        </w:rPr>
        <w:t>工作活动绩效目标：</w:t>
      </w:r>
    </w:p>
    <w:bookmarkEnd w:id="0"/>
    <w:p>
      <w:pPr>
        <w:jc w:val="center"/>
        <w:outlineLvl w:val="0"/>
        <w:rPr>
          <w:rFonts w:ascii="方正小标宋_GBK" w:eastAsia="方正小标宋_GBK"/>
          <w:color w:val="FFFFFF"/>
          <w:sz w:val="32"/>
        </w:rPr>
      </w:pPr>
      <w:bookmarkStart w:id="1" w:name="_Toc2349360"/>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565</w:t>
            </w:r>
            <w:r>
              <w:rPr>
                <w:rFonts w:hint="eastAsia" w:ascii="方正小标宋_GBK" w:eastAsia="方正小标宋_GBK"/>
                <w:sz w:val="24"/>
              </w:rPr>
              <w:t>鹿泉区城市管理综合执法大队</w:t>
            </w:r>
          </w:p>
        </w:tc>
        <w:tc>
          <w:tcPr>
            <w:tcW w:w="2948" w:type="dxa"/>
            <w:gridSpan w:val="4"/>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noWrap w:val="0"/>
            <w:vAlign w:val="center"/>
          </w:tcPr>
          <w:p>
            <w:pPr>
              <w:spacing w:line="300" w:lineRule="exact"/>
              <w:jc w:val="left"/>
              <w:outlineLvl w:val="0"/>
            </w:pPr>
          </w:p>
        </w:tc>
        <w:tc>
          <w:tcPr>
            <w:tcW w:w="1276" w:type="dxa"/>
            <w:vMerge w:val="continue"/>
            <w:shd w:val="clear" w:color="auto" w:fill="auto"/>
            <w:noWrap w:val="0"/>
            <w:vAlign w:val="center"/>
          </w:tcPr>
          <w:p>
            <w:pPr>
              <w:spacing w:line="300" w:lineRule="exact"/>
              <w:jc w:val="left"/>
              <w:outlineLvl w:val="0"/>
            </w:pPr>
          </w:p>
        </w:tc>
        <w:tc>
          <w:tcPr>
            <w:tcW w:w="2976" w:type="dxa"/>
            <w:vMerge w:val="continue"/>
            <w:shd w:val="clear" w:color="auto" w:fill="auto"/>
            <w:noWrap w:val="0"/>
            <w:vAlign w:val="center"/>
          </w:tcPr>
          <w:p>
            <w:pPr>
              <w:spacing w:line="300" w:lineRule="exact"/>
              <w:jc w:val="left"/>
              <w:outlineLvl w:val="0"/>
            </w:pPr>
          </w:p>
        </w:tc>
        <w:tc>
          <w:tcPr>
            <w:tcW w:w="2976" w:type="dxa"/>
            <w:vMerge w:val="continue"/>
            <w:shd w:val="clear" w:color="auto" w:fill="auto"/>
            <w:noWrap w:val="0"/>
            <w:vAlign w:val="center"/>
          </w:tcPr>
          <w:p>
            <w:pPr>
              <w:spacing w:line="300" w:lineRule="exact"/>
              <w:jc w:val="left"/>
              <w:outlineLvl w:val="0"/>
            </w:pPr>
          </w:p>
        </w:tc>
        <w:tc>
          <w:tcPr>
            <w:tcW w:w="1417" w:type="dxa"/>
            <w:vMerge w:val="continue"/>
            <w:shd w:val="clear" w:color="auto" w:fill="auto"/>
            <w:noWrap w:val="0"/>
            <w:vAlign w:val="center"/>
          </w:tcPr>
          <w:p>
            <w:pPr>
              <w:spacing w:line="300" w:lineRule="exact"/>
              <w:jc w:val="left"/>
              <w:outlineLvl w:val="0"/>
            </w:pP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一、负责城市管理行政执法</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110.00</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查处审批前占用挖掘城市道路、砍伐移栽城市树木工作。负责对未取得《建设工程规划许可证》或《临时建设工程规划许可证》（含市政工程类）违法建设行为的查处工作；负责配合乡镇（区）做好对未取得《乡村建设规划许可证》违法建设行为的查处工作。负责取得国有土地使用权的住宅小区内私搭乱建、侵占损毁公共绿地等违法行为的查处工作。（负责主城区（不含开发区）市政道路两侧私搭乱建等违反市容管理行为的查处工作；负责配合获鹿镇政府及乡镇（区）做好主城区城中村及辖区范围内的私搭乱建等影响市容行为的查处工作。</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维护公共利益和社会秩序，保护公民、法人或者其他组织的合法权益创造整洁、优美、文明、和谐的城市环境，提高居民生活质量</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1、城市管理行政执法</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110.00</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1、查处审批前占用挖掘城市道路、砍伐移栽城市树木工作。          2、对未取得《建设工程规划许可证》或《临时建设工程规划许可证》（含市政工程类）违法建设行为的查处工作；                        3、配合乡镇（区）做好对未取得《乡村建设规划许可证》违法建设行为的查处工作。                     3、对取得国有土地使用权的住宅小区内私搭乱建、侵占损毁公共绿地等违法行为的查处工作。            4、对主城区（不含开发区）市政道路两侧私搭乱建等违反市容管理行为的查处工作；                    5、配合获鹿镇政府及乡镇（区）做好主城区城中村及辖区范围内的私搭乱建等影响市容行为的查处工作。</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通过行政执法，查处违法行为，减少并杜绝违法违规行为的发生。</w:t>
            </w: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行政处罚案卷结案率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36"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执法范围覆盖率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二、城管政务管理</w:t>
            </w:r>
          </w:p>
        </w:tc>
        <w:tc>
          <w:tcPr>
            <w:tcW w:w="1276" w:type="dxa"/>
            <w:shd w:val="clear" w:color="auto" w:fill="auto"/>
            <w:noWrap w:val="0"/>
            <w:vAlign w:val="center"/>
          </w:tcPr>
          <w:p>
            <w:pPr>
              <w:spacing w:line="300" w:lineRule="exact"/>
              <w:jc w:val="left"/>
              <w:rPr>
                <w:rFonts w:hint="eastAsia" w:ascii="仿宋" w:hAnsi="仿宋" w:eastAsia="仿宋" w:cs="仿宋"/>
              </w:rPr>
            </w:pP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负责机关标准化建设、行政后勤、人事、党务、纪检监察、财务和资产管理等工作。</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保障机关事务正常运转</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1、机关综合事务管理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机关标准化建设、行政后勤、人事、党务、纪检监察、财务和资产管理等工作。</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执法业务培训率%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工作任务完成率%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执法培训次数</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w:t>
            </w: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三、城乡环境容貌考评</w:t>
            </w:r>
          </w:p>
        </w:tc>
        <w:tc>
          <w:tcPr>
            <w:tcW w:w="1276" w:type="dxa"/>
            <w:shd w:val="clear" w:color="auto" w:fill="auto"/>
            <w:noWrap w:val="0"/>
            <w:vAlign w:val="center"/>
          </w:tcPr>
          <w:p>
            <w:pPr>
              <w:spacing w:line="300" w:lineRule="exact"/>
              <w:jc w:val="left"/>
              <w:rPr>
                <w:rFonts w:hint="eastAsia" w:ascii="仿宋" w:hAnsi="仿宋" w:eastAsia="仿宋" w:cs="仿宋"/>
              </w:rPr>
            </w:pP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负责城乡环境容貌考评工作。负责主城区及各乡镇（区）政府所在地和主要交通干道环境容貌考评工作；负责组织有关市容环境卫生专项整治行动；指导乡镇（区）城管中队工作。</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提升城乡环境容貌，改善居民生活环境</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1、城乡环境容貌考评</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1、协调、督导各责任部门落实上级城乡环境容貌整治有关精神；2、对城区及各乡镇（区）政府所在地和主要交通干道环境容貌考评工作；3、组织有关市容环境卫生专项整治行动； 4、负责系统大气污染治理工作；    5、牵头负责城市管理考评工作。</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对乡镇环境容貌考评次数</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≥12</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大气污染治理工作传达及时程度</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及时</w:t>
            </w: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不及时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市容环境卫生专项整治行动次数</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2"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四、数字化城市管理</w:t>
            </w:r>
          </w:p>
        </w:tc>
        <w:tc>
          <w:tcPr>
            <w:tcW w:w="1276" w:type="dxa"/>
            <w:shd w:val="clear" w:color="auto" w:fill="auto"/>
            <w:noWrap w:val="0"/>
            <w:vAlign w:val="center"/>
          </w:tcPr>
          <w:p>
            <w:pPr>
              <w:spacing w:line="300" w:lineRule="exact"/>
              <w:jc w:val="left"/>
              <w:rPr>
                <w:rFonts w:hint="eastAsia" w:ascii="仿宋" w:hAnsi="仿宋" w:eastAsia="仿宋" w:cs="仿宋"/>
              </w:rPr>
            </w:pP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负责全区数字化城市管理工作。负责对主城区城市管理工作进行全方位即时监控，并对出现的问题进行协调、督办。负责“12319城管便民服务热线”的日常管理</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提高城市数字化管理水平</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1、数字化城市管理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1、对城区城市管理工作进行全方位即时监控，并对出现的问题进行协调、督办； 2、将石家庄市监督中心批转的和鹿泉区数字化城市管理指挥中心立案的案卷，派遣到各相关职能部门；协调解决涉及多个部门的问题，并督促责任单位按期完成；3、对相关责任单位任务完成情况（书面或影像）进行汇总，并向石家庄市监督中心反馈；4、负责“12319城管便民服务热线”的日常管理；5、负责数字化城市管理系统维护、数据更新等日常工作，确保系统正常运转</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完善数字化城市管理平台监督考核功能，实现城市管理信息化,进一步提高市容管理考评工作</w:t>
            </w: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投诉热线处理率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数字城管处理案卷结案率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数字城管处理案卷返工率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&gt;30%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五、市容市貌的管理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1931.44</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107国道（鹿泉段）、槐安路（鹿泉段）、山前大道（307国道—衡井线）、京赞线（槐安路口—君乐宝路）、石铜路、君乐宝路街道两侧占道经营、户外广告、门店牌匾整治、小广告治理等市容市貌监督检查与日常管理；负责107国道（鹿泉段）绿化区域和主路面以外区域清扫保洁及垃圾清运工作；山前大道（307国道—衡井线）主路面和绿化带清扫保洁及垃圾清运工作；依据有关规定收取临时占道费（道路挖掘费）、卫生服务费。</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创造整洁、优美、文明、和谐的城市环境，提高居民生活质量</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1、对107国道（鹿泉段）、槐安路（鹿泉段）、山前大道（307国道—衡井线）、京赞线（槐安路口—君乐宝路）、石铜路、君乐宝路街道市容市貌进行管理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1931.44</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对107国道（鹿泉段）、槐安路（鹿泉段）、山前大道（307国道—衡井线）、京赞线（槐安路口—君乐宝路）、石铜路、君乐宝路街道两侧占道经营、户外广告、门店牌匾整治、小广告治理等市容市貌监督检查与日常管理；</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违章大型户外广告率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市容市貌巡查次数   </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门头牌匾完好率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2、107国道、环境卫生管理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对107国道（鹿泉段）绿化区域和主路面以外区域清扫保洁及垃圾清运工作；</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积存垃圾点数</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&gt;7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清扫保洁面积覆盖率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清扫保洁时间</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六、生活垃圾无害化管理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5060.69</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"1.负责全区生活垃圾无害化处理。</w:t>
            </w:r>
          </w:p>
          <w:p>
            <w:pPr>
              <w:spacing w:line="300" w:lineRule="exact"/>
              <w:jc w:val="left"/>
              <w:rPr>
                <w:rFonts w:hint="eastAsia" w:ascii="仿宋" w:hAnsi="仿宋" w:eastAsia="仿宋" w:cs="仿宋"/>
              </w:rPr>
            </w:pPr>
            <w:r>
              <w:rPr>
                <w:rFonts w:hint="eastAsia" w:ascii="仿宋" w:hAnsi="仿宋" w:eastAsia="仿宋" w:cs="仿宋"/>
              </w:rPr>
              <w:t>2.负责全区生活垃圾压缩站运行、管理和日常维护；具体实施城市生活垃圾处理费的征收管理工作。</w:t>
            </w:r>
          </w:p>
          <w:p>
            <w:pPr>
              <w:spacing w:line="300" w:lineRule="exact"/>
              <w:jc w:val="left"/>
              <w:rPr>
                <w:rFonts w:hint="eastAsia" w:ascii="仿宋" w:hAnsi="仿宋" w:eastAsia="仿宋" w:cs="仿宋"/>
              </w:rPr>
            </w:pPr>
            <w:r>
              <w:rPr>
                <w:rFonts w:hint="eastAsia" w:ascii="仿宋" w:hAnsi="仿宋" w:eastAsia="仿宋" w:cs="仿宋"/>
              </w:rPr>
              <w:t>3.指导各乡镇（区）做好辖村生活垃圾收集和运输工作。</w:t>
            </w:r>
          </w:p>
          <w:p>
            <w:pPr>
              <w:spacing w:line="300" w:lineRule="exact"/>
              <w:jc w:val="left"/>
              <w:rPr>
                <w:rFonts w:hint="eastAsia" w:ascii="仿宋" w:hAnsi="仿宋" w:eastAsia="仿宋" w:cs="仿宋"/>
              </w:rPr>
            </w:pPr>
            <w:r>
              <w:rPr>
                <w:rFonts w:hint="eastAsia" w:ascii="仿宋" w:hAnsi="仿宋" w:eastAsia="仿宋" w:cs="仿宋"/>
              </w:rPr>
              <w:t>4.督导各乡镇（区）及时将辖村生活垃圾运往压缩站进行无害化处理。"</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对全区生活垃圾进行无害化处理，提高全区生活垃圾无害化管理水平。</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1、全区生活垃圾无害化管理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5060.69</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"1.全区生活垃圾无害化处理。</w:t>
            </w:r>
          </w:p>
          <w:p>
            <w:pPr>
              <w:spacing w:line="300" w:lineRule="exact"/>
              <w:jc w:val="left"/>
              <w:rPr>
                <w:rFonts w:hint="eastAsia" w:ascii="仿宋" w:hAnsi="仿宋" w:eastAsia="仿宋" w:cs="仿宋"/>
              </w:rPr>
            </w:pPr>
            <w:r>
              <w:rPr>
                <w:rFonts w:hint="eastAsia" w:ascii="仿宋" w:hAnsi="仿宋" w:eastAsia="仿宋" w:cs="仿宋"/>
              </w:rPr>
              <w:t>2.全区生活垃圾压缩站运行、管理和日常维护；具体实施城市生活垃圾处理费的征收管理工作。</w:t>
            </w:r>
          </w:p>
          <w:p>
            <w:pPr>
              <w:spacing w:line="300" w:lineRule="exact"/>
              <w:jc w:val="left"/>
              <w:rPr>
                <w:rFonts w:hint="eastAsia" w:ascii="仿宋" w:hAnsi="仿宋" w:eastAsia="仿宋" w:cs="仿宋"/>
              </w:rPr>
            </w:pPr>
            <w:r>
              <w:rPr>
                <w:rFonts w:hint="eastAsia" w:ascii="仿宋" w:hAnsi="仿宋" w:eastAsia="仿宋" w:cs="仿宋"/>
              </w:rPr>
              <w:t>3.指导各乡镇（区）做好辖村生活垃圾收集和运输工作。</w:t>
            </w:r>
          </w:p>
          <w:p>
            <w:pPr>
              <w:spacing w:line="300" w:lineRule="exact"/>
              <w:jc w:val="left"/>
              <w:rPr>
                <w:rFonts w:hint="eastAsia" w:ascii="仿宋" w:hAnsi="仿宋" w:eastAsia="仿宋" w:cs="仿宋"/>
              </w:rPr>
            </w:pPr>
            <w:r>
              <w:rPr>
                <w:rFonts w:hint="eastAsia" w:ascii="仿宋" w:hAnsi="仿宋" w:eastAsia="仿宋" w:cs="仿宋"/>
              </w:rPr>
              <w:t>4.督导各乡镇（区）及时将辖村生活垃圾运往压缩站进行无害化处理。"</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对全区生活垃圾进行无害化处理，实现生活垃圾无害化处理全覆盖。</w:t>
            </w: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督导农村环卫保洁次数</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≥24</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≥15</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生活垃圾无害化处理率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垃圾压缩站设施完好度</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七、城区市容市貌的管理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1250.25</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主城区（不含开发区）主次街道沿街建筑物、构筑物及其它设施容貌管理；负责主城区（不含开发区）主次街道两侧门店牌匾、户外广告日常管理和小广告治理；负责临时占道便民市场的日常管理；配合做好“门前三包”责任制监督落实工作；依据有关规定收取临时占道费（道路挖掘费）；依法查处主城区（不含开发区）市政道路两侧私搭乱建、乱停乱放等占用城市道路及道路两侧的违规行为；依法查处取缔主城区（不含开发区）占道无照商贩、店外或专业市场外经营行为；依法查处在城市设置户外广告、各种标志、牌匾、实物造型、宣传品等违规行为。</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提高城市环境容貌，改善居民生活环境，还市民一个整洁有序的居住环境。</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1、对城区市容市貌的管理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1250.25</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1、对主城区（不含开发区）主次街道沿街建筑物、构筑物及其它设施容貌管理；2、对主城区（不含开发区）主次街道两侧门店牌匾、户外广告日常管理和小广告治理；3、对临时占道便民市场的日常管理； 4、配合做好“门前三包”责任制监督落实工作； 5、 收取临时占道费（道路挖掘费）；6、查处主城区（不含开发区）市政道路两侧私搭乱建、乱停乱放等占用城市道路及道路两侧的违规行为； 7、查处取缔主城区（不含开发区）占道无照商贩、店外或专业市场外经营行为； 8、查处在城市设置户外广告、各种标志、牌匾、实物造型、宣传品等违规行为。</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违章占道经营结案率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“门前三包”责任制签订率。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门头牌匾完好率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公益广告占有率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≤25%</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八、环境卫生管理</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1698.74</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主城区（不含开发区）主次干道（不含小街巷）、槐安路（鹿泉段）道路；负责主城区部分公厕保洁、维护等日常管理工作；负责主城区（不含开发区）垃圾收集转运站、垃圾箱、果皮箱、环卫车辆等环卫设施、设备的建设、购置、维护和管理；负责主城区（不含开发区）生活垃圾收集、清运工作；牵头负责“门前三包”责任制监督落实工作；负责按规定收取主城区（不含开发区）卫生服务费、生活垃圾处理费；依法对城区影响环境卫生的违章行为进行查处。</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对主城区（不含开发区）主次干道（不含小街巷）、槐安路（鹿泉段）街道环境卫生达到相关标准。     确保主城区（不含开发区）公厕、垃圾收集转运站、垃圾箱、果皮箱、环卫车辆等环卫设施、设备的正常运行，给居民提供优美的生活环境； 对主城区主街道商户“门前三包”责任制落实进行监督，提高商户的对环境卫生的认知度，为市民提供干净整洁的环境。收取主城区（不含开发区）卫生服务费、生活垃圾处理费提高城镇垃圾处理水平，改善城市生态环境。对城区影响环境卫生的违章行为进行查处，减少违章行为，起到抑制扬尘、污染环境的作用</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1、1、槐安路、城区道路清扫保洁 2、对公共环卫设施的购置、维修、管理    3、 “门前三包”责任制贯彻落实 4、收取主城区（不含开发区）卫生服务费、生活垃圾处理费 5、对城区影响环境卫生的违章行为进行查处</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1698.74</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1、对主城区（不含开发区）主次干道（不含小街巷）、槐安路（鹿泉段）道路清扫保洁；2、对主城区部分公厕保洁、维护等日常管理工作； 3、对主城区（不含开发区）垃圾收集转运站、垃圾箱、果皮箱、环卫车辆等环卫设施、设备的建设、购置、维护和管理；4、对主城区（不含开发区）生活垃圾收集、清运工作； 5、 “门前三包”责任制监督落实工作；6、按规定收取主城区（不含开发区）卫生服务费、生活垃圾处理费；7、依法对城区影响环境卫生的违章行为进行查处。</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城镇垃圾处理费任务完成率。       </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城区清扫保洁面积覆盖率。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 城区生活垃圾清运率。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“门前三包”责任制实施度。</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九、城市建筑垃圾管理</w:t>
            </w:r>
          </w:p>
        </w:tc>
        <w:tc>
          <w:tcPr>
            <w:tcW w:w="1276" w:type="dxa"/>
            <w:shd w:val="clear" w:color="auto" w:fill="auto"/>
            <w:noWrap w:val="0"/>
            <w:vAlign w:val="center"/>
          </w:tcPr>
          <w:p>
            <w:pPr>
              <w:spacing w:line="300" w:lineRule="exact"/>
              <w:jc w:val="left"/>
              <w:rPr>
                <w:rFonts w:hint="eastAsia" w:ascii="仿宋" w:hAnsi="仿宋" w:eastAsia="仿宋" w:cs="仿宋"/>
              </w:rPr>
            </w:pP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加强城市建筑垃圾管理，规范建筑垃圾运输、处置等行为</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1、城市建筑垃圾管理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1、制定全区建筑垃圾工程渣土处置规划和计划，并认真监督落实；    2、对全区建筑垃圾工程渣土现场勘验、核量，收取建筑垃圾处理费；  3、审核建筑垃圾运输公司及渣土车辆资质；                        4、对建筑垃圾工程渣土填埋场地的审核备案；    5、组织协调建筑垃圾工程渣土综合利用工作。</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渣土运输车辆资质占有率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建筑垃圾渣土收取率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查处违法运输、倾倒、遗撒建筑垃圾工程渣土等违章行为的次数</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4</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十、市场维护、管理及临时性执法任务</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129.61</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负责城区便民市场的规划建设，落实上级市场管理相关政策法规；负责城区便民市场市容秩序和环境卫生的执法监察；负责城东综合市场、会馆路综合市场与传统集市的日常维护管理；依据有关规定收取市场卫生服务费。配合一、二、三中队综合执法工作；负责市容、环卫、渣土等城市管理各方面临时性执法任务。</w:t>
            </w:r>
          </w:p>
          <w:p>
            <w:pPr>
              <w:spacing w:line="300" w:lineRule="exact"/>
              <w:jc w:val="left"/>
              <w:rPr>
                <w:rFonts w:hint="eastAsia" w:ascii="仿宋" w:hAnsi="仿宋" w:eastAsia="仿宋" w:cs="仿宋"/>
              </w:rPr>
            </w:pPr>
            <w:r>
              <w:rPr>
                <w:rFonts w:hint="eastAsia" w:ascii="仿宋" w:hAnsi="仿宋" w:eastAsia="仿宋" w:cs="仿宋"/>
              </w:rPr>
              <w:t>"</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城东综合市场、会馆路综合市场的生活垃圾、建筑垃圾和工程渣土的收集，为城区市民创造一个干净整洁的购物环境。组织协调督导检查市场内违章占道经营治理、在市场内露天炭火烧烤综合整治及市场内乱贴乱画小广告治理等；监督管理市场内占道户外商业活动等各类占道行为，为商户提供整洁、有序的经营环境。</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1、市场设施建设维护管理。</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127.60</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"1.城东综合市场和会馆路综合市场基础设施的建设、维护和管理 2.城东综合市场、会馆路综合市场及传统集市市场组织协调督导检查市场内违章占道经营治理、市场内露天炭火烧烤综合整治及市场内乱贴乱画小广告治理等；监督管理市场内占道户外商业活动等各类占道行为。配合一、二、三中队综合执法工作；市容、环卫、渣土等城市管理各方面临时性执法任务。            </w:t>
            </w:r>
          </w:p>
          <w:p>
            <w:pPr>
              <w:spacing w:line="300" w:lineRule="exact"/>
              <w:jc w:val="left"/>
              <w:rPr>
                <w:rFonts w:hint="eastAsia" w:ascii="仿宋" w:hAnsi="仿宋" w:eastAsia="仿宋" w:cs="仿宋"/>
              </w:rPr>
            </w:pPr>
            <w:r>
              <w:rPr>
                <w:rFonts w:hint="eastAsia" w:ascii="仿宋" w:hAnsi="仿宋" w:eastAsia="仿宋" w:cs="仿宋"/>
              </w:rPr>
              <w:t>"</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.进一步提高市场基础设施建设管理维护水平   加强市场容貌综合治理，打造规范有序的市场购物环境。          </w:t>
            </w: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市场管理巡查次数。    </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≥5</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≥3</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群众满意度</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基础设施完好率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2、市场内清扫保洁</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2.01</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对城东综合市场、会馆路综合市场生活垃圾、建筑垃圾和工程渣土进行收集、运输。</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.加强环境卫生基础设施管理，提高道路清扫保洁质量，达到市场道路干净整洁，</w:t>
            </w: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环卫设施运转情况</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正常</w:t>
            </w: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不正常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垃圾清运率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市场内清扫保洁面积覆盖率。                               </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十一、市场防汛</w:t>
            </w:r>
          </w:p>
        </w:tc>
        <w:tc>
          <w:tcPr>
            <w:tcW w:w="12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编制、修订城东综合市场、会馆路综合市场防汛应急预案；市场内防汛日常维护维修及防汛物资储备；加强防汛检查，督促、协调各商户及相关单位组建防汛队伍、储备防汛物资。</w:t>
            </w:r>
          </w:p>
        </w:tc>
        <w:tc>
          <w:tcPr>
            <w:tcW w:w="2976"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保障市场内人民群众的财产安全</w:t>
            </w:r>
          </w:p>
        </w:tc>
        <w:tc>
          <w:tcPr>
            <w:tcW w:w="1417" w:type="dxa"/>
            <w:shd w:val="clear" w:color="auto" w:fill="auto"/>
            <w:noWrap w:val="0"/>
            <w:vAlign w:val="center"/>
          </w:tcPr>
          <w:p>
            <w:pPr>
              <w:spacing w:line="300" w:lineRule="exact"/>
              <w:jc w:val="left"/>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仿宋" w:hAnsi="仿宋" w:eastAsia="仿宋" w:cs="仿宋"/>
                <w:b/>
              </w:rPr>
            </w:pPr>
            <w:r>
              <w:rPr>
                <w:rFonts w:hint="eastAsia" w:ascii="仿宋" w:hAnsi="仿宋" w:eastAsia="仿宋" w:cs="仿宋"/>
                <w:b/>
              </w:rPr>
              <w:t>　　1、市场防汛</w:t>
            </w:r>
          </w:p>
        </w:tc>
        <w:tc>
          <w:tcPr>
            <w:tcW w:w="12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5.00</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编制、修订城东综合市场、会馆路综合市场防汛应急预案；2、市场内防汛日常维护维修及防汛物资储备；3、防汛检查，督促、协调各商户及相关单位组建防汛队伍、储备防汛物资。</w:t>
            </w:r>
          </w:p>
        </w:tc>
        <w:tc>
          <w:tcPr>
            <w:tcW w:w="2976" w:type="dxa"/>
            <w:vMerge w:val="restart"/>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确保市场雨污水正常排放，路面排水设施完好，防汛物资储备充足。</w:t>
            </w: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编制、修订城东综合市场、会馆路综合市场防汛应急预案</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完成</w:t>
            </w: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防汛物资储备</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仿宋" w:hAnsi="仿宋" w:eastAsia="仿宋" w:cs="仿宋"/>
                <w:b/>
              </w:rPr>
            </w:pPr>
          </w:p>
        </w:tc>
        <w:tc>
          <w:tcPr>
            <w:tcW w:w="12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2976" w:type="dxa"/>
            <w:vMerge w:val="continue"/>
            <w:shd w:val="clear" w:color="auto" w:fill="auto"/>
            <w:noWrap w:val="0"/>
            <w:vAlign w:val="center"/>
          </w:tcPr>
          <w:p>
            <w:pPr>
              <w:spacing w:line="300" w:lineRule="exact"/>
              <w:jc w:val="left"/>
              <w:rPr>
                <w:rFonts w:hint="eastAsia" w:ascii="仿宋" w:hAnsi="仿宋" w:eastAsia="仿宋" w:cs="仿宋"/>
              </w:rPr>
            </w:pPr>
          </w:p>
        </w:tc>
        <w:tc>
          <w:tcPr>
            <w:tcW w:w="1417" w:type="dxa"/>
            <w:shd w:val="clear" w:color="auto" w:fill="auto"/>
            <w:noWrap w:val="0"/>
            <w:vAlign w:val="center"/>
          </w:tcPr>
          <w:p>
            <w:pPr>
              <w:spacing w:line="300" w:lineRule="exact"/>
              <w:jc w:val="left"/>
              <w:rPr>
                <w:rFonts w:hint="eastAsia" w:ascii="仿宋" w:hAnsi="仿宋" w:eastAsia="仿宋" w:cs="仿宋"/>
              </w:rPr>
            </w:pPr>
            <w:r>
              <w:rPr>
                <w:rFonts w:hint="eastAsia" w:ascii="仿宋" w:hAnsi="仿宋" w:eastAsia="仿宋" w:cs="仿宋"/>
              </w:rPr>
              <w:t xml:space="preserve">排水设施完好率。                </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≥90%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≥80%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c>
          <w:tcPr>
            <w:tcW w:w="737" w:type="dxa"/>
            <w:shd w:val="clear" w:color="auto" w:fill="auto"/>
            <w:noWrap w:val="0"/>
            <w:vAlign w:val="center"/>
          </w:tcPr>
          <w:p>
            <w:pPr>
              <w:spacing w:line="300" w:lineRule="exact"/>
              <w:jc w:val="center"/>
              <w:rPr>
                <w:rFonts w:hint="eastAsia" w:ascii="仿宋" w:hAnsi="仿宋" w:eastAsia="仿宋" w:cs="仿宋"/>
              </w:rPr>
            </w:pPr>
            <w:r>
              <w:rPr>
                <w:rFonts w:hint="eastAsia" w:ascii="仿宋" w:hAnsi="仿宋" w:eastAsia="仿宋" w:cs="仿宋"/>
              </w:rPr>
              <w:t>＜70%</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outlineLvl w:val="0"/>
        <w:rPr>
          <w:rFonts w:hint="eastAsia" w:ascii="仿宋" w:hAnsi="仿宋" w:eastAsia="仿宋" w:cs="仿宋"/>
          <w:sz w:val="32"/>
          <w:szCs w:val="32"/>
        </w:rPr>
      </w:pPr>
      <w:r>
        <w:rPr>
          <w:rFonts w:ascii="Times New Roman" w:hAnsi="Times New Roman" w:eastAsia="方正仿宋_GBK" w:cs="Times New Roman"/>
          <w:sz w:val="32"/>
          <w:szCs w:val="24"/>
        </w:rPr>
        <w:t xml:space="preserve">   </w:t>
      </w:r>
      <w:r>
        <w:rPr>
          <w:rFonts w:hint="eastAsia" w:ascii="仿宋" w:hAnsi="仿宋" w:eastAsia="仿宋" w:cs="仿宋"/>
          <w:sz w:val="32"/>
          <w:szCs w:val="32"/>
        </w:rPr>
        <w:t>2019年，</w:t>
      </w:r>
      <w:r>
        <w:rPr>
          <w:rFonts w:hint="eastAsia" w:ascii="仿宋" w:hAnsi="仿宋" w:eastAsia="仿宋" w:cs="仿宋"/>
          <w:sz w:val="32"/>
          <w:szCs w:val="32"/>
          <w:lang w:val="en-US" w:eastAsia="zh-CN"/>
        </w:rPr>
        <w:t>鹿泉区城市管理综合执法大队</w:t>
      </w:r>
      <w:r>
        <w:rPr>
          <w:rFonts w:hint="eastAsia" w:ascii="仿宋" w:hAnsi="仿宋" w:eastAsia="仿宋" w:cs="仿宋"/>
          <w:sz w:val="32"/>
          <w:szCs w:val="32"/>
        </w:rPr>
        <w:t>安排政府采购预算</w:t>
      </w:r>
      <w:r>
        <w:rPr>
          <w:rFonts w:hint="eastAsia" w:ascii="仿宋" w:hAnsi="仿宋" w:eastAsia="仿宋" w:cs="仿宋"/>
          <w:sz w:val="32"/>
          <w:szCs w:val="32"/>
          <w:lang w:val="en-US" w:eastAsia="zh-CN"/>
        </w:rPr>
        <w:t>5235.63</w:t>
      </w:r>
      <w:r>
        <w:rPr>
          <w:rFonts w:hint="eastAsia" w:ascii="仿宋" w:hAnsi="仿宋" w:eastAsia="仿宋" w:cs="仿宋"/>
          <w:sz w:val="32"/>
          <w:szCs w:val="32"/>
        </w:rPr>
        <w:t>万元。具体内容见下表。</w:t>
      </w:r>
    </w:p>
    <w:p>
      <w:pPr>
        <w:spacing w:line="300" w:lineRule="exact"/>
        <w:jc w:val="left"/>
        <w:outlineLvl w:val="0"/>
      </w:pPr>
    </w:p>
    <w:p>
      <w:pPr>
        <w:spacing w:line="300" w:lineRule="exact"/>
        <w:jc w:val="left"/>
        <w:outlineLvl w:val="0"/>
      </w:pPr>
    </w:p>
    <w:p>
      <w:pPr>
        <w:jc w:val="center"/>
        <w:outlineLvl w:val="0"/>
        <w:rPr>
          <w:rFonts w:hint="eastAsia" w:ascii="方正小标宋_GBK" w:eastAsia="方正小标宋_GBK"/>
          <w:sz w:val="32"/>
        </w:rPr>
      </w:pPr>
      <w:bookmarkStart w:id="2" w:name="_Toc2349366"/>
      <w:r>
        <w:rPr>
          <w:rFonts w:hint="eastAsia" w:ascii="方正小标宋_GBK" w:eastAsia="方正小标宋_GBK"/>
          <w:sz w:val="32"/>
        </w:rPr>
        <w:t>部门政府采购预算</w:t>
      </w:r>
      <w:bookmarkEnd w:id="2"/>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24"/>
        <w:gridCol w:w="1075"/>
        <w:gridCol w:w="950"/>
        <w:gridCol w:w="1161"/>
        <w:gridCol w:w="737"/>
        <w:gridCol w:w="737"/>
        <w:gridCol w:w="951"/>
        <w:gridCol w:w="957"/>
        <w:gridCol w:w="957"/>
        <w:gridCol w:w="900"/>
        <w:gridCol w:w="957"/>
        <w:gridCol w:w="922"/>
        <w:gridCol w:w="941"/>
        <w:gridCol w:w="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035"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565</w:t>
            </w:r>
            <w:r>
              <w:rPr>
                <w:rFonts w:hint="eastAsia" w:ascii="方正小标宋_GBK" w:eastAsia="方正小标宋_GBK"/>
                <w:sz w:val="24"/>
              </w:rPr>
              <w:t>鹿泉区城市管理综合执法大队</w:t>
            </w:r>
          </w:p>
        </w:tc>
        <w:tc>
          <w:tcPr>
            <w:tcW w:w="6533" w:type="dxa"/>
            <w:gridSpan w:val="7"/>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99"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50"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6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3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3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5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533" w:type="dxa"/>
            <w:gridSpan w:val="7"/>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2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75"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50" w:type="dxa"/>
            <w:vMerge w:val="continue"/>
            <w:shd w:val="clear" w:color="auto" w:fill="auto"/>
            <w:noWrap w:val="0"/>
            <w:vAlign w:val="center"/>
          </w:tcPr>
          <w:p>
            <w:pPr>
              <w:spacing w:line="300" w:lineRule="exact"/>
              <w:jc w:val="left"/>
              <w:outlineLvl w:val="0"/>
            </w:pPr>
          </w:p>
        </w:tc>
        <w:tc>
          <w:tcPr>
            <w:tcW w:w="1161" w:type="dxa"/>
            <w:vMerge w:val="continue"/>
            <w:shd w:val="clear" w:color="auto" w:fill="auto"/>
            <w:noWrap w:val="0"/>
            <w:vAlign w:val="center"/>
          </w:tcPr>
          <w:p>
            <w:pPr>
              <w:spacing w:line="300" w:lineRule="exact"/>
              <w:jc w:val="left"/>
              <w:outlineLvl w:val="0"/>
            </w:pPr>
          </w:p>
        </w:tc>
        <w:tc>
          <w:tcPr>
            <w:tcW w:w="737" w:type="dxa"/>
            <w:vMerge w:val="continue"/>
            <w:shd w:val="clear" w:color="auto" w:fill="auto"/>
            <w:noWrap w:val="0"/>
            <w:vAlign w:val="center"/>
          </w:tcPr>
          <w:p>
            <w:pPr>
              <w:spacing w:line="300" w:lineRule="exact"/>
              <w:jc w:val="left"/>
              <w:outlineLvl w:val="0"/>
            </w:pPr>
          </w:p>
        </w:tc>
        <w:tc>
          <w:tcPr>
            <w:tcW w:w="737" w:type="dxa"/>
            <w:vMerge w:val="continue"/>
            <w:shd w:val="clear" w:color="auto" w:fill="auto"/>
            <w:noWrap w:val="0"/>
            <w:vAlign w:val="center"/>
          </w:tcPr>
          <w:p>
            <w:pPr>
              <w:spacing w:line="300" w:lineRule="exact"/>
              <w:jc w:val="left"/>
              <w:outlineLvl w:val="0"/>
            </w:pPr>
          </w:p>
        </w:tc>
        <w:tc>
          <w:tcPr>
            <w:tcW w:w="951" w:type="dxa"/>
            <w:vMerge w:val="continue"/>
            <w:shd w:val="clear" w:color="auto" w:fill="auto"/>
            <w:noWrap w:val="0"/>
            <w:vAlign w:val="center"/>
          </w:tcPr>
          <w:p>
            <w:pPr>
              <w:spacing w:line="300" w:lineRule="exact"/>
              <w:jc w:val="left"/>
              <w:outlineLvl w:val="0"/>
            </w:pPr>
          </w:p>
        </w:tc>
        <w:tc>
          <w:tcPr>
            <w:tcW w:w="95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677" w:type="dxa"/>
            <w:gridSpan w:val="5"/>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9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24" w:type="dxa"/>
            <w:vMerge w:val="continue"/>
            <w:shd w:val="clear" w:color="auto" w:fill="auto"/>
            <w:noWrap w:val="0"/>
            <w:vAlign w:val="center"/>
          </w:tcPr>
          <w:p>
            <w:pPr>
              <w:spacing w:line="300" w:lineRule="exact"/>
              <w:jc w:val="left"/>
              <w:outlineLvl w:val="0"/>
            </w:pPr>
          </w:p>
        </w:tc>
        <w:tc>
          <w:tcPr>
            <w:tcW w:w="1075" w:type="dxa"/>
            <w:vMerge w:val="continue"/>
            <w:shd w:val="clear" w:color="auto" w:fill="auto"/>
            <w:noWrap w:val="0"/>
            <w:vAlign w:val="center"/>
          </w:tcPr>
          <w:p>
            <w:pPr>
              <w:spacing w:line="300" w:lineRule="exact"/>
              <w:jc w:val="left"/>
              <w:outlineLvl w:val="0"/>
            </w:pPr>
          </w:p>
        </w:tc>
        <w:tc>
          <w:tcPr>
            <w:tcW w:w="950" w:type="dxa"/>
            <w:vMerge w:val="continue"/>
            <w:shd w:val="clear" w:color="auto" w:fill="auto"/>
            <w:noWrap w:val="0"/>
            <w:vAlign w:val="center"/>
          </w:tcPr>
          <w:p>
            <w:pPr>
              <w:spacing w:line="300" w:lineRule="exact"/>
              <w:jc w:val="left"/>
              <w:outlineLvl w:val="0"/>
            </w:pPr>
          </w:p>
        </w:tc>
        <w:tc>
          <w:tcPr>
            <w:tcW w:w="1161" w:type="dxa"/>
            <w:vMerge w:val="continue"/>
            <w:shd w:val="clear" w:color="auto" w:fill="auto"/>
            <w:noWrap w:val="0"/>
            <w:vAlign w:val="center"/>
          </w:tcPr>
          <w:p>
            <w:pPr>
              <w:spacing w:line="300" w:lineRule="exact"/>
              <w:jc w:val="left"/>
              <w:outlineLvl w:val="0"/>
            </w:pPr>
          </w:p>
        </w:tc>
        <w:tc>
          <w:tcPr>
            <w:tcW w:w="737" w:type="dxa"/>
            <w:vMerge w:val="continue"/>
            <w:shd w:val="clear" w:color="auto" w:fill="auto"/>
            <w:noWrap w:val="0"/>
            <w:vAlign w:val="center"/>
          </w:tcPr>
          <w:p>
            <w:pPr>
              <w:spacing w:line="300" w:lineRule="exact"/>
              <w:jc w:val="left"/>
              <w:outlineLvl w:val="0"/>
            </w:pPr>
          </w:p>
        </w:tc>
        <w:tc>
          <w:tcPr>
            <w:tcW w:w="737" w:type="dxa"/>
            <w:vMerge w:val="continue"/>
            <w:shd w:val="clear" w:color="auto" w:fill="auto"/>
            <w:noWrap w:val="0"/>
            <w:vAlign w:val="center"/>
          </w:tcPr>
          <w:p>
            <w:pPr>
              <w:spacing w:line="300" w:lineRule="exact"/>
              <w:jc w:val="left"/>
              <w:outlineLvl w:val="0"/>
            </w:pPr>
          </w:p>
        </w:tc>
        <w:tc>
          <w:tcPr>
            <w:tcW w:w="951" w:type="dxa"/>
            <w:vMerge w:val="continue"/>
            <w:shd w:val="clear" w:color="auto" w:fill="auto"/>
            <w:noWrap w:val="0"/>
            <w:vAlign w:val="center"/>
          </w:tcPr>
          <w:p>
            <w:pPr>
              <w:spacing w:line="300" w:lineRule="exact"/>
              <w:jc w:val="left"/>
              <w:outlineLvl w:val="0"/>
            </w:pPr>
          </w:p>
        </w:tc>
        <w:tc>
          <w:tcPr>
            <w:tcW w:w="957" w:type="dxa"/>
            <w:vMerge w:val="continue"/>
            <w:shd w:val="clear" w:color="auto" w:fill="auto"/>
            <w:noWrap w:val="0"/>
            <w:vAlign w:val="center"/>
          </w:tcPr>
          <w:p>
            <w:pPr>
              <w:spacing w:line="300" w:lineRule="exact"/>
              <w:jc w:val="left"/>
              <w:outlineLvl w:val="0"/>
            </w:pPr>
          </w:p>
        </w:tc>
        <w:tc>
          <w:tcPr>
            <w:tcW w:w="95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0"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5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22"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4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99" w:type="dxa"/>
            <w:vMerge w:val="continue"/>
            <w:shd w:val="clear" w:color="auto" w:fill="auto"/>
            <w:noWrap w:val="0"/>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75" w:type="dxa"/>
            <w:shd w:val="clear" w:color="auto" w:fill="auto"/>
            <w:noWrap w:val="0"/>
            <w:vAlign w:val="center"/>
          </w:tcPr>
          <w:p>
            <w:pPr>
              <w:spacing w:line="300" w:lineRule="exact"/>
              <w:jc w:val="right"/>
              <w:rPr>
                <w:rFonts w:ascii="方正书宋_GBK" w:eastAsia="方正书宋_GBK"/>
                <w:b/>
              </w:rPr>
            </w:pPr>
          </w:p>
        </w:tc>
        <w:tc>
          <w:tcPr>
            <w:tcW w:w="950" w:type="dxa"/>
            <w:shd w:val="clear" w:color="auto" w:fill="auto"/>
            <w:noWrap w:val="0"/>
            <w:vAlign w:val="center"/>
          </w:tcPr>
          <w:p>
            <w:pPr>
              <w:spacing w:line="300" w:lineRule="exact"/>
              <w:jc w:val="left"/>
              <w:rPr>
                <w:rFonts w:ascii="方正书宋_GBK" w:eastAsia="方正书宋_GBK"/>
                <w:b/>
              </w:rPr>
            </w:pPr>
          </w:p>
        </w:tc>
        <w:tc>
          <w:tcPr>
            <w:tcW w:w="1161"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right"/>
              <w:rPr>
                <w:rFonts w:ascii="方正书宋_GBK" w:eastAsia="方正书宋_GBK"/>
                <w:b/>
              </w:rPr>
            </w:pPr>
          </w:p>
        </w:tc>
        <w:tc>
          <w:tcPr>
            <w:tcW w:w="951"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5235.63</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5235.63</w:t>
            </w:r>
          </w:p>
        </w:tc>
        <w:tc>
          <w:tcPr>
            <w:tcW w:w="900"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40.00</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5195.63</w:t>
            </w:r>
          </w:p>
        </w:tc>
        <w:tc>
          <w:tcPr>
            <w:tcW w:w="922" w:type="dxa"/>
            <w:shd w:val="clear" w:color="auto" w:fill="auto"/>
            <w:noWrap w:val="0"/>
            <w:vAlign w:val="center"/>
          </w:tcPr>
          <w:p>
            <w:pPr>
              <w:spacing w:line="300" w:lineRule="exact"/>
              <w:jc w:val="right"/>
              <w:rPr>
                <w:rFonts w:ascii="方正书宋_GBK" w:eastAsia="方正书宋_GBK"/>
                <w:b/>
              </w:rPr>
            </w:pPr>
          </w:p>
        </w:tc>
        <w:tc>
          <w:tcPr>
            <w:tcW w:w="941" w:type="dxa"/>
            <w:shd w:val="clear" w:color="auto" w:fill="auto"/>
            <w:noWrap w:val="0"/>
            <w:vAlign w:val="center"/>
          </w:tcPr>
          <w:p>
            <w:pPr>
              <w:spacing w:line="300" w:lineRule="exact"/>
              <w:jc w:val="right"/>
              <w:rPr>
                <w:rFonts w:ascii="方正书宋_GBK" w:eastAsia="方正书宋_GBK"/>
                <w:b/>
              </w:rPr>
            </w:pPr>
          </w:p>
        </w:tc>
        <w:tc>
          <w:tcPr>
            <w:tcW w:w="899"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鹿泉区城市管理综合执法大队小计</w:t>
            </w:r>
          </w:p>
        </w:tc>
        <w:tc>
          <w:tcPr>
            <w:tcW w:w="1075" w:type="dxa"/>
            <w:shd w:val="clear" w:color="auto" w:fill="auto"/>
            <w:noWrap w:val="0"/>
            <w:vAlign w:val="center"/>
          </w:tcPr>
          <w:p>
            <w:pPr>
              <w:spacing w:line="300" w:lineRule="exact"/>
              <w:jc w:val="right"/>
              <w:rPr>
                <w:rFonts w:ascii="方正书宋_GBK" w:eastAsia="方正书宋_GBK"/>
                <w:b/>
              </w:rPr>
            </w:pPr>
          </w:p>
        </w:tc>
        <w:tc>
          <w:tcPr>
            <w:tcW w:w="950" w:type="dxa"/>
            <w:shd w:val="clear" w:color="auto" w:fill="auto"/>
            <w:noWrap w:val="0"/>
            <w:vAlign w:val="center"/>
          </w:tcPr>
          <w:p>
            <w:pPr>
              <w:spacing w:line="300" w:lineRule="exact"/>
              <w:jc w:val="left"/>
              <w:rPr>
                <w:rFonts w:ascii="方正书宋_GBK" w:eastAsia="方正书宋_GBK"/>
                <w:b/>
              </w:rPr>
            </w:pPr>
          </w:p>
        </w:tc>
        <w:tc>
          <w:tcPr>
            <w:tcW w:w="1161"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right"/>
              <w:rPr>
                <w:rFonts w:ascii="方正书宋_GBK" w:eastAsia="方正书宋_GBK"/>
                <w:b/>
              </w:rPr>
            </w:pPr>
          </w:p>
        </w:tc>
        <w:tc>
          <w:tcPr>
            <w:tcW w:w="951"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1272.57</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1272.57</w:t>
            </w:r>
          </w:p>
        </w:tc>
        <w:tc>
          <w:tcPr>
            <w:tcW w:w="900"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1272.57</w:t>
            </w:r>
          </w:p>
        </w:tc>
        <w:tc>
          <w:tcPr>
            <w:tcW w:w="922" w:type="dxa"/>
            <w:shd w:val="clear" w:color="auto" w:fill="auto"/>
            <w:noWrap w:val="0"/>
            <w:vAlign w:val="center"/>
          </w:tcPr>
          <w:p>
            <w:pPr>
              <w:spacing w:line="300" w:lineRule="exact"/>
              <w:jc w:val="right"/>
              <w:rPr>
                <w:rFonts w:ascii="方正书宋_GBK" w:eastAsia="方正书宋_GBK"/>
                <w:b/>
              </w:rPr>
            </w:pPr>
          </w:p>
        </w:tc>
        <w:tc>
          <w:tcPr>
            <w:tcW w:w="941" w:type="dxa"/>
            <w:shd w:val="clear" w:color="auto" w:fill="auto"/>
            <w:noWrap w:val="0"/>
            <w:vAlign w:val="center"/>
          </w:tcPr>
          <w:p>
            <w:pPr>
              <w:spacing w:line="300" w:lineRule="exact"/>
              <w:jc w:val="right"/>
              <w:rPr>
                <w:rFonts w:ascii="方正书宋_GBK" w:eastAsia="方正书宋_GBK"/>
                <w:b/>
              </w:rPr>
            </w:pPr>
          </w:p>
        </w:tc>
        <w:tc>
          <w:tcPr>
            <w:tcW w:w="899"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山前大道、京赞线、南二环西延、槐安路及会场、观摩点增加立体花坛、花卉绿植工程</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384.00</w:t>
            </w:r>
          </w:p>
        </w:tc>
        <w:tc>
          <w:tcPr>
            <w:tcW w:w="950"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园林绿化工程施工</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B021502</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384.00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384.00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384.00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384.00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南二环西延山体绿化、山前大道桥体挂设花箱工程</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520.00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园林绿化工程施工</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B021502</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520.00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520.00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520.00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520.00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设置亮化夜景小品工程</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88.00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公共设施施工</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B0215</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88.00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88.00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88.00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88.00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双创工作容貌提升相关费用</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46.20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城镇公共卫生服务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C1601</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46.20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46.20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46.20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46.20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城市管护费</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234.37</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C99</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234.37</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234.37</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234.37</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234.37</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石家庄市鹿泉区环境卫生管理处小计</w:t>
            </w:r>
          </w:p>
        </w:tc>
        <w:tc>
          <w:tcPr>
            <w:tcW w:w="1075" w:type="dxa"/>
            <w:shd w:val="clear" w:color="auto" w:fill="auto"/>
            <w:noWrap w:val="0"/>
            <w:vAlign w:val="center"/>
          </w:tcPr>
          <w:p>
            <w:pPr>
              <w:spacing w:line="300" w:lineRule="exact"/>
              <w:jc w:val="right"/>
              <w:rPr>
                <w:rFonts w:ascii="方正书宋_GBK" w:eastAsia="方正书宋_GBK"/>
                <w:b/>
              </w:rPr>
            </w:pPr>
          </w:p>
        </w:tc>
        <w:tc>
          <w:tcPr>
            <w:tcW w:w="950" w:type="dxa"/>
            <w:shd w:val="clear" w:color="auto" w:fill="auto"/>
            <w:noWrap w:val="0"/>
            <w:vAlign w:val="center"/>
          </w:tcPr>
          <w:p>
            <w:pPr>
              <w:spacing w:line="300" w:lineRule="exact"/>
              <w:jc w:val="left"/>
              <w:rPr>
                <w:rFonts w:hint="eastAsia" w:ascii="方正书宋_GBK" w:eastAsia="方正书宋_GBK"/>
                <w:b/>
              </w:rPr>
            </w:pPr>
          </w:p>
        </w:tc>
        <w:tc>
          <w:tcPr>
            <w:tcW w:w="1161"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right"/>
              <w:rPr>
                <w:rFonts w:ascii="方正书宋_GBK" w:eastAsia="方正书宋_GBK"/>
                <w:b/>
              </w:rPr>
            </w:pPr>
          </w:p>
        </w:tc>
        <w:tc>
          <w:tcPr>
            <w:tcW w:w="951"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920.00</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920.00</w:t>
            </w:r>
          </w:p>
        </w:tc>
        <w:tc>
          <w:tcPr>
            <w:tcW w:w="900"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40.00</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880.00</w:t>
            </w:r>
          </w:p>
        </w:tc>
        <w:tc>
          <w:tcPr>
            <w:tcW w:w="922" w:type="dxa"/>
            <w:shd w:val="clear" w:color="auto" w:fill="auto"/>
            <w:noWrap w:val="0"/>
            <w:vAlign w:val="center"/>
          </w:tcPr>
          <w:p>
            <w:pPr>
              <w:spacing w:line="300" w:lineRule="exact"/>
              <w:jc w:val="right"/>
              <w:rPr>
                <w:rFonts w:ascii="方正书宋_GBK" w:eastAsia="方正书宋_GBK"/>
                <w:b/>
              </w:rPr>
            </w:pPr>
          </w:p>
        </w:tc>
        <w:tc>
          <w:tcPr>
            <w:tcW w:w="941" w:type="dxa"/>
            <w:shd w:val="clear" w:color="auto" w:fill="auto"/>
            <w:noWrap w:val="0"/>
            <w:vAlign w:val="center"/>
          </w:tcPr>
          <w:p>
            <w:pPr>
              <w:spacing w:line="300" w:lineRule="exact"/>
              <w:jc w:val="right"/>
              <w:rPr>
                <w:rFonts w:ascii="方正书宋_GBK" w:eastAsia="方正书宋_GBK"/>
                <w:b/>
              </w:rPr>
            </w:pPr>
          </w:p>
        </w:tc>
        <w:tc>
          <w:tcPr>
            <w:tcW w:w="899"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智能垃圾分类系统</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500.00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城市市容管理服务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C1304</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500.00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500.00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500.00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500.00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旅游综合服务站建设</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公共设施施工</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B0215</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餐厨垃圾运行费用</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城市市容管理服务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C1304</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购置洗扫车水、污分离处置设备</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环境污染防治设备</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A0324</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200.00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清扫工人购置服装款</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城市市容管理服务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C1304</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40.00</w:t>
            </w:r>
          </w:p>
        </w:tc>
        <w:tc>
          <w:tcPr>
            <w:tcW w:w="900"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40.00</w:t>
            </w:r>
          </w:p>
        </w:tc>
        <w:tc>
          <w:tcPr>
            <w:tcW w:w="957" w:type="dxa"/>
            <w:shd w:val="clear" w:color="auto" w:fill="auto"/>
            <w:noWrap w:val="0"/>
            <w:vAlign w:val="center"/>
          </w:tcPr>
          <w:p>
            <w:pPr>
              <w:spacing w:line="300" w:lineRule="exact"/>
              <w:jc w:val="right"/>
              <w:rPr>
                <w:rFonts w:ascii="方正书宋_GBK" w:eastAsia="方正书宋_GBK"/>
              </w:rPr>
            </w:pP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石家庄市鹿泉区市场管理处小计</w:t>
            </w:r>
          </w:p>
        </w:tc>
        <w:tc>
          <w:tcPr>
            <w:tcW w:w="1075" w:type="dxa"/>
            <w:shd w:val="clear" w:color="auto" w:fill="auto"/>
            <w:noWrap w:val="0"/>
            <w:vAlign w:val="center"/>
          </w:tcPr>
          <w:p>
            <w:pPr>
              <w:spacing w:line="300" w:lineRule="exact"/>
              <w:jc w:val="right"/>
              <w:rPr>
                <w:rFonts w:ascii="方正书宋_GBK" w:eastAsia="方正书宋_GBK"/>
                <w:b/>
              </w:rPr>
            </w:pPr>
          </w:p>
        </w:tc>
        <w:tc>
          <w:tcPr>
            <w:tcW w:w="950" w:type="dxa"/>
            <w:shd w:val="clear" w:color="auto" w:fill="auto"/>
            <w:noWrap w:val="0"/>
            <w:vAlign w:val="center"/>
          </w:tcPr>
          <w:p>
            <w:pPr>
              <w:spacing w:line="300" w:lineRule="exact"/>
              <w:jc w:val="left"/>
              <w:rPr>
                <w:rFonts w:hint="eastAsia" w:ascii="方正书宋_GBK" w:eastAsia="方正书宋_GBK"/>
                <w:b/>
              </w:rPr>
            </w:pPr>
          </w:p>
        </w:tc>
        <w:tc>
          <w:tcPr>
            <w:tcW w:w="1161"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right"/>
              <w:rPr>
                <w:rFonts w:ascii="方正书宋_GBK" w:eastAsia="方正书宋_GBK"/>
                <w:b/>
              </w:rPr>
            </w:pPr>
          </w:p>
        </w:tc>
        <w:tc>
          <w:tcPr>
            <w:tcW w:w="951"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97.56</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97.56</w:t>
            </w:r>
          </w:p>
        </w:tc>
        <w:tc>
          <w:tcPr>
            <w:tcW w:w="900"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97.56</w:t>
            </w:r>
          </w:p>
        </w:tc>
        <w:tc>
          <w:tcPr>
            <w:tcW w:w="922" w:type="dxa"/>
            <w:shd w:val="clear" w:color="auto" w:fill="auto"/>
            <w:noWrap w:val="0"/>
            <w:vAlign w:val="center"/>
          </w:tcPr>
          <w:p>
            <w:pPr>
              <w:spacing w:line="300" w:lineRule="exact"/>
              <w:jc w:val="right"/>
              <w:rPr>
                <w:rFonts w:ascii="方正书宋_GBK" w:eastAsia="方正书宋_GBK"/>
                <w:b/>
              </w:rPr>
            </w:pPr>
          </w:p>
        </w:tc>
        <w:tc>
          <w:tcPr>
            <w:tcW w:w="941" w:type="dxa"/>
            <w:shd w:val="clear" w:color="auto" w:fill="auto"/>
            <w:noWrap w:val="0"/>
            <w:vAlign w:val="center"/>
          </w:tcPr>
          <w:p>
            <w:pPr>
              <w:spacing w:line="300" w:lineRule="exact"/>
              <w:jc w:val="right"/>
              <w:rPr>
                <w:rFonts w:ascii="方正书宋_GBK" w:eastAsia="方正书宋_GBK"/>
                <w:b/>
              </w:rPr>
            </w:pPr>
          </w:p>
        </w:tc>
        <w:tc>
          <w:tcPr>
            <w:tcW w:w="899"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传统集市迁移工程</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151.56</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公共设施施工</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B0215</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97.56</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97.56</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97.56</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97.56</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center"/>
              <w:rPr>
                <w:rFonts w:hint="eastAsia" w:ascii="方正书宋_GBK" w:eastAsia="方正书宋_GBK"/>
                <w:b/>
              </w:rPr>
            </w:pPr>
            <w:r>
              <w:rPr>
                <w:rFonts w:hint="eastAsia" w:ascii="方正书宋_GBK" w:eastAsia="方正书宋_GBK"/>
                <w:b/>
              </w:rPr>
              <w:t>石家庄市鹿泉区城乡卫生管理处小计</w:t>
            </w:r>
          </w:p>
        </w:tc>
        <w:tc>
          <w:tcPr>
            <w:tcW w:w="1075" w:type="dxa"/>
            <w:shd w:val="clear" w:color="auto" w:fill="auto"/>
            <w:noWrap w:val="0"/>
            <w:vAlign w:val="center"/>
          </w:tcPr>
          <w:p>
            <w:pPr>
              <w:spacing w:line="300" w:lineRule="exact"/>
              <w:jc w:val="right"/>
              <w:rPr>
                <w:rFonts w:ascii="方正书宋_GBK" w:eastAsia="方正书宋_GBK"/>
                <w:b/>
              </w:rPr>
            </w:pPr>
          </w:p>
        </w:tc>
        <w:tc>
          <w:tcPr>
            <w:tcW w:w="950" w:type="dxa"/>
            <w:shd w:val="clear" w:color="auto" w:fill="auto"/>
            <w:noWrap w:val="0"/>
            <w:vAlign w:val="center"/>
          </w:tcPr>
          <w:p>
            <w:pPr>
              <w:spacing w:line="300" w:lineRule="exact"/>
              <w:jc w:val="left"/>
              <w:rPr>
                <w:rFonts w:hint="eastAsia" w:ascii="方正书宋_GBK" w:eastAsia="方正书宋_GBK"/>
                <w:b/>
              </w:rPr>
            </w:pPr>
          </w:p>
        </w:tc>
        <w:tc>
          <w:tcPr>
            <w:tcW w:w="1161"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left"/>
              <w:rPr>
                <w:rFonts w:ascii="方正书宋_GBK" w:eastAsia="方正书宋_GBK"/>
                <w:b/>
              </w:rPr>
            </w:pPr>
          </w:p>
        </w:tc>
        <w:tc>
          <w:tcPr>
            <w:tcW w:w="737" w:type="dxa"/>
            <w:shd w:val="clear" w:color="auto" w:fill="auto"/>
            <w:noWrap w:val="0"/>
            <w:vAlign w:val="center"/>
          </w:tcPr>
          <w:p>
            <w:pPr>
              <w:spacing w:line="300" w:lineRule="exact"/>
              <w:jc w:val="right"/>
              <w:rPr>
                <w:rFonts w:ascii="方正书宋_GBK" w:eastAsia="方正书宋_GBK"/>
                <w:b/>
              </w:rPr>
            </w:pPr>
          </w:p>
        </w:tc>
        <w:tc>
          <w:tcPr>
            <w:tcW w:w="951"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2945.50</w:t>
            </w: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2945.50</w:t>
            </w:r>
          </w:p>
        </w:tc>
        <w:tc>
          <w:tcPr>
            <w:tcW w:w="900" w:type="dxa"/>
            <w:shd w:val="clear" w:color="auto" w:fill="auto"/>
            <w:noWrap w:val="0"/>
            <w:vAlign w:val="center"/>
          </w:tcPr>
          <w:p>
            <w:pPr>
              <w:spacing w:line="300" w:lineRule="exact"/>
              <w:jc w:val="right"/>
              <w:rPr>
                <w:rFonts w:ascii="方正书宋_GBK" w:eastAsia="方正书宋_GBK"/>
                <w:b/>
              </w:rPr>
            </w:pPr>
          </w:p>
        </w:tc>
        <w:tc>
          <w:tcPr>
            <w:tcW w:w="957" w:type="dxa"/>
            <w:shd w:val="clear" w:color="auto" w:fill="auto"/>
            <w:noWrap w:val="0"/>
            <w:vAlign w:val="center"/>
          </w:tcPr>
          <w:p>
            <w:pPr>
              <w:spacing w:line="300" w:lineRule="exact"/>
              <w:jc w:val="right"/>
              <w:rPr>
                <w:rFonts w:ascii="方正书宋_GBK" w:eastAsia="方正书宋_GBK"/>
                <w:b/>
              </w:rPr>
            </w:pPr>
            <w:r>
              <w:rPr>
                <w:rFonts w:ascii="方正书宋_GBK" w:eastAsia="方正书宋_GBK"/>
                <w:b/>
              </w:rPr>
              <w:t>2945.50</w:t>
            </w:r>
          </w:p>
        </w:tc>
        <w:tc>
          <w:tcPr>
            <w:tcW w:w="922" w:type="dxa"/>
            <w:shd w:val="clear" w:color="auto" w:fill="auto"/>
            <w:noWrap w:val="0"/>
            <w:vAlign w:val="center"/>
          </w:tcPr>
          <w:p>
            <w:pPr>
              <w:spacing w:line="300" w:lineRule="exact"/>
              <w:jc w:val="right"/>
              <w:rPr>
                <w:rFonts w:ascii="方正书宋_GBK" w:eastAsia="方正书宋_GBK"/>
                <w:b/>
              </w:rPr>
            </w:pPr>
          </w:p>
        </w:tc>
        <w:tc>
          <w:tcPr>
            <w:tcW w:w="941" w:type="dxa"/>
            <w:shd w:val="clear" w:color="auto" w:fill="auto"/>
            <w:noWrap w:val="0"/>
            <w:vAlign w:val="center"/>
          </w:tcPr>
          <w:p>
            <w:pPr>
              <w:spacing w:line="300" w:lineRule="exact"/>
              <w:jc w:val="right"/>
              <w:rPr>
                <w:rFonts w:ascii="方正书宋_GBK" w:eastAsia="方正书宋_GBK"/>
                <w:b/>
              </w:rPr>
            </w:pPr>
          </w:p>
        </w:tc>
        <w:tc>
          <w:tcPr>
            <w:tcW w:w="899" w:type="dxa"/>
            <w:shd w:val="clear" w:color="auto" w:fill="auto"/>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农村生活垃圾清理资金</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2550.50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C99</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2550.50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2550.50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2550.50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2550.50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购置农村生活垃圾移动压缩箱</w:t>
            </w:r>
            <w:r>
              <w:rPr>
                <w:rFonts w:ascii="方正书宋_GBK" w:eastAsia="方正书宋_GBK"/>
              </w:rPr>
              <w:t>3</w:t>
            </w:r>
            <w:r>
              <w:rPr>
                <w:rFonts w:hint="eastAsia" w:ascii="方正书宋_GBK" w:eastAsia="方正书宋_GBK"/>
              </w:rPr>
              <w:t>个</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75.00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垃圾容器</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A9901</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75.00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75.00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75.00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75.00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购置移动式厕所车</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140.00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其他专用汽车</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A02030799</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140.00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140.00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140.00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140.00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购置清运车</w:t>
            </w:r>
            <w:r>
              <w:rPr>
                <w:rFonts w:ascii="方正书宋_GBK" w:eastAsia="方正书宋_GBK"/>
              </w:rPr>
              <w:t>1</w:t>
            </w:r>
            <w:r>
              <w:rPr>
                <w:rFonts w:hint="eastAsia" w:ascii="方正书宋_GBK" w:eastAsia="方正书宋_GBK"/>
              </w:rPr>
              <w:t>辆、垃圾箱</w:t>
            </w:r>
            <w:r>
              <w:rPr>
                <w:rFonts w:ascii="方正书宋_GBK" w:eastAsia="方正书宋_GBK"/>
              </w:rPr>
              <w:t>4</w:t>
            </w:r>
            <w:r>
              <w:rPr>
                <w:rFonts w:hint="eastAsia" w:ascii="方正书宋_GBK" w:eastAsia="方正书宋_GBK"/>
              </w:rPr>
              <w:t>个</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其他专用汽车</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A02030799</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80.00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2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农村生活垃圾应急处置费</w:t>
            </w:r>
          </w:p>
        </w:tc>
        <w:tc>
          <w:tcPr>
            <w:tcW w:w="1075"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950"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其他服务</w:t>
            </w:r>
          </w:p>
        </w:tc>
        <w:tc>
          <w:tcPr>
            <w:tcW w:w="116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C99</w:t>
            </w:r>
          </w:p>
        </w:tc>
        <w:tc>
          <w:tcPr>
            <w:tcW w:w="73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w:t>
            </w:r>
          </w:p>
        </w:tc>
        <w:tc>
          <w:tcPr>
            <w:tcW w:w="951"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900" w:type="dxa"/>
            <w:shd w:val="clear" w:color="auto" w:fill="auto"/>
            <w:noWrap w:val="0"/>
            <w:vAlign w:val="center"/>
          </w:tcPr>
          <w:p>
            <w:pPr>
              <w:spacing w:line="300" w:lineRule="exact"/>
              <w:jc w:val="right"/>
              <w:rPr>
                <w:rFonts w:ascii="方正书宋_GBK" w:eastAsia="方正书宋_GBK"/>
              </w:rPr>
            </w:pPr>
          </w:p>
        </w:tc>
        <w:tc>
          <w:tcPr>
            <w:tcW w:w="957" w:type="dxa"/>
            <w:shd w:val="clear" w:color="auto" w:fill="auto"/>
            <w:noWrap w:val="0"/>
            <w:vAlign w:val="center"/>
          </w:tcPr>
          <w:p>
            <w:pPr>
              <w:spacing w:line="300" w:lineRule="exact"/>
              <w:jc w:val="right"/>
              <w:rPr>
                <w:rFonts w:ascii="方正书宋_GBK" w:eastAsia="方正书宋_GBK"/>
              </w:rPr>
            </w:pPr>
            <w:r>
              <w:rPr>
                <w:rFonts w:ascii="方正书宋_GBK" w:eastAsia="方正书宋_GBK"/>
              </w:rPr>
              <w:t>100.00</w:t>
            </w:r>
          </w:p>
        </w:tc>
        <w:tc>
          <w:tcPr>
            <w:tcW w:w="922" w:type="dxa"/>
            <w:shd w:val="clear" w:color="auto" w:fill="auto"/>
            <w:noWrap w:val="0"/>
            <w:vAlign w:val="center"/>
          </w:tcPr>
          <w:p>
            <w:pPr>
              <w:spacing w:line="300" w:lineRule="exact"/>
              <w:jc w:val="right"/>
              <w:rPr>
                <w:rFonts w:ascii="方正书宋_GBK" w:eastAsia="方正书宋_GBK"/>
              </w:rPr>
            </w:pPr>
          </w:p>
        </w:tc>
        <w:tc>
          <w:tcPr>
            <w:tcW w:w="941" w:type="dxa"/>
            <w:shd w:val="clear" w:color="auto" w:fill="auto"/>
            <w:noWrap w:val="0"/>
            <w:vAlign w:val="center"/>
          </w:tcPr>
          <w:p>
            <w:pPr>
              <w:spacing w:line="300" w:lineRule="exact"/>
              <w:jc w:val="right"/>
              <w:rPr>
                <w:rFonts w:ascii="方正书宋_GBK" w:eastAsia="方正书宋_GBK"/>
              </w:rPr>
            </w:pPr>
          </w:p>
        </w:tc>
        <w:tc>
          <w:tcPr>
            <w:tcW w:w="899" w:type="dxa"/>
            <w:shd w:val="clear" w:color="auto" w:fill="auto"/>
            <w:noWrap w:val="0"/>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石家庄市鹿泉区城市管理综合执法大队</w:t>
      </w:r>
      <w:r>
        <w:rPr>
          <w:rFonts w:hint="eastAsia" w:ascii="仿宋" w:hAnsi="仿宋" w:eastAsia="仿宋" w:cs="仿宋"/>
          <w:sz w:val="32"/>
          <w:szCs w:val="32"/>
        </w:rPr>
        <w:t>（含所属单位）上年末固定资产金额为</w:t>
      </w:r>
      <w:r>
        <w:rPr>
          <w:rFonts w:hint="eastAsia" w:ascii="仿宋" w:hAnsi="仿宋" w:eastAsia="仿宋" w:cs="仿宋"/>
          <w:sz w:val="32"/>
          <w:szCs w:val="32"/>
          <w:lang w:val="en-US" w:eastAsia="zh-CN"/>
        </w:rPr>
        <w:t>7220.28</w:t>
      </w:r>
      <w:r>
        <w:rPr>
          <w:rFonts w:hint="eastAsia" w:ascii="仿宋" w:hAnsi="仿宋" w:eastAsia="仿宋" w:cs="仿宋"/>
          <w:sz w:val="32"/>
          <w:szCs w:val="32"/>
        </w:rPr>
        <w:t>万元（详见下表），本年度各单位拟购置固定资产总额为</w:t>
      </w:r>
      <w:r>
        <w:rPr>
          <w:rFonts w:hint="eastAsia" w:ascii="仿宋" w:hAnsi="仿宋" w:eastAsia="仿宋" w:cs="仿宋"/>
          <w:sz w:val="32"/>
          <w:szCs w:val="32"/>
          <w:lang w:val="en-US" w:eastAsia="zh-CN"/>
        </w:rPr>
        <w:t>585</w:t>
      </w:r>
      <w:r>
        <w:rPr>
          <w:rFonts w:hint="eastAsia" w:ascii="仿宋" w:hAnsi="仿宋" w:eastAsia="仿宋" w:cs="仿宋"/>
          <w:sz w:val="32"/>
          <w:szCs w:val="32"/>
        </w:rPr>
        <w:t>万元，主要为</w:t>
      </w:r>
      <w:r>
        <w:rPr>
          <w:rFonts w:hint="eastAsia" w:ascii="仿宋" w:hAnsi="仿宋" w:eastAsia="仿宋" w:cs="仿宋"/>
          <w:sz w:val="32"/>
          <w:szCs w:val="32"/>
          <w:lang w:eastAsia="zh-CN"/>
        </w:rPr>
        <w:t>购置洗扫车水污分离处置设备、购置垃圾移动压缩箱、移动厕所车、清运车、垃圾箱、旅游综合服务站</w:t>
      </w:r>
      <w:r>
        <w:rPr>
          <w:rFonts w:hint="eastAsia" w:ascii="仿宋" w:hAnsi="仿宋" w:eastAsia="仿宋" w:cs="仿宋"/>
          <w:sz w:val="32"/>
          <w:szCs w:val="32"/>
        </w:rPr>
        <w:t>等，已列入政府采购预算，详见政府采购预算表。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sz w:val="32"/>
                <w:szCs w:val="32"/>
                <w:lang w:eastAsia="zh-CN"/>
              </w:rPr>
              <w:t>石家庄市鹿泉区城市管理综合执法大队</w:t>
            </w:r>
            <w:r>
              <w:rPr>
                <w:rFonts w:hint="eastAsia" w:ascii="宋体" w:hAnsi="宋体" w:eastAsia="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编制部门：</w:t>
            </w:r>
            <w:r>
              <w:rPr>
                <w:rFonts w:hint="eastAsia" w:ascii="仿宋" w:hAnsi="仿宋" w:eastAsia="仿宋" w:cs="仿宋"/>
                <w:sz w:val="24"/>
                <w:szCs w:val="24"/>
                <w:lang w:eastAsia="zh-CN"/>
              </w:rPr>
              <w:t>石家庄市鹿泉区城市管理综合执法大队</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color w:val="auto"/>
                <w:kern w:val="0"/>
                <w:sz w:val="22"/>
              </w:rPr>
            </w:pPr>
            <w:r>
              <w:rPr>
                <w:rFonts w:ascii="Times New Roman" w:hAnsi="Times New Roman" w:eastAsia="宋体" w:cs="Times New Roman"/>
                <w:color w:val="auto"/>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hint="eastAsia" w:ascii="Times New Roman" w:hAnsi="Times New Roman" w:eastAsia="宋体" w:cs="Times New Roman"/>
                <w:color w:val="auto"/>
                <w:kern w:val="0"/>
                <w:sz w:val="22"/>
                <w:lang w:val="en-US" w:eastAsia="zh-CN"/>
              </w:rPr>
            </w:pPr>
            <w:r>
              <w:rPr>
                <w:rFonts w:hint="eastAsia" w:ascii="Times New Roman" w:hAnsi="Times New Roman" w:eastAsia="宋体" w:cs="Times New Roman"/>
                <w:color w:val="auto"/>
                <w:kern w:val="0"/>
                <w:sz w:val="22"/>
                <w:lang w:val="en-US" w:eastAsia="zh-CN"/>
              </w:rPr>
              <w:t>7220.275334</w:t>
            </w:r>
          </w:p>
        </w:tc>
      </w:tr>
      <w:tr>
        <w:tblPrEx>
          <w:tblCellMar>
            <w:top w:w="0" w:type="dxa"/>
            <w:left w:w="108" w:type="dxa"/>
            <w:bottom w:w="0" w:type="dxa"/>
            <w:right w:w="108" w:type="dxa"/>
          </w:tblCellMar>
        </w:tblPrEx>
        <w:trPr>
          <w:trHeight w:val="49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color w:val="auto"/>
                <w:sz w:val="22"/>
                <w:lang w:val="en-US" w:eastAsia="zh-CN"/>
              </w:rPr>
            </w:pPr>
            <w:r>
              <w:rPr>
                <w:rFonts w:hint="eastAsia" w:ascii="Times New Roman" w:hAnsi="Times New Roman" w:cs="Times New Roman"/>
                <w:color w:val="auto"/>
                <w:sz w:val="22"/>
                <w:lang w:val="en-US" w:eastAsia="zh-CN"/>
              </w:rPr>
              <w:t>8377.24</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color w:val="auto"/>
                <w:sz w:val="22"/>
                <w:lang w:val="en-US" w:eastAsia="zh-CN"/>
              </w:rPr>
            </w:pPr>
            <w:r>
              <w:rPr>
                <w:rFonts w:hint="eastAsia" w:ascii="Times New Roman" w:hAnsi="Times New Roman" w:cs="Times New Roman"/>
                <w:color w:val="auto"/>
                <w:sz w:val="22"/>
                <w:lang w:val="en-US" w:eastAsia="zh-CN"/>
              </w:rPr>
              <w:t>1232.667316</w:t>
            </w:r>
          </w:p>
        </w:tc>
      </w:tr>
      <w:tr>
        <w:tblPrEx>
          <w:tblCellMar>
            <w:top w:w="0" w:type="dxa"/>
            <w:left w:w="108" w:type="dxa"/>
            <w:bottom w:w="0" w:type="dxa"/>
            <w:right w:w="108" w:type="dxa"/>
          </w:tblCellMar>
        </w:tblPrEx>
        <w:trPr>
          <w:trHeight w:val="451"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auto"/>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auto"/>
                <w:sz w:val="22"/>
              </w:rPr>
            </w:pPr>
          </w:p>
        </w:tc>
      </w:tr>
      <w:tr>
        <w:tblPrEx>
          <w:tblCellMar>
            <w:top w:w="0" w:type="dxa"/>
            <w:left w:w="108" w:type="dxa"/>
            <w:bottom w:w="0" w:type="dxa"/>
            <w:right w:w="108" w:type="dxa"/>
          </w:tblCellMar>
        </w:tblPrEx>
        <w:trPr>
          <w:trHeight w:val="431"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color w:val="auto"/>
                <w:sz w:val="22"/>
                <w:lang w:val="en-US" w:eastAsia="zh-CN"/>
              </w:rPr>
            </w:pPr>
            <w:r>
              <w:rPr>
                <w:rFonts w:hint="eastAsia" w:ascii="Times New Roman" w:hAnsi="Times New Roman" w:cs="Times New Roman"/>
                <w:color w:val="auto"/>
                <w:sz w:val="22"/>
                <w:lang w:val="en-US" w:eastAsia="zh-CN"/>
              </w:rPr>
              <w:t>215</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color w:val="auto"/>
                <w:sz w:val="22"/>
                <w:lang w:val="en-US" w:eastAsia="zh-CN"/>
              </w:rPr>
            </w:pPr>
            <w:r>
              <w:rPr>
                <w:rFonts w:hint="eastAsia" w:ascii="Times New Roman" w:hAnsi="Times New Roman" w:cs="Times New Roman"/>
                <w:color w:val="auto"/>
                <w:sz w:val="22"/>
                <w:lang w:val="en-US" w:eastAsia="zh-CN"/>
              </w:rPr>
              <w:t>4300.486605</w:t>
            </w:r>
          </w:p>
        </w:tc>
      </w:tr>
      <w:tr>
        <w:tblPrEx>
          <w:tblCellMar>
            <w:top w:w="0" w:type="dxa"/>
            <w:left w:w="108" w:type="dxa"/>
            <w:bottom w:w="0" w:type="dxa"/>
            <w:right w:w="108" w:type="dxa"/>
          </w:tblCellMar>
        </w:tblPrEx>
        <w:trPr>
          <w:trHeight w:val="517"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auto"/>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color w:val="auto"/>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color w:val="auto"/>
                <w:sz w:val="22"/>
                <w:lang w:val="en-US" w:eastAsia="zh-CN"/>
              </w:rPr>
            </w:pPr>
            <w:r>
              <w:rPr>
                <w:rFonts w:hint="eastAsia" w:ascii="Times New Roman" w:hAnsi="Times New Roman" w:cs="Times New Roman"/>
                <w:color w:val="auto"/>
                <w:sz w:val="22"/>
                <w:lang w:val="en-US" w:eastAsia="zh-CN"/>
              </w:rPr>
              <w:t>4353</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color w:val="auto"/>
                <w:sz w:val="22"/>
                <w:lang w:val="en-US" w:eastAsia="zh-CN"/>
              </w:rPr>
            </w:pPr>
            <w:r>
              <w:rPr>
                <w:rFonts w:hint="eastAsia" w:ascii="Times New Roman" w:hAnsi="Times New Roman" w:cs="Times New Roman"/>
                <w:color w:val="auto"/>
                <w:sz w:val="22"/>
                <w:lang w:val="en-US" w:eastAsia="zh-CN"/>
              </w:rPr>
              <w:t>1687.121413</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区级财政</w:t>
      </w:r>
      <w:r>
        <w:rPr>
          <w:rFonts w:hint="eastAsia" w:ascii="仿宋" w:hAnsi="仿宋" w:eastAsia="仿宋" w:cs="仿宋"/>
          <w:sz w:val="32"/>
          <w:szCs w:val="32"/>
        </w:rPr>
        <w:t>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区级财政</w:t>
      </w:r>
      <w:r>
        <w:rPr>
          <w:rFonts w:hint="eastAsia" w:ascii="仿宋" w:hAnsi="仿宋" w:eastAsia="仿宋" w:cs="仿宋"/>
          <w:sz w:val="32"/>
          <w:szCs w:val="32"/>
        </w:rPr>
        <w:t>预算管理的“三公”经费，是指</w:t>
      </w:r>
      <w:r>
        <w:rPr>
          <w:rFonts w:hint="eastAsia" w:ascii="仿宋" w:hAnsi="仿宋" w:eastAsia="仿宋" w:cs="仿宋"/>
          <w:sz w:val="32"/>
          <w:szCs w:val="32"/>
          <w:lang w:val="en-US" w:eastAsia="zh-CN"/>
        </w:rPr>
        <w:t>区级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黑体_GBK">
    <w:altName w:val="宋体"/>
    <w:panose1 w:val="00000000000000000000"/>
    <w:charset w:val="86"/>
    <w:family w:val="roman"/>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6"/>
        <w:rPr>
          <w:rFonts w:hint="eastAsia"/>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YwOWFiZTQ0OGE5ZGE4YTEwN2Y5OTA1NzY1NWZlMmY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15F77EC"/>
    <w:rsid w:val="028C0F21"/>
    <w:rsid w:val="04687795"/>
    <w:rsid w:val="05BE7A19"/>
    <w:rsid w:val="086D3680"/>
    <w:rsid w:val="0AE92253"/>
    <w:rsid w:val="0B4C6CF1"/>
    <w:rsid w:val="12645043"/>
    <w:rsid w:val="16EE5C22"/>
    <w:rsid w:val="18F70ABF"/>
    <w:rsid w:val="1D156022"/>
    <w:rsid w:val="27826CD2"/>
    <w:rsid w:val="29FF1654"/>
    <w:rsid w:val="2BFA260C"/>
    <w:rsid w:val="316C6145"/>
    <w:rsid w:val="36801CC7"/>
    <w:rsid w:val="3D15306E"/>
    <w:rsid w:val="3E0842A4"/>
    <w:rsid w:val="3F7D082C"/>
    <w:rsid w:val="43F456EA"/>
    <w:rsid w:val="450B3418"/>
    <w:rsid w:val="478778EF"/>
    <w:rsid w:val="4F441A63"/>
    <w:rsid w:val="53327C9D"/>
    <w:rsid w:val="5B232AFB"/>
    <w:rsid w:val="5BD9470D"/>
    <w:rsid w:val="5D216C5B"/>
    <w:rsid w:val="5E1F662C"/>
    <w:rsid w:val="63827AC2"/>
    <w:rsid w:val="688E792E"/>
    <w:rsid w:val="690832E2"/>
    <w:rsid w:val="6A691C5D"/>
    <w:rsid w:val="6E2D793D"/>
    <w:rsid w:val="6F960784"/>
    <w:rsid w:val="793D10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10</TotalTime>
  <ScaleCrop>false</ScaleCrop>
  <LinksUpToDate>false</LinksUpToDate>
  <CharactersWithSpaces>20505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G</cp:lastModifiedBy>
  <cp:lastPrinted>2017-11-09T01:12:00Z</cp:lastPrinted>
  <dcterms:modified xsi:type="dcterms:W3CDTF">2024-01-15T02:08:09Z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567B17AA0E0E41FAA7C08E0887D841CD</vt:lpwstr>
  </property>
</Properties>
</file>