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440" w:firstLineChars="100"/>
        <w:rPr>
          <w:rFonts w:ascii="Times New Roman" w:hAnsi="Times New Roman" w:eastAsia="方正小标宋_GBK" w:cs="Times New Roman"/>
          <w:sz w:val="44"/>
          <w:szCs w:val="44"/>
        </w:rPr>
      </w:pPr>
    </w:p>
    <w:p>
      <w:pPr>
        <w:ind w:firstLine="440" w:firstLineChars="100"/>
        <w:rPr>
          <w:rFonts w:ascii="Times New Roman" w:hAnsi="Times New Roman" w:eastAsia="方正小标宋_GBK" w:cs="Times New Roman"/>
          <w:sz w:val="44"/>
          <w:szCs w:val="44"/>
        </w:rPr>
      </w:pPr>
      <w:r>
        <w:rPr>
          <w:rFonts w:hint="eastAsia" w:ascii="Times New Roman" w:hAnsi="Times New Roman" w:eastAsia="方正小标宋_GBK" w:cs="Times New Roman"/>
          <w:sz w:val="44"/>
          <w:szCs w:val="44"/>
        </w:rPr>
        <w:t>石家庄市环境保护局鹿泉区分局</w:t>
      </w:r>
      <w:r>
        <w:rPr>
          <w:rFonts w:ascii="Times New Roman" w:hAnsi="Times New Roman" w:eastAsia="方正小标宋_GBK" w:cs="Times New Roman"/>
          <w:sz w:val="44"/>
          <w:szCs w:val="44"/>
        </w:rPr>
        <w:t>201</w:t>
      </w:r>
      <w:r>
        <w:rPr>
          <w:rFonts w:hint="eastAsia" w:ascii="Times New Roman" w:hAnsi="Times New Roman" w:eastAsia="方正小标宋_GBK" w:cs="Times New Roman"/>
          <w:sz w:val="44"/>
          <w:szCs w:val="44"/>
        </w:rPr>
        <w:t>9</w:t>
      </w:r>
      <w:r>
        <w:rPr>
          <w:rFonts w:ascii="Times New Roman" w:hAnsi="Times New Roman" w:eastAsia="方正小标宋_GBK" w:cs="Times New Roman"/>
          <w:sz w:val="44"/>
          <w:szCs w:val="44"/>
        </w:rPr>
        <w:t>年部门预算信息公开</w:t>
      </w:r>
      <w:r>
        <w:rPr>
          <w:rFonts w:hint="eastAsia" w:ascii="Times New Roman" w:hAnsi="Times New Roman" w:eastAsia="方正小标宋_GBK" w:cs="Times New Roman"/>
          <w:sz w:val="44"/>
          <w:szCs w:val="44"/>
        </w:rPr>
        <w:t>情况说明</w:t>
      </w:r>
    </w:p>
    <w:p>
      <w:pPr>
        <w:ind w:firstLine="440" w:firstLineChars="100"/>
        <w:rPr>
          <w:rFonts w:ascii="Times New Roman" w:hAnsi="Times New Roman" w:eastAsia="方正小标宋_GBK" w:cs="Times New Roman"/>
          <w:sz w:val="44"/>
          <w:szCs w:val="44"/>
        </w:rPr>
      </w:pPr>
    </w:p>
    <w:p>
      <w:pPr>
        <w:ind w:firstLine="640" w:firstLineChars="200"/>
        <w:rPr>
          <w:rFonts w:ascii="仿宋" w:hAnsi="仿宋" w:eastAsia="仿宋" w:cs="仿宋"/>
          <w:sz w:val="32"/>
          <w:szCs w:val="32"/>
        </w:rPr>
      </w:pPr>
      <w:r>
        <w:rPr>
          <w:rFonts w:hint="eastAsia" w:ascii="仿宋" w:hAnsi="仿宋" w:eastAsia="仿宋" w:cs="仿宋"/>
          <w:sz w:val="32"/>
          <w:szCs w:val="32"/>
        </w:rPr>
        <w:t>按照《中华人民共和国预算法》、《地方预决算公开操作规程》和《河北省省级预算公开办法》规定，现将石家庄市环境保护局鹿泉区分局2019年部门预算公开如下：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bookmarkStart w:id="1" w:name="_GoBack"/>
      <w:bookmarkEnd w:id="1"/>
    </w:p>
    <w:p>
      <w:pPr>
        <w:ind w:firstLine="643" w:firstLineChars="200"/>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部门</w:t>
      </w:r>
      <w:r>
        <w:rPr>
          <w:rFonts w:ascii="Times New Roman" w:hAnsi="Times New Roman" w:eastAsia="方正仿宋_GBK" w:cs="Times New Roman"/>
          <w:b/>
          <w:sz w:val="32"/>
          <w:szCs w:val="32"/>
        </w:rPr>
        <w:t>职责：</w:t>
      </w:r>
    </w:p>
    <w:p>
      <w:pPr>
        <w:autoSpaceDE w:val="0"/>
        <w:autoSpaceDN w:val="0"/>
        <w:adjustRightInd w:val="0"/>
        <w:snapToGrid w:val="0"/>
        <w:spacing w:line="540" w:lineRule="exact"/>
        <w:ind w:right="198" w:firstLine="640" w:firstLineChars="200"/>
        <w:rPr>
          <w:rFonts w:ascii="仿宋" w:hAnsi="仿宋" w:eastAsia="仿宋"/>
          <w:color w:val="000000"/>
          <w:sz w:val="32"/>
          <w:szCs w:val="32"/>
        </w:rPr>
      </w:pPr>
      <w:r>
        <w:rPr>
          <w:rFonts w:hint="eastAsia" w:ascii="仿宋" w:hAnsi="仿宋" w:eastAsia="仿宋"/>
          <w:color w:val="000000"/>
          <w:sz w:val="32"/>
          <w:szCs w:val="32"/>
        </w:rPr>
        <w:t>1、</w:t>
      </w:r>
      <w:r>
        <w:rPr>
          <w:rFonts w:ascii="仿宋" w:hAnsi="仿宋" w:eastAsia="仿宋"/>
          <w:color w:val="000000"/>
          <w:sz w:val="32"/>
          <w:szCs w:val="32"/>
        </w:rPr>
        <w:t>贯彻执行国家和省市环境保护方针、政策、法律、法规；拟定本</w:t>
      </w:r>
      <w:r>
        <w:rPr>
          <w:rFonts w:hint="eastAsia" w:ascii="仿宋" w:hAnsi="仿宋" w:eastAsia="仿宋"/>
          <w:color w:val="000000"/>
          <w:sz w:val="32"/>
          <w:szCs w:val="32"/>
        </w:rPr>
        <w:t>区</w:t>
      </w:r>
      <w:r>
        <w:rPr>
          <w:rFonts w:ascii="仿宋" w:hAnsi="仿宋" w:eastAsia="仿宋"/>
          <w:color w:val="000000"/>
          <w:sz w:val="32"/>
          <w:szCs w:val="32"/>
        </w:rPr>
        <w:t>环境保护法规实施细则和办法，并组织实施；协同有关部门制订全</w:t>
      </w:r>
      <w:r>
        <w:rPr>
          <w:rFonts w:hint="eastAsia" w:ascii="仿宋" w:hAnsi="仿宋" w:eastAsia="仿宋"/>
          <w:color w:val="000000"/>
          <w:sz w:val="32"/>
          <w:szCs w:val="32"/>
        </w:rPr>
        <w:t>区</w:t>
      </w:r>
      <w:r>
        <w:rPr>
          <w:rFonts w:ascii="仿宋" w:hAnsi="仿宋" w:eastAsia="仿宋"/>
          <w:color w:val="000000"/>
          <w:sz w:val="32"/>
          <w:szCs w:val="32"/>
        </w:rPr>
        <w:t>与环境保护相关的经济、技术、资源配置和产业政策。</w:t>
      </w:r>
    </w:p>
    <w:p>
      <w:pPr>
        <w:autoSpaceDE w:val="0"/>
        <w:autoSpaceDN w:val="0"/>
        <w:adjustRightInd w:val="0"/>
        <w:snapToGrid w:val="0"/>
        <w:spacing w:line="540" w:lineRule="exact"/>
        <w:ind w:right="198" w:firstLine="640" w:firstLineChars="200"/>
        <w:rPr>
          <w:rFonts w:ascii="仿宋" w:hAnsi="仿宋" w:eastAsia="仿宋"/>
          <w:color w:val="000000"/>
          <w:sz w:val="32"/>
          <w:szCs w:val="32"/>
        </w:rPr>
      </w:pPr>
      <w:r>
        <w:rPr>
          <w:rFonts w:hint="eastAsia" w:ascii="仿宋" w:hAnsi="仿宋" w:eastAsia="仿宋"/>
          <w:color w:val="000000"/>
          <w:sz w:val="32"/>
          <w:szCs w:val="32"/>
        </w:rPr>
        <w:t>2、</w:t>
      </w:r>
      <w:r>
        <w:rPr>
          <w:rFonts w:ascii="仿宋" w:hAnsi="仿宋" w:eastAsia="仿宋"/>
          <w:color w:val="000000"/>
          <w:sz w:val="32"/>
          <w:szCs w:val="32"/>
        </w:rPr>
        <w:t>制定环境保护规划和污染源治理计划，并监督实施；参与制定全</w:t>
      </w:r>
      <w:r>
        <w:rPr>
          <w:rFonts w:hint="eastAsia" w:ascii="仿宋" w:hAnsi="仿宋" w:eastAsia="仿宋"/>
          <w:color w:val="000000"/>
          <w:sz w:val="32"/>
          <w:szCs w:val="32"/>
        </w:rPr>
        <w:t>区</w:t>
      </w:r>
      <w:r>
        <w:rPr>
          <w:rFonts w:ascii="仿宋" w:hAnsi="仿宋" w:eastAsia="仿宋"/>
          <w:color w:val="000000"/>
          <w:sz w:val="32"/>
          <w:szCs w:val="32"/>
        </w:rPr>
        <w:t>经济和社会发展中长期规划、国土规划和区域开发规划。</w:t>
      </w:r>
    </w:p>
    <w:p>
      <w:pPr>
        <w:autoSpaceDE w:val="0"/>
        <w:autoSpaceDN w:val="0"/>
        <w:adjustRightInd w:val="0"/>
        <w:snapToGrid w:val="0"/>
        <w:spacing w:line="540" w:lineRule="exact"/>
        <w:ind w:right="198" w:firstLine="640" w:firstLineChars="200"/>
        <w:rPr>
          <w:rFonts w:ascii="仿宋" w:hAnsi="仿宋" w:eastAsia="仿宋"/>
          <w:color w:val="000000"/>
          <w:sz w:val="32"/>
          <w:szCs w:val="32"/>
        </w:rPr>
      </w:pPr>
      <w:r>
        <w:rPr>
          <w:rFonts w:hint="eastAsia" w:ascii="仿宋" w:hAnsi="仿宋" w:eastAsia="仿宋"/>
          <w:color w:val="000000"/>
          <w:sz w:val="32"/>
          <w:szCs w:val="32"/>
        </w:rPr>
        <w:t>3、</w:t>
      </w:r>
      <w:r>
        <w:rPr>
          <w:rFonts w:ascii="仿宋" w:hAnsi="仿宋" w:eastAsia="仿宋"/>
          <w:color w:val="000000"/>
          <w:sz w:val="32"/>
          <w:szCs w:val="32"/>
        </w:rPr>
        <w:t>负责监督全</w:t>
      </w:r>
      <w:r>
        <w:rPr>
          <w:rFonts w:hint="eastAsia" w:ascii="仿宋" w:hAnsi="仿宋" w:eastAsia="仿宋"/>
          <w:color w:val="000000"/>
          <w:sz w:val="32"/>
          <w:szCs w:val="32"/>
        </w:rPr>
        <w:t>区</w:t>
      </w:r>
      <w:r>
        <w:rPr>
          <w:rFonts w:ascii="仿宋" w:hAnsi="仿宋" w:eastAsia="仿宋"/>
          <w:color w:val="000000"/>
          <w:sz w:val="32"/>
          <w:szCs w:val="32"/>
        </w:rPr>
        <w:t>大气、水体、土壤、固体废弃物、噪声振动、有毒化学品、机动车等污染防治工作。</w:t>
      </w:r>
    </w:p>
    <w:p>
      <w:pPr>
        <w:autoSpaceDE w:val="0"/>
        <w:autoSpaceDN w:val="0"/>
        <w:adjustRightInd w:val="0"/>
        <w:snapToGrid w:val="0"/>
        <w:spacing w:line="540" w:lineRule="exact"/>
        <w:ind w:right="198" w:firstLine="640" w:firstLineChars="200"/>
        <w:rPr>
          <w:rFonts w:ascii="仿宋" w:hAnsi="仿宋" w:eastAsia="仿宋"/>
          <w:color w:val="000000"/>
          <w:sz w:val="32"/>
          <w:szCs w:val="32"/>
        </w:rPr>
      </w:pPr>
      <w:r>
        <w:rPr>
          <w:rFonts w:hint="eastAsia" w:ascii="仿宋" w:hAnsi="仿宋" w:eastAsia="仿宋"/>
          <w:color w:val="000000"/>
          <w:sz w:val="32"/>
          <w:szCs w:val="32"/>
        </w:rPr>
        <w:t>4、</w:t>
      </w:r>
      <w:r>
        <w:rPr>
          <w:rFonts w:ascii="仿宋" w:hAnsi="仿宋" w:eastAsia="仿宋"/>
          <w:color w:val="000000"/>
          <w:sz w:val="32"/>
          <w:szCs w:val="32"/>
        </w:rPr>
        <w:t>监督全</w:t>
      </w:r>
      <w:r>
        <w:rPr>
          <w:rFonts w:hint="eastAsia" w:ascii="仿宋" w:hAnsi="仿宋" w:eastAsia="仿宋"/>
          <w:color w:val="000000"/>
          <w:sz w:val="32"/>
          <w:szCs w:val="32"/>
        </w:rPr>
        <w:t>区</w:t>
      </w:r>
      <w:r>
        <w:rPr>
          <w:rFonts w:ascii="仿宋" w:hAnsi="仿宋" w:eastAsia="仿宋"/>
          <w:color w:val="000000"/>
          <w:sz w:val="32"/>
          <w:szCs w:val="32"/>
        </w:rPr>
        <w:t>对生态环境有影响的自然资源开发利用活动。重要生态环境建设和生态破坏恢复工作；</w:t>
      </w:r>
      <w:r>
        <w:rPr>
          <w:rFonts w:hint="eastAsia" w:ascii="仿宋" w:hAnsi="仿宋" w:eastAsia="仿宋"/>
          <w:color w:val="000000"/>
          <w:sz w:val="32"/>
          <w:szCs w:val="32"/>
        </w:rPr>
        <w:t>参与自然资源核算工作。</w:t>
      </w:r>
    </w:p>
    <w:p>
      <w:pPr>
        <w:autoSpaceDE w:val="0"/>
        <w:autoSpaceDN w:val="0"/>
        <w:adjustRightInd w:val="0"/>
        <w:snapToGrid w:val="0"/>
        <w:spacing w:line="540" w:lineRule="exact"/>
        <w:ind w:right="198" w:firstLine="640" w:firstLineChars="200"/>
        <w:rPr>
          <w:rFonts w:ascii="仿宋" w:hAnsi="仿宋" w:eastAsia="仿宋"/>
          <w:color w:val="000000"/>
          <w:sz w:val="32"/>
          <w:szCs w:val="32"/>
        </w:rPr>
      </w:pPr>
      <w:r>
        <w:rPr>
          <w:rFonts w:hint="eastAsia" w:ascii="仿宋" w:hAnsi="仿宋" w:eastAsia="仿宋"/>
          <w:color w:val="000000"/>
          <w:sz w:val="32"/>
          <w:szCs w:val="32"/>
        </w:rPr>
        <w:t>5、制定并组织实施各项环境管理制度；按有关规定审核开发建设项目环境影响报告书（表）；指导乡镇企业污染防治和城乡环境综合整治。</w:t>
      </w:r>
    </w:p>
    <w:p>
      <w:pPr>
        <w:autoSpaceDE w:val="0"/>
        <w:autoSpaceDN w:val="0"/>
        <w:adjustRightInd w:val="0"/>
        <w:snapToGrid w:val="0"/>
        <w:spacing w:line="540" w:lineRule="exact"/>
        <w:ind w:right="198" w:firstLine="640" w:firstLineChars="200"/>
        <w:rPr>
          <w:rFonts w:ascii="仿宋" w:hAnsi="仿宋" w:eastAsia="仿宋"/>
          <w:color w:val="000000"/>
          <w:sz w:val="32"/>
          <w:szCs w:val="32"/>
        </w:rPr>
      </w:pPr>
      <w:r>
        <w:rPr>
          <w:rFonts w:hint="eastAsia" w:ascii="仿宋" w:hAnsi="仿宋" w:eastAsia="仿宋"/>
          <w:color w:val="000000"/>
          <w:sz w:val="32"/>
          <w:szCs w:val="32"/>
        </w:rPr>
        <w:t>6、组织拟定全区环境保护科技政策、发展规划；组织环境保护科技发展、科学研究和技术示范工程；管理全区环境管理体系和环境标志认证；监督管理环境保护产业市场，指导和推动环境保护产业发展。</w:t>
      </w:r>
    </w:p>
    <w:p>
      <w:pPr>
        <w:autoSpaceDE w:val="0"/>
        <w:autoSpaceDN w:val="0"/>
        <w:adjustRightInd w:val="0"/>
        <w:snapToGrid w:val="0"/>
        <w:spacing w:line="540" w:lineRule="exact"/>
        <w:ind w:right="198" w:firstLine="640" w:firstLineChars="200"/>
        <w:rPr>
          <w:rFonts w:ascii="仿宋" w:hAnsi="仿宋" w:eastAsia="仿宋"/>
          <w:color w:val="000000"/>
          <w:sz w:val="32"/>
          <w:szCs w:val="32"/>
        </w:rPr>
      </w:pPr>
      <w:r>
        <w:rPr>
          <w:rFonts w:hint="eastAsia" w:ascii="仿宋" w:hAnsi="仿宋" w:eastAsia="仿宋"/>
          <w:color w:val="000000"/>
          <w:sz w:val="32"/>
          <w:szCs w:val="32"/>
        </w:rPr>
        <w:t>7、负责全区环境监测、统计、信息工作；组织对全区环境质量监测和污染源监督性监测；组织、指导和协调环境保护宣传教育和新闻报道工作；推动公众和非政府组织参与环境保护。</w:t>
      </w:r>
    </w:p>
    <w:p>
      <w:pPr>
        <w:autoSpaceDE w:val="0"/>
        <w:autoSpaceDN w:val="0"/>
        <w:adjustRightInd w:val="0"/>
        <w:snapToGrid w:val="0"/>
        <w:spacing w:line="540" w:lineRule="exact"/>
        <w:ind w:right="198" w:firstLine="640" w:firstLineChars="200"/>
        <w:rPr>
          <w:rFonts w:ascii="仿宋" w:hAnsi="仿宋" w:eastAsia="仿宋"/>
          <w:color w:val="000000"/>
          <w:sz w:val="32"/>
          <w:szCs w:val="32"/>
        </w:rPr>
      </w:pPr>
      <w:r>
        <w:rPr>
          <w:rFonts w:hint="eastAsia" w:ascii="仿宋" w:hAnsi="仿宋" w:eastAsia="仿宋"/>
          <w:color w:val="000000"/>
          <w:sz w:val="32"/>
          <w:szCs w:val="32"/>
        </w:rPr>
        <w:t>8、负责辐射环境、放射性废物管理工作，对电磁辐射、核技术应用、伴有放射性矿产资源开发利用中的污染防治工作实施统一管理。</w:t>
      </w:r>
    </w:p>
    <w:p>
      <w:pPr>
        <w:autoSpaceDE w:val="0"/>
        <w:autoSpaceDN w:val="0"/>
        <w:adjustRightInd w:val="0"/>
        <w:snapToGrid w:val="0"/>
        <w:spacing w:line="540" w:lineRule="exact"/>
        <w:ind w:right="198" w:firstLine="640" w:firstLineChars="200"/>
        <w:rPr>
          <w:rFonts w:ascii="仿宋" w:hAnsi="仿宋" w:eastAsia="仿宋"/>
          <w:color w:val="000000"/>
          <w:sz w:val="32"/>
          <w:szCs w:val="32"/>
        </w:rPr>
      </w:pPr>
      <w:r>
        <w:rPr>
          <w:rFonts w:hint="eastAsia" w:ascii="仿宋" w:hAnsi="仿宋" w:eastAsia="仿宋"/>
          <w:color w:val="000000"/>
          <w:sz w:val="32"/>
          <w:szCs w:val="32"/>
        </w:rPr>
        <w:t>9、办理人大、政协有关环保的议案、提案，接待群众来信来访，调查处理环境污染纠纷和事故；参与调查处理环境污染的违法犯罪案件，协调处理环境污染纠纷。</w:t>
      </w:r>
      <w:r>
        <w:rPr>
          <w:rFonts w:ascii="仿宋" w:hAnsi="仿宋" w:eastAsia="仿宋"/>
          <w:color w:val="000000"/>
          <w:sz w:val="32"/>
          <w:szCs w:val="32"/>
        </w:rPr>
        <w:t xml:space="preserve">    </w:t>
      </w:r>
    </w:p>
    <w:p>
      <w:pPr>
        <w:autoSpaceDE w:val="0"/>
        <w:autoSpaceDN w:val="0"/>
        <w:adjustRightInd w:val="0"/>
        <w:snapToGrid w:val="0"/>
        <w:spacing w:line="540" w:lineRule="exact"/>
        <w:ind w:right="198" w:firstLine="640" w:firstLineChars="200"/>
        <w:rPr>
          <w:rFonts w:ascii="仿宋" w:hAnsi="仿宋" w:eastAsia="仿宋"/>
          <w:color w:val="000000"/>
          <w:sz w:val="32"/>
          <w:szCs w:val="32"/>
        </w:rPr>
      </w:pPr>
      <w:r>
        <w:rPr>
          <w:rFonts w:hint="eastAsia" w:ascii="仿宋" w:hAnsi="仿宋" w:eastAsia="仿宋"/>
          <w:color w:val="000000"/>
          <w:sz w:val="32"/>
          <w:szCs w:val="32"/>
        </w:rPr>
        <w:t>10、负责局机关及直属单位机构编制、劳动工资和人事管理工作。</w:t>
      </w:r>
    </w:p>
    <w:p>
      <w:pPr>
        <w:autoSpaceDE w:val="0"/>
        <w:autoSpaceDN w:val="0"/>
        <w:adjustRightInd w:val="0"/>
        <w:snapToGrid w:val="0"/>
        <w:spacing w:line="540" w:lineRule="exact"/>
        <w:ind w:right="198" w:firstLine="640" w:firstLineChars="200"/>
        <w:rPr>
          <w:rFonts w:ascii="仿宋" w:hAnsi="仿宋" w:eastAsia="仿宋"/>
          <w:color w:val="000000"/>
          <w:sz w:val="32"/>
          <w:szCs w:val="32"/>
        </w:rPr>
      </w:pPr>
      <w:r>
        <w:rPr>
          <w:rFonts w:hint="eastAsia" w:ascii="仿宋" w:hAnsi="仿宋" w:eastAsia="仿宋"/>
          <w:color w:val="000000"/>
          <w:sz w:val="32"/>
          <w:szCs w:val="32"/>
        </w:rPr>
        <w:t>11、承办区政府交办的其他事项。</w:t>
      </w:r>
    </w:p>
    <w:p>
      <w:pPr>
        <w:autoSpaceDE w:val="0"/>
        <w:autoSpaceDN w:val="0"/>
        <w:adjustRightInd w:val="0"/>
        <w:ind w:left="198" w:firstLine="643" w:firstLineChars="200"/>
        <w:jc w:val="left"/>
        <w:rPr>
          <w:rFonts w:ascii="方正仿宋_GBK" w:hAnsi="Times New Roman" w:eastAsia="方正仿宋_GBK" w:cs="Times New Roman"/>
          <w:b/>
          <w:sz w:val="32"/>
          <w:szCs w:val="32"/>
        </w:rPr>
      </w:pPr>
      <w:r>
        <w:rPr>
          <w:rFonts w:hint="eastAsia" w:ascii="方正仿宋_GBK" w:hAnsi="Times New Roman" w:eastAsia="方正仿宋_GBK" w:cs="Times New Roman"/>
          <w:b/>
          <w:sz w:val="32"/>
          <w:szCs w:val="32"/>
        </w:rPr>
        <w:t>机构设置：</w:t>
      </w:r>
    </w:p>
    <w:p>
      <w:pPr>
        <w:spacing w:line="540" w:lineRule="exact"/>
        <w:ind w:firstLine="1120" w:firstLineChars="350"/>
        <w:rPr>
          <w:rFonts w:ascii="仿宋_GB2312" w:hAnsi="宋体" w:eastAsia="仿宋_GB2312"/>
          <w:kern w:val="0"/>
          <w:sz w:val="32"/>
          <w:szCs w:val="32"/>
        </w:rPr>
      </w:pPr>
      <w:r>
        <w:rPr>
          <w:rFonts w:hint="eastAsia" w:ascii="仿宋_GB2312" w:eastAsia="仿宋_GB2312"/>
          <w:sz w:val="32"/>
          <w:szCs w:val="32"/>
        </w:rPr>
        <w:t>根据上述职责，</w:t>
      </w:r>
      <w:r>
        <w:rPr>
          <w:rFonts w:hint="eastAsia" w:ascii="仿宋_GB2312" w:hAnsi="宋体" w:eastAsia="仿宋_GB2312"/>
          <w:kern w:val="0"/>
          <w:sz w:val="32"/>
          <w:szCs w:val="32"/>
        </w:rPr>
        <w:t>我单位内设三个科室，包括办公室、业务指导科和管理科。</w:t>
      </w:r>
    </w:p>
    <w:p>
      <w:pPr>
        <w:spacing w:line="540" w:lineRule="exact"/>
        <w:ind w:firstLine="1120" w:firstLineChars="350"/>
        <w:rPr>
          <w:rFonts w:ascii="仿宋_GB2312" w:hAnsi="宋体" w:eastAsia="仿宋_GB2312"/>
          <w:kern w:val="0"/>
          <w:sz w:val="32"/>
          <w:szCs w:val="32"/>
        </w:rPr>
      </w:pPr>
    </w:p>
    <w:tbl>
      <w:tblPr>
        <w:tblStyle w:val="6"/>
        <w:tblW w:w="97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59"/>
        <w:gridCol w:w="1134"/>
        <w:gridCol w:w="1276"/>
        <w:gridCol w:w="30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shd w:val="clear" w:color="auto" w:fill="auto"/>
            <w:vAlign w:val="center"/>
          </w:tcPr>
          <w:p>
            <w:pPr>
              <w:ind w:firstLine="420" w:firstLineChars="200"/>
              <w:jc w:val="center"/>
              <w:rPr>
                <w:rFonts w:ascii="方正书宋_GBK" w:eastAsia="方正书宋_GBK"/>
              </w:rPr>
            </w:pPr>
            <w:r>
              <w:rPr>
                <w:rFonts w:hint="eastAsia" w:ascii="方正书宋_GBK" w:eastAsia="方正书宋_GBK"/>
              </w:rPr>
              <w:t>单位名称</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单位性质</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单位规格</w:t>
            </w:r>
          </w:p>
        </w:tc>
        <w:tc>
          <w:tcPr>
            <w:tcW w:w="301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shd w:val="clear" w:color="auto" w:fill="auto"/>
            <w:vAlign w:val="center"/>
          </w:tcPr>
          <w:p>
            <w:pPr>
              <w:spacing w:line="540" w:lineRule="exact"/>
              <w:jc w:val="left"/>
              <w:rPr>
                <w:rFonts w:ascii="方正书宋_GBK" w:eastAsia="方正书宋_GBK"/>
              </w:rPr>
            </w:pPr>
            <w:r>
              <w:rPr>
                <w:rFonts w:hint="eastAsia" w:ascii="方正书宋_GBK" w:eastAsia="方正书宋_GBK"/>
              </w:rPr>
              <w:t>石家庄市鹿泉区环境保护局</w:t>
            </w:r>
          </w:p>
        </w:tc>
        <w:tc>
          <w:tcPr>
            <w:tcW w:w="1134" w:type="dxa"/>
            <w:shd w:val="clear" w:color="auto" w:fill="auto"/>
            <w:vAlign w:val="center"/>
          </w:tcPr>
          <w:p>
            <w:pPr>
              <w:spacing w:line="540" w:lineRule="exact"/>
              <w:jc w:val="center"/>
              <w:rPr>
                <w:rFonts w:ascii="方正书宋_GBK" w:eastAsia="方正书宋_GBK"/>
              </w:rPr>
            </w:pPr>
            <w:r>
              <w:rPr>
                <w:rFonts w:hint="eastAsia" w:ascii="方正书宋_GBK" w:eastAsia="方正书宋_GBK"/>
              </w:rPr>
              <w:t>行政</w:t>
            </w:r>
          </w:p>
        </w:tc>
        <w:tc>
          <w:tcPr>
            <w:tcW w:w="1276" w:type="dxa"/>
            <w:shd w:val="clear" w:color="auto" w:fill="auto"/>
            <w:vAlign w:val="center"/>
          </w:tcPr>
          <w:p>
            <w:pPr>
              <w:spacing w:line="540" w:lineRule="exact"/>
              <w:jc w:val="center"/>
              <w:rPr>
                <w:rFonts w:ascii="方正书宋_GBK" w:eastAsia="方正书宋_GBK"/>
              </w:rPr>
            </w:pPr>
            <w:r>
              <w:rPr>
                <w:rFonts w:hint="eastAsia" w:ascii="方正书宋_GBK" w:eastAsia="方正书宋_GBK"/>
              </w:rPr>
              <w:t>正科级</w:t>
            </w:r>
          </w:p>
        </w:tc>
        <w:tc>
          <w:tcPr>
            <w:tcW w:w="3013" w:type="dxa"/>
            <w:shd w:val="clear" w:color="auto" w:fill="auto"/>
            <w:vAlign w:val="center"/>
          </w:tcPr>
          <w:p>
            <w:pPr>
              <w:spacing w:line="540" w:lineRule="exact"/>
              <w:jc w:val="center"/>
              <w:rPr>
                <w:rFonts w:ascii="方正书宋_GBK" w:eastAsia="方正书宋_GBK"/>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shd w:val="clear" w:color="auto" w:fill="auto"/>
            <w:vAlign w:val="center"/>
          </w:tcPr>
          <w:p>
            <w:pPr>
              <w:spacing w:line="540" w:lineRule="exact"/>
              <w:jc w:val="left"/>
              <w:rPr>
                <w:rFonts w:ascii="方正书宋_GBK" w:eastAsia="方正书宋_GBK"/>
              </w:rPr>
            </w:pPr>
            <w:r>
              <w:rPr>
                <w:rFonts w:hint="eastAsia" w:ascii="方正书宋_GBK" w:eastAsia="方正书宋_GBK"/>
              </w:rPr>
              <w:t>石家庄市鹿泉区环境监察大队</w:t>
            </w:r>
          </w:p>
        </w:tc>
        <w:tc>
          <w:tcPr>
            <w:tcW w:w="1134" w:type="dxa"/>
            <w:shd w:val="clear" w:color="auto" w:fill="auto"/>
            <w:vAlign w:val="center"/>
          </w:tcPr>
          <w:p>
            <w:pPr>
              <w:spacing w:line="540" w:lineRule="exact"/>
              <w:jc w:val="center"/>
              <w:rPr>
                <w:rFonts w:ascii="方正书宋_GBK" w:eastAsia="方正书宋_GBK"/>
              </w:rPr>
            </w:pPr>
            <w:r>
              <w:rPr>
                <w:rFonts w:hint="eastAsia" w:ascii="方正书宋_GBK" w:eastAsia="方正书宋_GBK"/>
              </w:rPr>
              <w:t>事业</w:t>
            </w:r>
          </w:p>
        </w:tc>
        <w:tc>
          <w:tcPr>
            <w:tcW w:w="1276" w:type="dxa"/>
            <w:shd w:val="clear" w:color="auto" w:fill="auto"/>
            <w:vAlign w:val="center"/>
          </w:tcPr>
          <w:p>
            <w:pPr>
              <w:spacing w:line="540" w:lineRule="exact"/>
              <w:jc w:val="center"/>
              <w:rPr>
                <w:rFonts w:ascii="方正书宋_GBK" w:eastAsia="方正书宋_GBK"/>
              </w:rPr>
            </w:pPr>
            <w:r>
              <w:rPr>
                <w:rFonts w:hint="eastAsia" w:ascii="方正书宋_GBK" w:eastAsia="方正书宋_GBK"/>
              </w:rPr>
              <w:t>副科级</w:t>
            </w:r>
          </w:p>
        </w:tc>
        <w:tc>
          <w:tcPr>
            <w:tcW w:w="3013" w:type="dxa"/>
            <w:shd w:val="clear" w:color="auto" w:fill="auto"/>
            <w:vAlign w:val="center"/>
          </w:tcPr>
          <w:p>
            <w:pPr>
              <w:spacing w:line="540" w:lineRule="exact"/>
              <w:jc w:val="center"/>
              <w:rPr>
                <w:rFonts w:hint="eastAsia" w:ascii="方正书宋_GBK" w:eastAsia="方正书宋_GBK"/>
                <w:lang w:eastAsia="zh-CN"/>
              </w:rPr>
            </w:pPr>
            <w:r>
              <w:rPr>
                <w:rFonts w:hint="eastAsia" w:ascii="方正书宋_GBK" w:eastAsia="方正书宋_GBK"/>
              </w:rPr>
              <w:t>财政性资金基本保</w:t>
            </w:r>
            <w:r>
              <w:rPr>
                <w:rFonts w:hint="eastAsia" w:ascii="方正书宋_GBK" w:eastAsia="方正书宋_GBK"/>
                <w:lang w:eastAsia="zh-CN"/>
              </w:rPr>
              <w:t>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shd w:val="clear" w:color="auto" w:fill="auto"/>
            <w:vAlign w:val="center"/>
          </w:tcPr>
          <w:p>
            <w:pPr>
              <w:spacing w:line="540" w:lineRule="exact"/>
              <w:jc w:val="left"/>
              <w:rPr>
                <w:rFonts w:ascii="方正书宋_GBK" w:eastAsia="方正书宋_GBK"/>
              </w:rPr>
            </w:pPr>
            <w:r>
              <w:rPr>
                <w:rFonts w:hint="eastAsia" w:ascii="方正书宋_GBK" w:eastAsia="方正书宋_GBK"/>
              </w:rPr>
              <w:t>石家庄市鹿泉区环境保护监测站</w:t>
            </w:r>
          </w:p>
        </w:tc>
        <w:tc>
          <w:tcPr>
            <w:tcW w:w="1134" w:type="dxa"/>
            <w:shd w:val="clear" w:color="auto" w:fill="auto"/>
            <w:vAlign w:val="center"/>
          </w:tcPr>
          <w:p>
            <w:pPr>
              <w:spacing w:line="540" w:lineRule="exact"/>
              <w:jc w:val="center"/>
              <w:rPr>
                <w:rFonts w:ascii="方正书宋_GBK" w:eastAsia="方正书宋_GBK"/>
              </w:rPr>
            </w:pPr>
            <w:r>
              <w:rPr>
                <w:rFonts w:hint="eastAsia" w:ascii="方正书宋_GBK" w:eastAsia="方正书宋_GBK"/>
              </w:rPr>
              <w:t>事业</w:t>
            </w:r>
          </w:p>
        </w:tc>
        <w:tc>
          <w:tcPr>
            <w:tcW w:w="1276" w:type="dxa"/>
            <w:shd w:val="clear" w:color="auto" w:fill="auto"/>
            <w:vAlign w:val="center"/>
          </w:tcPr>
          <w:p>
            <w:pPr>
              <w:spacing w:line="540" w:lineRule="exact"/>
              <w:jc w:val="center"/>
              <w:rPr>
                <w:rFonts w:ascii="方正书宋_GBK" w:eastAsia="方正书宋_GBK"/>
              </w:rPr>
            </w:pPr>
            <w:r>
              <w:rPr>
                <w:rFonts w:hint="eastAsia" w:ascii="方正书宋_GBK" w:eastAsia="方正书宋_GBK"/>
              </w:rPr>
              <w:t>副科级</w:t>
            </w:r>
          </w:p>
        </w:tc>
        <w:tc>
          <w:tcPr>
            <w:tcW w:w="3013" w:type="dxa"/>
            <w:shd w:val="clear" w:color="auto" w:fill="auto"/>
            <w:vAlign w:val="center"/>
          </w:tcPr>
          <w:p>
            <w:pPr>
              <w:spacing w:line="540" w:lineRule="exact"/>
              <w:jc w:val="center"/>
              <w:rPr>
                <w:rFonts w:hint="eastAsia" w:ascii="方正书宋_GBK" w:eastAsia="方正书宋_GBK"/>
                <w:lang w:eastAsia="zh-CN"/>
              </w:rPr>
            </w:pPr>
            <w:r>
              <w:rPr>
                <w:rFonts w:hint="eastAsia" w:ascii="方正书宋_GBK" w:eastAsia="方正书宋_GBK"/>
              </w:rPr>
              <w:t>财政性资金基本保</w:t>
            </w:r>
            <w:r>
              <w:rPr>
                <w:rFonts w:hint="eastAsia" w:ascii="方正书宋_GBK" w:eastAsia="方正书宋_GBK"/>
                <w:lang w:eastAsia="zh-CN"/>
              </w:rPr>
              <w:t>证</w:t>
            </w:r>
          </w:p>
        </w:tc>
      </w:tr>
    </w:tbl>
    <w:p>
      <w:pPr>
        <w:rPr>
          <w:rFonts w:ascii="仿宋" w:hAnsi="仿宋" w:eastAsia="仿宋"/>
        </w:rPr>
      </w:pPr>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firstLineChars="200"/>
        <w:rPr>
          <w:rFonts w:ascii="仿宋" w:hAnsi="仿宋" w:eastAsia="仿宋" w:cs="仿宋"/>
          <w:sz w:val="32"/>
          <w:szCs w:val="32"/>
        </w:rPr>
      </w:pPr>
      <w:r>
        <w:rPr>
          <w:rFonts w:hint="eastAsia" w:ascii="仿宋" w:hAnsi="仿宋" w:eastAsia="仿宋" w:cs="仿宋"/>
          <w:sz w:val="32"/>
          <w:szCs w:val="32"/>
        </w:rPr>
        <w:t>1、收入说明</w:t>
      </w:r>
    </w:p>
    <w:p>
      <w:pPr>
        <w:ind w:firstLine="640" w:firstLineChars="200"/>
        <w:rPr>
          <w:rFonts w:ascii="仿宋" w:hAnsi="仿宋" w:eastAsia="仿宋" w:cs="仿宋"/>
          <w:sz w:val="32"/>
          <w:szCs w:val="32"/>
        </w:rPr>
      </w:pPr>
      <w:r>
        <w:rPr>
          <w:rFonts w:hint="eastAsia" w:ascii="仿宋" w:hAnsi="仿宋" w:eastAsia="仿宋" w:cs="仿宋"/>
          <w:sz w:val="32"/>
          <w:szCs w:val="32"/>
        </w:rPr>
        <w:t>反映本部门当年全部收入。2019年预算收入4051.02万元，其中：一般公共预算收入2051.02万元，基金预算收入2000万元，财政专户核拨收入0万元，其他来源收入0万元。</w:t>
      </w:r>
    </w:p>
    <w:p>
      <w:pPr>
        <w:ind w:firstLine="640" w:firstLineChars="200"/>
        <w:rPr>
          <w:rFonts w:ascii="仿宋" w:hAnsi="仿宋" w:eastAsia="仿宋" w:cs="仿宋"/>
          <w:sz w:val="32"/>
          <w:szCs w:val="32"/>
        </w:rPr>
      </w:pPr>
      <w:r>
        <w:rPr>
          <w:rFonts w:hint="eastAsia" w:ascii="仿宋" w:hAnsi="仿宋" w:eastAsia="仿宋" w:cs="仿宋"/>
          <w:sz w:val="32"/>
          <w:szCs w:val="32"/>
        </w:rPr>
        <w:t>2、支出说明</w:t>
      </w:r>
    </w:p>
    <w:p>
      <w:pPr>
        <w:ind w:firstLine="640" w:firstLineChars="200"/>
        <w:rPr>
          <w:rFonts w:ascii="仿宋" w:hAnsi="仿宋" w:eastAsia="仿宋" w:cs="仿宋"/>
          <w:sz w:val="32"/>
          <w:szCs w:val="32"/>
        </w:rPr>
      </w:pPr>
      <w:r>
        <w:rPr>
          <w:rFonts w:hint="eastAsia" w:ascii="仿宋" w:hAnsi="仿宋" w:eastAsia="仿宋" w:cs="仿宋"/>
          <w:sz w:val="32"/>
          <w:szCs w:val="32"/>
        </w:rPr>
        <w:t>2019年支出预算4051.02万元，其中基本支出1616.59万元，包括人员经费994.46万元和日常公用经费622.13万元；项目支出2434.43万元，包括本级支出，主要为集中式饮用水水源地以及保护区隔离试点地区水库型水源地隔离工程资金，水源保护区企业拆除补偿金等。</w:t>
      </w:r>
    </w:p>
    <w:p>
      <w:pPr>
        <w:ind w:firstLine="640" w:firstLineChars="200"/>
        <w:rPr>
          <w:rFonts w:ascii="仿宋" w:hAnsi="仿宋" w:eastAsia="仿宋" w:cs="仿宋"/>
          <w:sz w:val="32"/>
          <w:szCs w:val="32"/>
        </w:rPr>
      </w:pPr>
      <w:r>
        <w:rPr>
          <w:rFonts w:hint="eastAsia" w:ascii="仿宋" w:hAnsi="仿宋" w:eastAsia="仿宋" w:cs="仿宋"/>
          <w:sz w:val="32"/>
          <w:szCs w:val="32"/>
        </w:rPr>
        <w:t>3、比上年增减情况</w:t>
      </w:r>
    </w:p>
    <w:p>
      <w:pPr>
        <w:ind w:firstLine="640" w:firstLineChars="200"/>
        <w:rPr>
          <w:rFonts w:ascii="仿宋" w:hAnsi="仿宋" w:eastAsia="仿宋" w:cs="仿宋"/>
          <w:sz w:val="32"/>
          <w:szCs w:val="32"/>
        </w:rPr>
      </w:pPr>
      <w:r>
        <w:rPr>
          <w:rFonts w:hint="eastAsia" w:ascii="仿宋" w:hAnsi="仿宋" w:eastAsia="仿宋" w:cs="仿宋"/>
          <w:sz w:val="32"/>
          <w:szCs w:val="32"/>
        </w:rPr>
        <w:t>2019年预算收支安排4051.02万元，较2018年预算增加784.64万元，其中：基本支出增加396.13万元，主要为增加人员经费支出；项目支出减少388.51万元，主要为减少第二期大气污染防治网格化精准监控及决策支持系统运维费等支出。</w:t>
      </w:r>
      <w:r>
        <w:rPr>
          <w:rFonts w:ascii="仿宋" w:hAnsi="仿宋" w:eastAsia="仿宋" w:cs="仿宋"/>
          <w:sz w:val="32"/>
          <w:szCs w:val="32"/>
        </w:rPr>
        <w:t xml:space="preserve"> </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spacing w:line="540" w:lineRule="exact"/>
        <w:ind w:firstLine="640" w:firstLineChars="200"/>
        <w:jc w:val="left"/>
        <w:outlineLvl w:val="0"/>
        <w:rPr>
          <w:rFonts w:ascii="仿宋" w:hAnsi="仿宋" w:eastAsia="仿宋"/>
          <w:sz w:val="32"/>
          <w:szCs w:val="32"/>
        </w:rPr>
      </w:pPr>
      <w:r>
        <w:rPr>
          <w:rFonts w:hint="eastAsia" w:ascii="仿宋" w:hAnsi="仿宋" w:eastAsia="仿宋" w:cs="仿宋"/>
          <w:sz w:val="32"/>
          <w:szCs w:val="32"/>
        </w:rPr>
        <w:t>2019年，我厅机关运行经费共计安排106.28万元，其中</w:t>
      </w:r>
      <w:r>
        <w:rPr>
          <w:rFonts w:hint="eastAsia" w:ascii="仿宋" w:hAnsi="仿宋" w:eastAsia="仿宋"/>
          <w:sz w:val="32"/>
          <w:szCs w:val="32"/>
        </w:rPr>
        <w:t>日常公用经费82.25万元，公务用车运行费10.8万元，取暖费13.23万元。</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spacing w:line="540" w:lineRule="exact"/>
        <w:ind w:firstLine="640" w:firstLineChars="200"/>
        <w:jc w:val="left"/>
        <w:outlineLvl w:val="0"/>
        <w:rPr>
          <w:rFonts w:ascii="仿宋" w:hAnsi="仿宋" w:eastAsia="仿宋"/>
          <w:color w:val="FF0000"/>
          <w:sz w:val="32"/>
          <w:szCs w:val="32"/>
        </w:rPr>
      </w:pPr>
      <w:r>
        <w:rPr>
          <w:rFonts w:hint="eastAsia" w:ascii="仿宋" w:hAnsi="仿宋" w:eastAsia="仿宋"/>
          <w:sz w:val="32"/>
          <w:szCs w:val="32"/>
        </w:rPr>
        <w:t>我单位</w:t>
      </w:r>
      <w:r>
        <w:rPr>
          <w:rFonts w:ascii="仿宋" w:hAnsi="仿宋" w:eastAsia="仿宋"/>
          <w:sz w:val="32"/>
          <w:szCs w:val="32"/>
        </w:rPr>
        <w:t>201</w:t>
      </w:r>
      <w:r>
        <w:rPr>
          <w:rFonts w:hint="eastAsia" w:ascii="仿宋" w:hAnsi="仿宋" w:eastAsia="仿宋"/>
          <w:sz w:val="32"/>
          <w:szCs w:val="32"/>
        </w:rPr>
        <w:t>9</w:t>
      </w:r>
      <w:r>
        <w:rPr>
          <w:rFonts w:ascii="仿宋" w:hAnsi="仿宋" w:eastAsia="仿宋"/>
          <w:sz w:val="32"/>
          <w:szCs w:val="32"/>
        </w:rPr>
        <w:t>年三公经费预算总计为</w:t>
      </w:r>
      <w:r>
        <w:rPr>
          <w:rFonts w:hint="eastAsia" w:ascii="仿宋" w:hAnsi="仿宋" w:eastAsia="仿宋"/>
          <w:sz w:val="32"/>
          <w:szCs w:val="32"/>
        </w:rPr>
        <w:t>10.8</w:t>
      </w:r>
      <w:r>
        <w:rPr>
          <w:rFonts w:ascii="仿宋" w:hAnsi="仿宋" w:eastAsia="仿宋"/>
          <w:sz w:val="32"/>
          <w:szCs w:val="32"/>
        </w:rPr>
        <w:t>万元，与201</w:t>
      </w:r>
      <w:r>
        <w:rPr>
          <w:rFonts w:hint="eastAsia" w:ascii="仿宋" w:hAnsi="仿宋" w:eastAsia="仿宋"/>
          <w:sz w:val="32"/>
          <w:szCs w:val="32"/>
          <w:lang w:val="en-US" w:eastAsia="zh-CN"/>
        </w:rPr>
        <w:t>8</w:t>
      </w:r>
      <w:r>
        <w:rPr>
          <w:rFonts w:ascii="仿宋" w:hAnsi="仿宋" w:eastAsia="仿宋"/>
          <w:sz w:val="32"/>
          <w:szCs w:val="32"/>
        </w:rPr>
        <w:t>年</w:t>
      </w:r>
      <w:r>
        <w:rPr>
          <w:rFonts w:hint="eastAsia" w:ascii="仿宋" w:hAnsi="仿宋" w:eastAsia="仿宋"/>
          <w:sz w:val="32"/>
          <w:szCs w:val="32"/>
        </w:rPr>
        <w:t>预</w:t>
      </w:r>
      <w:r>
        <w:rPr>
          <w:rFonts w:ascii="仿宋" w:hAnsi="仿宋" w:eastAsia="仿宋"/>
          <w:sz w:val="32"/>
          <w:szCs w:val="32"/>
        </w:rPr>
        <w:t>算数</w:t>
      </w:r>
      <w:r>
        <w:rPr>
          <w:rFonts w:hint="eastAsia" w:ascii="仿宋" w:hAnsi="仿宋" w:eastAsia="仿宋"/>
          <w:sz w:val="32"/>
          <w:szCs w:val="32"/>
        </w:rPr>
        <w:t>持平，无增减变化</w:t>
      </w:r>
      <w:r>
        <w:rPr>
          <w:rFonts w:hint="eastAsia" w:ascii="仿宋" w:hAnsi="仿宋" w:eastAsia="仿宋"/>
          <w:sz w:val="32"/>
          <w:szCs w:val="32"/>
          <w:lang w:eastAsia="zh-CN"/>
        </w:rPr>
        <w:t>。</w:t>
      </w:r>
      <w:r>
        <w:rPr>
          <w:rFonts w:hint="eastAsia" w:ascii="仿宋" w:hAnsi="仿宋" w:eastAsia="仿宋"/>
          <w:sz w:val="32"/>
          <w:szCs w:val="32"/>
        </w:rPr>
        <w:t>具体是：</w:t>
      </w:r>
    </w:p>
    <w:p>
      <w:pPr>
        <w:spacing w:line="540" w:lineRule="exact"/>
        <w:ind w:firstLine="640" w:firstLineChars="200"/>
        <w:jc w:val="left"/>
        <w:outlineLvl w:val="0"/>
        <w:rPr>
          <w:rFonts w:ascii="仿宋" w:hAnsi="仿宋" w:eastAsia="仿宋"/>
          <w:sz w:val="32"/>
          <w:szCs w:val="32"/>
        </w:rPr>
      </w:pPr>
      <w:r>
        <w:rPr>
          <w:rFonts w:hint="eastAsia" w:ascii="仿宋" w:hAnsi="仿宋" w:eastAsia="仿宋"/>
          <w:sz w:val="32"/>
          <w:szCs w:val="32"/>
        </w:rPr>
        <w:t>1、因公出国（境）经费</w:t>
      </w:r>
    </w:p>
    <w:p>
      <w:pPr>
        <w:spacing w:line="540" w:lineRule="exact"/>
        <w:ind w:firstLine="640" w:firstLineChars="200"/>
        <w:jc w:val="left"/>
        <w:outlineLvl w:val="0"/>
        <w:rPr>
          <w:rFonts w:ascii="仿宋" w:hAnsi="仿宋" w:eastAsia="仿宋"/>
          <w:sz w:val="32"/>
          <w:szCs w:val="32"/>
        </w:rPr>
      </w:pPr>
      <w:r>
        <w:rPr>
          <w:rFonts w:hint="eastAsia" w:ascii="仿宋" w:hAnsi="仿宋" w:eastAsia="仿宋"/>
          <w:sz w:val="32"/>
          <w:szCs w:val="32"/>
        </w:rPr>
        <w:t>2019年石家庄市环境保护局鹿泉区分局安排的出国计划，拟安排出国境组0次，出国境0人，安排出国（境）经费预算0万元，与2018年持平，无增减变化。</w:t>
      </w:r>
    </w:p>
    <w:p>
      <w:pPr>
        <w:spacing w:line="540" w:lineRule="exact"/>
        <w:ind w:firstLine="640" w:firstLineChars="200"/>
        <w:jc w:val="left"/>
        <w:outlineLvl w:val="0"/>
        <w:rPr>
          <w:rFonts w:ascii="仿宋" w:hAnsi="仿宋" w:eastAsia="仿宋"/>
          <w:sz w:val="32"/>
          <w:szCs w:val="32"/>
        </w:rPr>
      </w:pPr>
      <w:r>
        <w:rPr>
          <w:rFonts w:hint="eastAsia" w:ascii="仿宋" w:hAnsi="仿宋" w:eastAsia="仿宋"/>
          <w:sz w:val="32"/>
          <w:szCs w:val="32"/>
        </w:rPr>
        <w:t>2、公务接待费</w:t>
      </w:r>
    </w:p>
    <w:p>
      <w:pPr>
        <w:spacing w:line="540" w:lineRule="exact"/>
        <w:ind w:firstLine="640" w:firstLineChars="200"/>
        <w:jc w:val="left"/>
        <w:outlineLvl w:val="0"/>
        <w:rPr>
          <w:rFonts w:ascii="仿宋" w:hAnsi="仿宋" w:eastAsia="仿宋"/>
          <w:sz w:val="32"/>
          <w:szCs w:val="32"/>
        </w:rPr>
      </w:pPr>
      <w:r>
        <w:rPr>
          <w:rFonts w:hint="eastAsia" w:ascii="仿宋" w:hAnsi="仿宋" w:eastAsia="仿宋"/>
          <w:sz w:val="32"/>
          <w:szCs w:val="32"/>
        </w:rPr>
        <w:t>2019年石家庄市环境保护局鹿泉区分局安排公务接待费0万元，与2018年持平，无增减变化。</w:t>
      </w:r>
    </w:p>
    <w:p>
      <w:pPr>
        <w:spacing w:line="540" w:lineRule="exact"/>
        <w:ind w:firstLine="640" w:firstLineChars="200"/>
        <w:jc w:val="left"/>
        <w:outlineLvl w:val="0"/>
        <w:rPr>
          <w:rFonts w:ascii="仿宋" w:hAnsi="仿宋" w:eastAsia="仿宋"/>
          <w:sz w:val="32"/>
          <w:szCs w:val="32"/>
        </w:rPr>
      </w:pPr>
      <w:r>
        <w:rPr>
          <w:rFonts w:hint="eastAsia" w:ascii="仿宋" w:hAnsi="仿宋" w:eastAsia="仿宋"/>
          <w:sz w:val="32"/>
          <w:szCs w:val="32"/>
        </w:rPr>
        <w:t>3、公务用车购置及运行维护费</w:t>
      </w:r>
    </w:p>
    <w:p>
      <w:pPr>
        <w:spacing w:line="540" w:lineRule="exact"/>
        <w:ind w:firstLine="640" w:firstLineChars="200"/>
        <w:jc w:val="left"/>
        <w:outlineLvl w:val="0"/>
        <w:rPr>
          <w:rFonts w:ascii="仿宋" w:hAnsi="仿宋" w:eastAsia="仿宋"/>
          <w:color w:val="FF0000"/>
          <w:sz w:val="32"/>
          <w:szCs w:val="32"/>
        </w:rPr>
      </w:pPr>
      <w:r>
        <w:rPr>
          <w:rFonts w:hint="eastAsia" w:ascii="仿宋" w:hAnsi="仿宋" w:eastAsia="仿宋"/>
          <w:sz w:val="32"/>
          <w:szCs w:val="32"/>
        </w:rPr>
        <w:t>2019年石家庄市环境保护局鹿泉区分局安排公车购置及运行维护费10.8万元，其中：购置经费0万元、运行维护费 10.8万元，与去年相比持平，无增减变化。我单位共有公务用车4辆，其中：轿车4辆。</w:t>
      </w:r>
    </w:p>
    <w:p>
      <w:pPr>
        <w:ind w:firstLine="640"/>
        <w:rPr>
          <w:rFonts w:ascii="黑体" w:hAnsi="黑体" w:eastAsia="黑体" w:cs="Times New Roman"/>
          <w:sz w:val="32"/>
          <w:szCs w:val="32"/>
        </w:rPr>
      </w:pPr>
      <w:r>
        <w:rPr>
          <w:rFonts w:hint="eastAsia" w:ascii="黑体" w:hAnsi="黑体" w:eastAsia="黑体" w:cs="Times New Roman"/>
          <w:sz w:val="32"/>
          <w:szCs w:val="32"/>
        </w:rPr>
        <w:t>五、绩效预算信息</w:t>
      </w:r>
    </w:p>
    <w:p>
      <w:pPr>
        <w:ind w:firstLine="643" w:firstLineChars="200"/>
        <w:jc w:val="left"/>
        <w:rPr>
          <w:rFonts w:ascii="Times New Roman" w:hAnsi="Times New Roman" w:eastAsia="方正仿宋_GBK" w:cs="Times New Roman"/>
          <w:b/>
          <w:sz w:val="32"/>
          <w:szCs w:val="32"/>
        </w:rPr>
      </w:pPr>
      <w:r>
        <w:rPr>
          <w:rFonts w:ascii="Times New Roman" w:hAnsi="Times New Roman" w:eastAsia="方正仿宋_GBK" w:cs="Times New Roman"/>
          <w:b/>
          <w:sz w:val="32"/>
          <w:szCs w:val="32"/>
        </w:rPr>
        <w:t>总体绩效目标：</w:t>
      </w:r>
    </w:p>
    <w:p>
      <w:pPr>
        <w:spacing w:line="500" w:lineRule="exact"/>
        <w:ind w:firstLine="560"/>
        <w:rPr>
          <w:rFonts w:ascii="仿宋" w:hAnsi="仿宋" w:eastAsia="仿宋"/>
          <w:sz w:val="32"/>
          <w:szCs w:val="32"/>
        </w:rPr>
      </w:pPr>
      <w:r>
        <w:rPr>
          <w:rFonts w:hint="eastAsia" w:ascii="仿宋" w:hAnsi="仿宋" w:eastAsia="仿宋"/>
          <w:sz w:val="32"/>
          <w:szCs w:val="32"/>
        </w:rPr>
        <w:t>2019年，坚持</w:t>
      </w:r>
      <w:r>
        <w:rPr>
          <w:rFonts w:ascii="仿宋" w:hAnsi="仿宋" w:eastAsia="仿宋"/>
          <w:sz w:val="32"/>
          <w:szCs w:val="32"/>
        </w:rPr>
        <w:t>以习近平新时代中国特色社会主义思想为指导，认真落实党中央、国务院，省委、省政府和市委、市政府的决策部署。以保障人民群众身心健康为根本出发点，以改善环境质量为目标，树立新发展理念，坚持“全民共治、源头防治、标本兼治、城乡联治”原则。坚守生态和发展两条底线，突出问题导向和目标导向，精准治理，依法治理，铁腕治理，坚决打赢污染防治攻坚战，切实改善我区环境质量。</w:t>
      </w:r>
    </w:p>
    <w:p>
      <w:pPr>
        <w:ind w:firstLine="643" w:firstLineChars="200"/>
        <w:jc w:val="left"/>
        <w:rPr>
          <w:rFonts w:ascii="仿宋" w:hAnsi="仿宋" w:eastAsia="仿宋"/>
          <w:sz w:val="32"/>
          <w:szCs w:val="32"/>
        </w:rPr>
      </w:pPr>
      <w:r>
        <w:rPr>
          <w:rFonts w:hint="eastAsia" w:ascii="Times New Roman" w:hAnsi="Times New Roman" w:eastAsia="方正仿宋_GBK" w:cs="Times New Roman"/>
          <w:b/>
          <w:sz w:val="32"/>
          <w:szCs w:val="32"/>
        </w:rPr>
        <w:t>职责分类绩效目标：</w:t>
      </w:r>
    </w:p>
    <w:p>
      <w:pPr>
        <w:spacing w:line="500" w:lineRule="exact"/>
        <w:ind w:firstLine="560"/>
        <w:rPr>
          <w:rFonts w:ascii="仿宋" w:hAnsi="仿宋" w:eastAsia="仿宋"/>
          <w:sz w:val="32"/>
          <w:szCs w:val="32"/>
        </w:rPr>
      </w:pPr>
      <w:r>
        <w:rPr>
          <w:rFonts w:hint="eastAsia" w:ascii="仿宋" w:hAnsi="仿宋" w:eastAsia="仿宋"/>
          <w:sz w:val="32"/>
          <w:szCs w:val="32"/>
          <w:lang w:val="en-US" w:eastAsia="zh-CN"/>
        </w:rPr>
        <w:t>1、</w:t>
      </w:r>
      <w:r>
        <w:rPr>
          <w:rFonts w:ascii="仿宋" w:hAnsi="仿宋" w:eastAsia="仿宋"/>
          <w:sz w:val="32"/>
          <w:szCs w:val="32"/>
        </w:rPr>
        <w:t xml:space="preserve">2019年完成石家庄市下达的空气质量考核目标。实施燃煤电厂深度治理，加快锅炉综合整治，深化挥发性有机物治理等。 </w:t>
      </w:r>
    </w:p>
    <w:p>
      <w:pPr>
        <w:spacing w:line="500" w:lineRule="exact"/>
        <w:ind w:firstLine="560"/>
        <w:rPr>
          <w:rFonts w:ascii="仿宋" w:hAnsi="仿宋" w:eastAsia="仿宋"/>
          <w:sz w:val="32"/>
          <w:szCs w:val="32"/>
        </w:rPr>
      </w:pPr>
      <w:r>
        <w:rPr>
          <w:rFonts w:hint="eastAsia" w:ascii="仿宋" w:hAnsi="仿宋" w:eastAsia="仿宋"/>
          <w:sz w:val="32"/>
          <w:szCs w:val="32"/>
          <w:lang w:val="en-US" w:eastAsia="zh-CN"/>
        </w:rPr>
        <w:t>2、</w:t>
      </w:r>
      <w:r>
        <w:rPr>
          <w:rFonts w:ascii="仿宋" w:hAnsi="仿宋" w:eastAsia="仿宋"/>
          <w:sz w:val="32"/>
          <w:szCs w:val="32"/>
        </w:rPr>
        <w:t>组织开展全区范围内污染源日常监督工作；对已取得排污许可证和已通过“三同时”验收的新上、技改项目加强日常监督检查；组织和实施全区重点行业的污染综合治理工作；负责职责范围内环境信访案件的调查处理工作并及时反馈；配合相关部门开展环境污染事件的应急处置工作，做好全区风险源应急预案的备案管理工作；会同相关科室受委托承担主要污染物减排核查的档案、现场等技术工作；对污染事故进行调查取证，并及时提出处理意见并参与处理；配合组织和开展环境保护网络化监管工作；</w:t>
      </w:r>
      <w:r>
        <w:rPr>
          <w:rFonts w:hint="eastAsia" w:ascii="仿宋" w:hAnsi="仿宋" w:eastAsia="仿宋"/>
          <w:sz w:val="32"/>
          <w:szCs w:val="32"/>
          <w:lang w:eastAsia="zh-CN"/>
        </w:rPr>
        <w:t>组织开展</w:t>
      </w:r>
      <w:r>
        <w:rPr>
          <w:rFonts w:ascii="仿宋" w:hAnsi="仿宋" w:eastAsia="仿宋"/>
          <w:sz w:val="32"/>
          <w:szCs w:val="32"/>
        </w:rPr>
        <w:t>农作物秸秆禁烧的组织、督导工作。</w:t>
      </w:r>
    </w:p>
    <w:p>
      <w:pPr>
        <w:spacing w:line="500" w:lineRule="exact"/>
        <w:ind w:firstLine="560"/>
        <w:rPr>
          <w:rFonts w:ascii="仿宋" w:hAnsi="仿宋" w:eastAsia="仿宋"/>
          <w:sz w:val="32"/>
          <w:szCs w:val="32"/>
        </w:rPr>
      </w:pPr>
      <w:r>
        <w:rPr>
          <w:rFonts w:hint="eastAsia" w:ascii="仿宋" w:hAnsi="仿宋" w:eastAsia="仿宋"/>
          <w:sz w:val="32"/>
          <w:szCs w:val="32"/>
          <w:lang w:val="en-US" w:eastAsia="zh-CN"/>
        </w:rPr>
        <w:t>3、</w:t>
      </w:r>
      <w:r>
        <w:rPr>
          <w:rFonts w:ascii="仿宋" w:eastAsia="仿宋"/>
          <w:sz w:val="32"/>
          <w:szCs w:val="32"/>
        </w:rPr>
        <w:t> </w:t>
      </w:r>
      <w:r>
        <w:rPr>
          <w:rFonts w:ascii="仿宋" w:hAnsi="仿宋" w:eastAsia="仿宋"/>
          <w:sz w:val="32"/>
          <w:szCs w:val="32"/>
        </w:rPr>
        <w:t>散煤煤质抽查，建立企业煤样数据台账，煤样抽查率达到100%；彻底查治“散乱污”，坚决杜绝已关闭的散乱污企业复产。</w:t>
      </w:r>
      <w:r>
        <w:rPr>
          <w:rFonts w:ascii="仿宋" w:eastAsia="仿宋"/>
          <w:sz w:val="32"/>
          <w:szCs w:val="32"/>
        </w:rPr>
        <w:t> </w:t>
      </w:r>
      <w:r>
        <w:rPr>
          <w:rFonts w:ascii="仿宋" w:hAnsi="仿宋" w:eastAsia="仿宋"/>
          <w:sz w:val="32"/>
          <w:szCs w:val="32"/>
        </w:rPr>
        <w:t>对2018年排查出来的“散乱污”企业进行再抽查、回头看，每个月抽查一定比例企业，继续开展“散乱污”企业排查、关停取缔工作；“双在线”安装工作；强化环境执法监管，对环境违法企业加大处罚力度；PM2.5平均浓度下降67微克/立方米。</w:t>
      </w:r>
    </w:p>
    <w:p>
      <w:pPr>
        <w:spacing w:line="500" w:lineRule="exact"/>
        <w:ind w:firstLine="560"/>
        <w:rPr>
          <w:rFonts w:ascii="仿宋" w:hAnsi="仿宋" w:eastAsia="仿宋"/>
          <w:sz w:val="32"/>
          <w:szCs w:val="32"/>
        </w:rPr>
      </w:pPr>
      <w:r>
        <w:rPr>
          <w:rFonts w:hint="eastAsia" w:ascii="仿宋" w:hAnsi="仿宋" w:eastAsia="仿宋"/>
          <w:sz w:val="32"/>
          <w:szCs w:val="32"/>
          <w:lang w:val="en-US" w:eastAsia="zh-CN"/>
        </w:rPr>
        <w:t>4、</w:t>
      </w:r>
      <w:r>
        <w:rPr>
          <w:rFonts w:ascii="仿宋" w:hAnsi="仿宋" w:eastAsia="仿宋"/>
          <w:sz w:val="32"/>
          <w:szCs w:val="32"/>
        </w:rPr>
        <w:t>实现全年环境信访工作安全，确保不发生进京访、不发生群体访、不发生越级访、不发生非正常访、不发生寻衅滋事事件、不发生责任倒查问题；进一步提升案件办结率，提升矛盾化解率，提升工作人员的办案质量和纠纷调解能力。</w:t>
      </w:r>
    </w:p>
    <w:p>
      <w:pPr>
        <w:spacing w:line="500" w:lineRule="exact"/>
        <w:ind w:firstLine="560"/>
        <w:rPr>
          <w:rFonts w:ascii="仿宋" w:hAnsi="仿宋" w:eastAsia="仿宋"/>
          <w:sz w:val="32"/>
          <w:szCs w:val="32"/>
        </w:rPr>
      </w:pPr>
      <w:r>
        <w:rPr>
          <w:rFonts w:hint="eastAsia" w:ascii="仿宋" w:hAnsi="仿宋" w:eastAsia="仿宋"/>
          <w:sz w:val="32"/>
          <w:szCs w:val="32"/>
          <w:lang w:val="en-US" w:eastAsia="zh-CN"/>
        </w:rPr>
        <w:t>5、</w:t>
      </w:r>
      <w:r>
        <w:rPr>
          <w:rFonts w:ascii="仿宋" w:hAnsi="仿宋" w:eastAsia="仿宋"/>
          <w:sz w:val="32"/>
          <w:szCs w:val="32"/>
        </w:rPr>
        <w:t xml:space="preserve">积极开展生态环境法制培训和普法宣传活动，提高执法人员业务水平，教育群众提高环保意识，自觉遵守环保法律法规。 </w:t>
      </w:r>
    </w:p>
    <w:p>
      <w:pPr>
        <w:spacing w:line="500" w:lineRule="exact"/>
        <w:ind w:firstLine="560"/>
        <w:rPr>
          <w:rFonts w:ascii="仿宋" w:hAnsi="仿宋" w:eastAsia="仿宋"/>
          <w:sz w:val="32"/>
          <w:szCs w:val="32"/>
        </w:rPr>
      </w:pPr>
      <w:r>
        <w:rPr>
          <w:rFonts w:hint="eastAsia" w:ascii="仿宋" w:hAnsi="仿宋" w:eastAsia="仿宋"/>
          <w:sz w:val="32"/>
          <w:szCs w:val="32"/>
          <w:lang w:val="en-US" w:eastAsia="zh-CN"/>
        </w:rPr>
        <w:t>6、</w:t>
      </w:r>
      <w:r>
        <w:rPr>
          <w:rFonts w:ascii="仿宋" w:hAnsi="仿宋" w:eastAsia="仿宋"/>
          <w:sz w:val="32"/>
          <w:szCs w:val="32"/>
        </w:rPr>
        <w:t>对本区各环境要素按国家统一规定要求进行经常性检测，收集、整理、汇总和储存本区的环境监测数据资料，定期向主管部门和上级监测站上报监测数据；对本区各有关单位排放污染物的状况进行定期或不定期的监测，建立、健全各排污单位的监测档案，为环境管理提供监测数据；参加本区污染事件调查及环境污染事故的应急监测，为环境污染纠纷的调解、处理提供科学依据；完成环境保护主管部门进行环境管理所需要的各项监测；</w:t>
      </w:r>
      <w:r>
        <w:rPr>
          <w:rFonts w:hint="eastAsia" w:ascii="仿宋" w:hAnsi="仿宋" w:eastAsia="仿宋"/>
          <w:sz w:val="32"/>
          <w:szCs w:val="32"/>
          <w:lang w:eastAsia="zh-CN"/>
        </w:rPr>
        <w:t>组织开展</w:t>
      </w:r>
      <w:r>
        <w:rPr>
          <w:rFonts w:ascii="仿宋" w:hAnsi="仿宋" w:eastAsia="仿宋"/>
          <w:sz w:val="32"/>
          <w:szCs w:val="32"/>
        </w:rPr>
        <w:t>环境监测人员的技术培训。</w:t>
      </w:r>
    </w:p>
    <w:p>
      <w:pPr>
        <w:spacing w:line="500" w:lineRule="exact"/>
        <w:ind w:firstLine="560"/>
        <w:rPr>
          <w:rFonts w:ascii="仿宋" w:hAnsi="仿宋" w:eastAsia="仿宋"/>
          <w:sz w:val="32"/>
          <w:szCs w:val="32"/>
        </w:rPr>
      </w:pPr>
      <w:r>
        <w:rPr>
          <w:rFonts w:hint="eastAsia" w:ascii="仿宋" w:hAnsi="仿宋" w:eastAsia="仿宋"/>
          <w:sz w:val="32"/>
          <w:szCs w:val="32"/>
          <w:lang w:val="en-US" w:eastAsia="zh-CN"/>
        </w:rPr>
        <w:t>7、</w:t>
      </w:r>
      <w:r>
        <w:rPr>
          <w:rFonts w:ascii="仿宋" w:hAnsi="仿宋" w:eastAsia="仿宋"/>
          <w:sz w:val="32"/>
          <w:szCs w:val="32"/>
        </w:rPr>
        <w:t>2019年鹿泉区集中式饮用水源地水质稳定达到或优于</w:t>
      </w:r>
      <w:r>
        <w:rPr>
          <w:rFonts w:hint="eastAsia" w:ascii="仿宋" w:hAnsi="仿宋" w:eastAsia="仿宋"/>
          <w:sz w:val="32"/>
          <w:szCs w:val="32"/>
        </w:rPr>
        <w:t>Ⅲ</w:t>
      </w:r>
      <w:r>
        <w:rPr>
          <w:rFonts w:ascii="仿宋" w:hAnsi="仿宋" w:eastAsia="仿宋"/>
          <w:sz w:val="32"/>
          <w:szCs w:val="32"/>
        </w:rPr>
        <w:t>类比例为100%；洨河主要水质指标达到</w:t>
      </w:r>
      <w:r>
        <w:rPr>
          <w:rFonts w:hint="eastAsia" w:ascii="仿宋" w:hAnsi="仿宋" w:eastAsia="仿宋"/>
          <w:sz w:val="32"/>
          <w:szCs w:val="32"/>
        </w:rPr>
        <w:t>Ⅴ</w:t>
      </w:r>
      <w:r>
        <w:rPr>
          <w:rFonts w:ascii="仿宋" w:hAnsi="仿宋" w:eastAsia="仿宋"/>
          <w:sz w:val="32"/>
          <w:szCs w:val="32"/>
        </w:rPr>
        <w:t>类，河流生态功能基本恢复；全面消除主城区黑臭水体。2019年根据省农用地土壤污染状况详查结果，全面摸清农用地污染面积、分布及其污染程度，完成耕地土壤环境质量类别划分，建立耕地质量分类清单。</w:t>
      </w:r>
    </w:p>
    <w:p>
      <w:pPr>
        <w:spacing w:line="500" w:lineRule="exact"/>
        <w:ind w:firstLine="560"/>
        <w:rPr>
          <w:rFonts w:ascii="仿宋" w:hAnsi="仿宋" w:eastAsia="仿宋"/>
          <w:sz w:val="32"/>
          <w:szCs w:val="32"/>
        </w:rPr>
      </w:pPr>
      <w:r>
        <w:rPr>
          <w:rFonts w:hint="eastAsia" w:ascii="仿宋" w:hAnsi="仿宋" w:eastAsia="仿宋"/>
          <w:sz w:val="32"/>
          <w:szCs w:val="32"/>
          <w:lang w:val="en-US" w:eastAsia="zh-CN"/>
        </w:rPr>
        <w:t>8、</w:t>
      </w:r>
      <w:r>
        <w:rPr>
          <w:rFonts w:ascii="仿宋" w:hAnsi="仿宋" w:eastAsia="仿宋"/>
          <w:sz w:val="32"/>
          <w:szCs w:val="32"/>
        </w:rPr>
        <w:t>2019年加快推进鹿泉区污水处理厂二期扩建和升级改造工程，石家庄西部上庄污水厂提标改造工程，排水达到地表水</w:t>
      </w:r>
      <w:r>
        <w:rPr>
          <w:rFonts w:hint="eastAsia" w:ascii="仿宋" w:hAnsi="仿宋" w:eastAsia="仿宋"/>
          <w:sz w:val="32"/>
          <w:szCs w:val="32"/>
        </w:rPr>
        <w:t>Ⅳ</w:t>
      </w:r>
      <w:r>
        <w:rPr>
          <w:rFonts w:ascii="仿宋" w:hAnsi="仿宋" w:eastAsia="仿宋"/>
          <w:sz w:val="32"/>
          <w:szCs w:val="32"/>
        </w:rPr>
        <w:t>类水排放标准；梯次推进农村生活污水治理工作；2019年底,全面完成入河排污口综合整治及规范化建设；2019年底前完成鹿泉区饮用水水源保护区综合整治工作；推进重点行业企业用地土壤污染状况调查；强化污染地块再开发利用准入管理。开展涉重金属重点行业排查整治；组织危险废物环境隐患专项排查整治，强化联合执法，严厉打击危险废物非法转移、倾倒和处理处置等违法犯罪行为。</w:t>
      </w:r>
    </w:p>
    <w:p>
      <w:pPr>
        <w:rPr>
          <w:rFonts w:hint="eastAsia" w:ascii="楷体_GB2312" w:hAnsi="Times New Roman" w:eastAsia="楷体_GB2312" w:cs="Times New Roman"/>
          <w:b/>
          <w:sz w:val="32"/>
          <w:szCs w:val="24"/>
        </w:rPr>
      </w:pPr>
    </w:p>
    <w:p>
      <w:pPr>
        <w:ind w:firstLine="560"/>
        <w:rPr>
          <w:rFonts w:hint="eastAsia" w:ascii="楷体_GB2312" w:hAnsi="Times New Roman" w:eastAsia="楷体_GB2312" w:cs="Times New Roman"/>
          <w:b/>
          <w:sz w:val="32"/>
          <w:szCs w:val="24"/>
        </w:rPr>
      </w:pPr>
    </w:p>
    <w:p>
      <w:pPr>
        <w:pStyle w:val="2"/>
        <w:rPr>
          <w:rFonts w:hint="eastAsia" w:ascii="楷体_GB2312" w:hAnsi="Times New Roman" w:eastAsia="楷体_GB2312" w:cs="Times New Roman"/>
          <w:b/>
          <w:sz w:val="32"/>
          <w:szCs w:val="24"/>
        </w:rPr>
      </w:pPr>
    </w:p>
    <w:p>
      <w:pPr>
        <w:pStyle w:val="2"/>
        <w:rPr>
          <w:rFonts w:hint="eastAsia" w:ascii="楷体_GB2312" w:hAnsi="Times New Roman" w:eastAsia="楷体_GB2312" w:cs="Times New Roman"/>
          <w:b/>
          <w:sz w:val="32"/>
          <w:szCs w:val="24"/>
        </w:rPr>
      </w:pPr>
    </w:p>
    <w:p>
      <w:pPr>
        <w:ind w:firstLine="560"/>
        <w:rPr>
          <w:rFonts w:ascii="楷体_GB2312" w:hAnsi="黑体" w:eastAsia="楷体_GB2312" w:cs="Times New Roman"/>
          <w:b/>
          <w:sz w:val="32"/>
          <w:szCs w:val="32"/>
        </w:rPr>
      </w:pPr>
      <w:r>
        <w:rPr>
          <w:rFonts w:hint="eastAsia" w:ascii="楷体_GB2312" w:hAnsi="黑体" w:eastAsia="楷体_GB2312" w:cs="Times New Roman"/>
          <w:b/>
          <w:sz w:val="32"/>
          <w:szCs w:val="32"/>
        </w:rPr>
        <w:t>部门职责及工作活动绩效目标指标：</w:t>
      </w:r>
    </w:p>
    <w:p>
      <w:pPr>
        <w:ind w:firstLine="560"/>
        <w:rPr>
          <w:rFonts w:ascii="楷体_GB2312" w:hAnsi="Times New Roman" w:eastAsia="楷体_GB2312" w:cs="Times New Roman"/>
          <w:b/>
          <w:sz w:val="32"/>
          <w:szCs w:val="24"/>
        </w:rPr>
      </w:pPr>
    </w:p>
    <w:p>
      <w:pPr>
        <w:jc w:val="center"/>
        <w:outlineLvl w:val="0"/>
        <w:rPr>
          <w:rFonts w:ascii="方正小标宋_GBK" w:eastAsia="方正小标宋_GBK"/>
          <w:color w:val="FFFFFF"/>
          <w:sz w:val="32"/>
        </w:rPr>
      </w:pPr>
      <w:bookmarkStart w:id="0" w:name="_Toc1639848"/>
      <w:r>
        <w:rPr>
          <w:rFonts w:hint="eastAsia" w:ascii="方正小标宋_GBK" w:eastAsia="方正小标宋_GBK"/>
          <w:sz w:val="32"/>
        </w:rPr>
        <w:t>部门职责-工作活动绩效目标</w:t>
      </w:r>
      <w:r>
        <w:rPr>
          <w:rStyle w:val="8"/>
          <w:rFonts w:ascii="方正小标宋_GBK" w:eastAsia="方正小标宋_GBK"/>
          <w:color w:val="FFFFFF"/>
          <w:sz w:val="32"/>
        </w:rPr>
        <w:footnoteReference w:id="0" w:customMarkFollows="1"/>
        <w:sym w:font="Symbol" w:char="F020"/>
      </w:r>
      <w:bookmarkEnd w:id="0"/>
    </w:p>
    <w:tbl>
      <w:tblPr>
        <w:tblStyle w:val="6"/>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467</w:t>
            </w:r>
            <w:r>
              <w:rPr>
                <w:rFonts w:hint="eastAsia" w:ascii="方正小标宋_GBK" w:eastAsia="方正小标宋_GBK"/>
                <w:sz w:val="24"/>
              </w:rPr>
              <w:t>石家庄市环境保护局鹿泉区分局</w:t>
            </w:r>
          </w:p>
        </w:tc>
        <w:tc>
          <w:tcPr>
            <w:tcW w:w="29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1417" w:type="dxa"/>
            <w:vMerge w:val="continue"/>
            <w:shd w:val="clear" w:color="auto" w:fill="auto"/>
            <w:vAlign w:val="center"/>
          </w:tcPr>
          <w:p>
            <w:pPr>
              <w:spacing w:line="300" w:lineRule="exact"/>
              <w:jc w:val="left"/>
              <w:outlineLvl w:val="0"/>
            </w:pP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一、一、环境监测与监察</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177.43</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环境要素的监测与综合分析评价，提高环境监测和预警能力，提高环境监测自动站的建设、管理。加大环境监管执法力度，完善环境基本公共服务体系建设。开展本区环境保护督察工作。坚持预防为主，防范环境风险，完善环境应急管理体系建设，环境应急值守工作规范化、系统化；建立健全本区重污染天气应急响应机制，提高预防、预警、应对能力。</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环境数据的综合分析、数据发布，环境质量预警等多项工作，预报污染事故，保证政府及时采取对策，降低或减少环境灾害。加大对重点案件的现场调查处理。完成本区环境保护督查工作。建立健全应急救援体系，有效控制、减轻环境风险，最大程度避免突发环境事件对环境造成的损失和危害。</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、环境监测与信息</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177.43</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和实施全区各项环境要素的监测、调查、预报预警、统计分析及评价。开展污染源监督监测、污染事故应急监测、污染纠纷监测，保障环境质量自动监测站（网）正常运行，进行环境信息系统建设，为环境管理提供技术支持。组织全区监测培训。</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完成饮用水源地、土壤、空气监测、新增手机基站、广播通讯等项目监督检测</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空气自动监测站综合运行率</w:t>
            </w:r>
            <w:r>
              <w:rPr>
                <w:rFonts w:ascii="方正书宋_GBK" w:eastAsia="方正书宋_GBK"/>
              </w:rPr>
              <w:t xml:space="preserve">                   </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项目检测到位率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、环境监察与督查</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组织全区环境监察人员岗位培训。落实全区稽查工作。对环境违法案件进行查处。开展全区环境保护督察工作。</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完成环境监察人员岗位培训，切实提高环境监察基层人员的素质</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督察完成率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案件处理率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环境监察人员轮训完成率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、环境安全与应急处置</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坚持预防为主，防范环境风险，完善环境应急管理体系建设，环境应急值守工作规范化、系统化；建立健全本区重污染天气应急响应机制，提高预防、预警、应对能力。组织开展环境应急演练工作。</w:t>
            </w:r>
          </w:p>
        </w:tc>
        <w:tc>
          <w:tcPr>
            <w:tcW w:w="2976" w:type="dxa"/>
            <w:vMerge w:val="restart"/>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突发环境事件处置率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企业环境风险评估率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《重污染天气应急预案》修编完成率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开展环境应急演练次数</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次</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次</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二、二、环境污染综合防治</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2084.00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制定大气、水体、固体废物、机动车等污染防治管理制度并组织实施，会同有关部门监督管理饮用水水源地环境保护。负责全区固体废物监督、检查、管理工作，组织开展废弃电器电子产品拆解处理审核。加强对重点污染治理工程的防治和全区重点流域、区域、海域污染综合防治。</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加强大气、水、固体废弃物、重金属、机动车污染等重点污染治理工程的防治工作。加强固体废物管理和废弃电器电子产品拆解处理审核。推进重点污染治理工程开展，改善我区环境质量。</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、水污染防治</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2054.00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加强河流湖泊水污染防治、地下水污染防治、近岸海域水污染防治、饮用水源保护、污染水体整治、水污染源监督管理、水污染防治和水环境保护工程。编制本区重污染流域治理方案</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完善更新本区集中式地下水饮用水水源地和主要地下水污染源清单，同时动态更新城镇集中式地下水饮用水水源补给区内的污染源清单，对符合重点调查对象筛选原则的集中式城镇饮用水水源补给区、化工类工业污染源开展详细的地下水基础环境状况调查评估完成取样和分析工作。制定污染源的负荷削减和河道生态修复方案。</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水体污染防治达标率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水体污染防治方案编制完成率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、机动车污染防治</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对机动车污染防治实行统一监督管理，加强机动车环保监测单位运行监督管理，配合完成对全区设施污染排放和老旧车黄标车的淘汰工作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强化机动车污染监督管理工作，加强对机动车排放检验机构的监督管理，配合圆满完成老旧车淘汰工作。完成全县机动车污染监管平台的功能测试，并运行该平台。</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机动车排放检验机构监管覆盖率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、固体废弃物、化学品、重金属等污染防治</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固体废弃物、重金属、土壤、进口废物等污染防治。强化危废规范化管理，遏制非法转移，提高固体废物特别是危险废物的减量化、资源化和无害化处置水平，降低环境风险，保障生态安全。核定废弃电器电子产品处理企业拆解处理种类和数量。提升危险废物、进口废物、废弃电器电子产品拆解处理等污染防治管理水平，规范企业环境行为，防范环境风险。</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组织年度全区重点行业持久性有机污染物统计上报。</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规范性审核比例</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技术性审核比例</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危险废物规范化管理抽查率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汇总上报企业比例</w:t>
            </w:r>
            <w:r>
              <w:rPr>
                <w:rFonts w:ascii="方正书宋_GBK" w:eastAsia="方正书宋_GBK"/>
              </w:rPr>
              <w:t xml:space="preserve"> </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、重点污染治理工程</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加强对影响全区环境质量的重点污染物排放进行防治，引导促进全区环境保护污染减排工程建设，推动污染综合防治活动开展。</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开展全区产能过剩行业环保认定、备案核查工作，推动污染防治工作开展，改善我区环境质量。</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重点污染治理工程完成率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产能过剩行业环保认定、备案核查完成率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三、三、自然生态保护</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强化生态保护和监察监管，提高自然保护区建设水平，加强生物多样性保护力度，提升农村生态环境质量。统筹推进我区污染治理与生态保护和建设同步发展，实现环境质量的总体改善。</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加强自然生态保护。根据我区环境形势，组织制定相关生态环境保护政策。统筹推进我区污染治理与生态保护和建设同步发展，实现环境质量的总体改善。解决农村区域性突出环境问题。</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、农村环境综合整治</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解决影响群众生活和健康较为直接的饮用水安全保障、生活垃圾和污水治理、畜禽养殖污染治理防治等突出环境问题，改善环境重点、敏感区域的农村人居和生态环境质量。</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解决农村区域性突出环境问题，农村生态环境得到综合改善。</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试点、示范区域村庄污水处理率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试点、示范区域村庄垃圾收集、处理率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、生物及物种资源保护</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提升自然保护区建设水平，加强生物多样性的保护力度，恢复区域生态功能。</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加强生物物种多样性保护，区域生态功能得以恢复。</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生物及物种资源保护工作完成率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、生态保护红线划定和管理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做好生态保护红线划定和管理工作。开展红线区域监测、评估、信息发布等工作。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开展红线划定和管理工作。促进全县生态保护红线区域生态环境功能持续增强。</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管理工作覆盖率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四、四、污染减排</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通过淘汰落后产能、提高企业清洁生产和污染物排放标准等措施，推进主要污染物减排，促进结构调整和加快转变经济发展方式。</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实现污染减排目标。研究新型清洁生产技术，提高清洁生产管理水平。</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、主要污染物排放总量控制</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通过重点行业环保核查，促进企业提标升级污染防治能力；结合行业准入，淘汰未通过核查的重污染企业；开展环境统计和污染源普查、实现主要污染物排放总量控制，总量减排责任制考核等。</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实现主要污染物排放总量控制，完成市下达我区的主要污染物减排任务、环境统计工作。</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污染源自动监控网络正常使用率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监督企业率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自动监控数据传输有效率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、污染源自动监控系统及信息化建设</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搜集、存储、加工和传输全区环境质量状况、主要污染物排放情况、自然生态保护、环境管理等重要信息。全区重点污染源在线监控工作。</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全区环保业务专网安全稳定运行，按照电子政务要求实现全县环保系统业务应用系统信息化，满足数据收集、整理、传输、管理和分析决策的需要。运用信息化技术监督企业排污行为，严防排放数据造假行为，为环境执法、污染减排等提供数据支撑。保证全区环保业务专网安全稳定运行，按照电子政务要求实现全县环保系统业务应用系统信息化，满足数据收集、整理、传输、管理和分析决策的需要。运用信息化技术监督企业排污行为，严防排放数据造假行为，为环境执法、污染减排等提供数据支撑。提升污染源监控环境信息化水平。</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污染源自动监控网络正常使用率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监督企业率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自动监控数据传输有效率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、清洁生产促进及技术研究</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对重点企业进行清洁生产审核及污染防治对标评估验收，提高重点企业和四大行业污染防治水平</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通过清洁生产和对标，对企业使用资源及能耗等消耗情况进行分析，核算其主要污染物减排量。推广先进工艺和节能减排技术。</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完成清审及对标评估验收、咨询机构核查率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节能、降耗、减排、增效率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五、五、环境保护宣传教育</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拟订全区环境保护宣传教育计划、规划，并组织实施；承担全区环境保护新闻报道和舆论监督工作；组织本系统人员培训；开展环境教育和环境保护民间组织的环保工作；承担环境保护社会表彰工作。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加大环境新闻发布力度、积极回应环境热点问题、加强环境舆情监测、提升全民环境意识、鼓励和引导社会公众积极参与环境保护</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、环境保护社会宣传</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开展组织环保主题宣传活动；建立健全环保公众参与机制；组织开展社会表彰、成就宣传、典型宣传；推出环保宣传品和全民环境教育读物等。</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普及环保政策法规和知识，引导规范环境保护公众参与，提高公民的环保意识、提升公民的参与能力，为推进全县环保工作营造良好的社会氛围和舆论环境。</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社会主题宣传活动次数</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环保宣传品、环境教育读物编印次数</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、环境保护</w:t>
            </w:r>
          </w:p>
          <w:p>
            <w:pPr>
              <w:spacing w:line="300" w:lineRule="exact"/>
              <w:jc w:val="left"/>
              <w:rPr>
                <w:rFonts w:ascii="方正书宋_GBK" w:eastAsia="方正书宋_GBK"/>
                <w:b/>
              </w:rPr>
            </w:pPr>
            <w:r>
              <w:rPr>
                <w:rFonts w:hint="eastAsia" w:ascii="方正书宋_GBK" w:eastAsia="方正书宋_GBK"/>
                <w:b/>
              </w:rPr>
              <w:t>新闻宣传</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强化环境新闻发布、策划专题新闻报道、组织媒体典型宣传和曝光；规范新闻采访；加强环境舆情监测、分析和舆论引导；组织和协调新闻媒体进行环保宣传和新闻报道。</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建立信息发布工作机制；组织新闻发布会、媒体通气会；重视环境舆情，编发环境舆情信息；发挥新媒体作用，建好政务微博、微信平台。</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媒体刊稿篇（条）数</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环境舆情简报期数</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广播、电视、网络广播次数</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次</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次</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、开展环境宣传教育、组织相关培训</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以各类学校为平台、活动为载体、创建为形式，在全区青少年中开展环境教育。对各级党政领导干部、各类企业、环保系统及农村和城镇等不同群体和阶层的环境教育培训。</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通过开展绿色学校创建活动，提高青少年环境意识。通过全民环境教育体系建设，使全社会认识到保护环境、可持续发展的重要性，提升全社会保护环境的能力。</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参加环保活动学生占百分比</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开展环保教育和活动次数</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六、六、环保政务管理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173.00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负责环境保护系统综合业务管理和机关综合事务管理。</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加强环保保护管理工作。</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173.00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拟定并组织实施全区年度环境保护地方环境标准、技术规范。加强污染治理技术研究及推广、排污费征收管理及环保专项资金使用。完善环保公共服务体系，加强环保创新能力，加大重点实验室及环境监测、监察的建设力度。</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完成全区环境保护各项工作任务。保障各项业务工作畅通。</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各项综合业务管理工作完成率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、综合事务管理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加强环保专项资金使用管理；加强调查研究，提高管理意识及业务能力。</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完成全区环境保护各项工作任务。保障机关正常工作高效运转。</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各项综合业务管理工作完成率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bl>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 xml:space="preserve">     六、政府采购预算情况</w:t>
      </w:r>
    </w:p>
    <w:p>
      <w:pPr>
        <w:spacing w:line="300" w:lineRule="exact"/>
        <w:jc w:val="left"/>
        <w:outlineLvl w:val="0"/>
      </w:pPr>
    </w:p>
    <w:p>
      <w:pPr>
        <w:spacing w:line="500" w:lineRule="exact"/>
        <w:ind w:firstLine="560" w:firstLineChars="200"/>
        <w:jc w:val="left"/>
        <w:rPr>
          <w:rFonts w:eastAsia="方正仿宋_GBK"/>
          <w:sz w:val="28"/>
        </w:rPr>
      </w:pPr>
      <w:r>
        <w:rPr>
          <w:rFonts w:eastAsia="方正仿宋_GBK"/>
          <w:sz w:val="28"/>
        </w:rPr>
        <w:t>20</w:t>
      </w:r>
      <w:r>
        <w:rPr>
          <w:rFonts w:hint="eastAsia" w:eastAsia="方正仿宋_GBK"/>
          <w:sz w:val="28"/>
          <w:lang w:val="en-US" w:eastAsia="zh-CN"/>
        </w:rPr>
        <w:t>19</w:t>
      </w:r>
      <w:r>
        <w:rPr>
          <w:rFonts w:eastAsia="方正仿宋_GBK"/>
          <w:sz w:val="28"/>
        </w:rPr>
        <w:t>年，</w:t>
      </w:r>
      <w:r>
        <w:rPr>
          <w:rFonts w:hint="eastAsia" w:eastAsia="方正仿宋_GBK"/>
          <w:sz w:val="28"/>
          <w:lang w:eastAsia="zh-CN"/>
        </w:rPr>
        <w:t>石家庄市生态环境局鹿泉区分局</w:t>
      </w:r>
      <w:r>
        <w:rPr>
          <w:rFonts w:eastAsia="方正仿宋_GBK"/>
          <w:sz w:val="28"/>
        </w:rPr>
        <w:t>安排政府采购预算</w:t>
      </w:r>
      <w:r>
        <w:rPr>
          <w:rFonts w:hint="eastAsia" w:eastAsia="方正仿宋_GBK"/>
          <w:sz w:val="28"/>
          <w:lang w:val="en-US" w:eastAsia="zh-CN"/>
        </w:rPr>
        <w:t>96</w:t>
      </w:r>
      <w:r>
        <w:rPr>
          <w:rFonts w:eastAsia="方正仿宋_GBK"/>
          <w:sz w:val="28"/>
        </w:rPr>
        <w:t>万元。具体内容见下表。</w:t>
      </w:r>
    </w:p>
    <w:p>
      <w:pPr>
        <w:spacing w:line="300" w:lineRule="exact"/>
        <w:jc w:val="left"/>
        <w:outlineLvl w:val="0"/>
      </w:pPr>
    </w:p>
    <w:p>
      <w:pPr>
        <w:jc w:val="center"/>
        <w:outlineLvl w:val="0"/>
        <w:rPr>
          <w:rFonts w:ascii="方正小标宋_GBK" w:hAnsi="Times New Roman" w:eastAsia="方正小标宋_GBK" w:cs="Times New Roman"/>
          <w:sz w:val="32"/>
          <w:szCs w:val="24"/>
        </w:rPr>
      </w:pPr>
      <w:r>
        <w:rPr>
          <w:rFonts w:hint="eastAsia" w:ascii="方正小标宋_GBK" w:hAnsi="Times New Roman" w:eastAsia="方正小标宋_GBK" w:cs="Times New Roman"/>
          <w:sz w:val="32"/>
          <w:szCs w:val="24"/>
        </w:rPr>
        <w:t>部门政府采购预算</w:t>
      </w:r>
    </w:p>
    <w:tbl>
      <w:tblPr>
        <w:tblStyle w:val="6"/>
        <w:tblW w:w="1375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55"/>
        <w:gridCol w:w="976"/>
        <w:gridCol w:w="672"/>
        <w:gridCol w:w="1524"/>
        <w:gridCol w:w="564"/>
        <w:gridCol w:w="976"/>
        <w:gridCol w:w="976"/>
        <w:gridCol w:w="976"/>
        <w:gridCol w:w="976"/>
        <w:gridCol w:w="976"/>
        <w:gridCol w:w="754"/>
        <w:gridCol w:w="756"/>
        <w:gridCol w:w="859"/>
        <w:gridCol w:w="6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843"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hint="eastAsia" w:ascii="方正小标宋_GBK" w:eastAsia="方正小标宋_GBK"/>
                <w:sz w:val="24"/>
              </w:rPr>
              <w:t>467石家庄市环境保护局鹿泉区分局</w:t>
            </w:r>
          </w:p>
        </w:tc>
        <w:tc>
          <w:tcPr>
            <w:tcW w:w="5909"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131"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672"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2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56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  单位</w:t>
            </w:r>
          </w:p>
        </w:tc>
        <w:tc>
          <w:tcPr>
            <w:tcW w:w="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909" w:type="dxa"/>
            <w:gridSpan w:val="7"/>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155"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672" w:type="dxa"/>
            <w:vMerge w:val="continue"/>
            <w:shd w:val="clear" w:color="auto" w:fill="auto"/>
            <w:vAlign w:val="center"/>
          </w:tcPr>
          <w:p>
            <w:pPr>
              <w:spacing w:line="300" w:lineRule="exact"/>
              <w:jc w:val="left"/>
              <w:outlineLvl w:val="0"/>
            </w:pPr>
          </w:p>
        </w:tc>
        <w:tc>
          <w:tcPr>
            <w:tcW w:w="1524" w:type="dxa"/>
            <w:vMerge w:val="continue"/>
            <w:shd w:val="clear" w:color="auto" w:fill="auto"/>
            <w:vAlign w:val="center"/>
          </w:tcPr>
          <w:p>
            <w:pPr>
              <w:spacing w:line="300" w:lineRule="exact"/>
              <w:jc w:val="left"/>
              <w:outlineLvl w:val="0"/>
            </w:pPr>
          </w:p>
        </w:tc>
        <w:tc>
          <w:tcPr>
            <w:tcW w:w="564" w:type="dxa"/>
            <w:vMerge w:val="continue"/>
            <w:shd w:val="clear" w:color="auto" w:fill="auto"/>
            <w:vAlign w:val="center"/>
          </w:tcPr>
          <w:p>
            <w:pPr>
              <w:spacing w:line="300" w:lineRule="exact"/>
              <w:jc w:val="left"/>
              <w:outlineLvl w:val="0"/>
            </w:pPr>
          </w:p>
        </w:tc>
        <w:tc>
          <w:tcPr>
            <w:tcW w:w="976" w:type="dxa"/>
            <w:vMerge w:val="continue"/>
            <w:shd w:val="clear" w:color="auto" w:fill="auto"/>
            <w:vAlign w:val="center"/>
          </w:tcPr>
          <w:p>
            <w:pPr>
              <w:spacing w:line="300" w:lineRule="exact"/>
              <w:jc w:val="left"/>
              <w:outlineLvl w:val="0"/>
            </w:pPr>
          </w:p>
        </w:tc>
        <w:tc>
          <w:tcPr>
            <w:tcW w:w="976" w:type="dxa"/>
            <w:vMerge w:val="continue"/>
            <w:shd w:val="clear" w:color="auto" w:fill="auto"/>
            <w:vAlign w:val="center"/>
          </w:tcPr>
          <w:p>
            <w:pPr>
              <w:spacing w:line="300" w:lineRule="exact"/>
              <w:jc w:val="left"/>
              <w:outlineLvl w:val="0"/>
            </w:pPr>
          </w:p>
        </w:tc>
        <w:tc>
          <w:tcPr>
            <w:tcW w:w="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总计</w:t>
            </w:r>
          </w:p>
        </w:tc>
        <w:tc>
          <w:tcPr>
            <w:tcW w:w="4321" w:type="dxa"/>
            <w:gridSpan w:val="5"/>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当年部门预算安排资金</w:t>
            </w:r>
          </w:p>
        </w:tc>
        <w:tc>
          <w:tcPr>
            <w:tcW w:w="612"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155" w:type="dxa"/>
            <w:vMerge w:val="continue"/>
            <w:shd w:val="clear" w:color="auto" w:fill="auto"/>
            <w:vAlign w:val="center"/>
          </w:tcPr>
          <w:p>
            <w:pPr>
              <w:spacing w:line="300" w:lineRule="exact"/>
              <w:jc w:val="left"/>
              <w:outlineLvl w:val="0"/>
            </w:pPr>
          </w:p>
        </w:tc>
        <w:tc>
          <w:tcPr>
            <w:tcW w:w="976" w:type="dxa"/>
            <w:vMerge w:val="continue"/>
            <w:shd w:val="clear" w:color="auto" w:fill="auto"/>
            <w:vAlign w:val="center"/>
          </w:tcPr>
          <w:p>
            <w:pPr>
              <w:spacing w:line="300" w:lineRule="exact"/>
              <w:jc w:val="left"/>
              <w:outlineLvl w:val="0"/>
            </w:pPr>
          </w:p>
        </w:tc>
        <w:tc>
          <w:tcPr>
            <w:tcW w:w="672" w:type="dxa"/>
            <w:vMerge w:val="continue"/>
            <w:shd w:val="clear" w:color="auto" w:fill="auto"/>
            <w:vAlign w:val="center"/>
          </w:tcPr>
          <w:p>
            <w:pPr>
              <w:spacing w:line="300" w:lineRule="exact"/>
              <w:jc w:val="left"/>
              <w:outlineLvl w:val="0"/>
            </w:pPr>
          </w:p>
        </w:tc>
        <w:tc>
          <w:tcPr>
            <w:tcW w:w="1524" w:type="dxa"/>
            <w:vMerge w:val="continue"/>
            <w:shd w:val="clear" w:color="auto" w:fill="auto"/>
            <w:vAlign w:val="center"/>
          </w:tcPr>
          <w:p>
            <w:pPr>
              <w:spacing w:line="300" w:lineRule="exact"/>
              <w:jc w:val="left"/>
              <w:outlineLvl w:val="0"/>
            </w:pPr>
          </w:p>
        </w:tc>
        <w:tc>
          <w:tcPr>
            <w:tcW w:w="564" w:type="dxa"/>
            <w:vMerge w:val="continue"/>
            <w:shd w:val="clear" w:color="auto" w:fill="auto"/>
            <w:vAlign w:val="center"/>
          </w:tcPr>
          <w:p>
            <w:pPr>
              <w:spacing w:line="300" w:lineRule="exact"/>
              <w:jc w:val="left"/>
              <w:outlineLvl w:val="0"/>
            </w:pPr>
          </w:p>
        </w:tc>
        <w:tc>
          <w:tcPr>
            <w:tcW w:w="976" w:type="dxa"/>
            <w:vMerge w:val="continue"/>
            <w:shd w:val="clear" w:color="auto" w:fill="auto"/>
            <w:vAlign w:val="center"/>
          </w:tcPr>
          <w:p>
            <w:pPr>
              <w:spacing w:line="300" w:lineRule="exact"/>
              <w:jc w:val="left"/>
              <w:outlineLvl w:val="0"/>
            </w:pPr>
          </w:p>
        </w:tc>
        <w:tc>
          <w:tcPr>
            <w:tcW w:w="976" w:type="dxa"/>
            <w:vMerge w:val="continue"/>
            <w:shd w:val="clear" w:color="auto" w:fill="auto"/>
            <w:vAlign w:val="center"/>
          </w:tcPr>
          <w:p>
            <w:pPr>
              <w:spacing w:line="300" w:lineRule="exact"/>
              <w:jc w:val="left"/>
              <w:outlineLvl w:val="0"/>
            </w:pPr>
          </w:p>
        </w:tc>
        <w:tc>
          <w:tcPr>
            <w:tcW w:w="976" w:type="dxa"/>
            <w:vMerge w:val="continue"/>
            <w:shd w:val="clear" w:color="auto" w:fill="auto"/>
            <w:vAlign w:val="center"/>
          </w:tcPr>
          <w:p>
            <w:pPr>
              <w:spacing w:line="300" w:lineRule="exact"/>
              <w:jc w:val="left"/>
              <w:outlineLvl w:val="0"/>
            </w:pPr>
          </w:p>
        </w:tc>
        <w:tc>
          <w:tcPr>
            <w:tcW w:w="9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75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75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5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其他来源收入</w:t>
            </w:r>
          </w:p>
        </w:tc>
        <w:tc>
          <w:tcPr>
            <w:tcW w:w="612" w:type="dxa"/>
            <w:vMerge w:val="continue"/>
            <w:shd w:val="clear" w:color="auto" w:fill="auto"/>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5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976" w:type="dxa"/>
            <w:shd w:val="clear" w:color="auto" w:fill="auto"/>
            <w:vAlign w:val="center"/>
          </w:tcPr>
          <w:p>
            <w:pPr>
              <w:spacing w:line="300" w:lineRule="exact"/>
              <w:jc w:val="right"/>
              <w:rPr>
                <w:rFonts w:ascii="方正书宋_GBK" w:eastAsia="方正书宋_GBK"/>
                <w:b/>
              </w:rPr>
            </w:pPr>
          </w:p>
        </w:tc>
        <w:tc>
          <w:tcPr>
            <w:tcW w:w="672" w:type="dxa"/>
            <w:shd w:val="clear" w:color="auto" w:fill="auto"/>
            <w:vAlign w:val="center"/>
          </w:tcPr>
          <w:p>
            <w:pPr>
              <w:spacing w:line="300" w:lineRule="exact"/>
              <w:jc w:val="left"/>
              <w:rPr>
                <w:rFonts w:ascii="方正书宋_GBK" w:eastAsia="方正书宋_GBK"/>
                <w:b/>
              </w:rPr>
            </w:pPr>
          </w:p>
        </w:tc>
        <w:tc>
          <w:tcPr>
            <w:tcW w:w="1524" w:type="dxa"/>
            <w:shd w:val="clear" w:color="auto" w:fill="auto"/>
            <w:vAlign w:val="center"/>
          </w:tcPr>
          <w:p>
            <w:pPr>
              <w:spacing w:line="300" w:lineRule="exact"/>
              <w:jc w:val="left"/>
              <w:rPr>
                <w:rFonts w:ascii="方正书宋_GBK" w:eastAsia="方正书宋_GBK"/>
                <w:b/>
              </w:rPr>
            </w:pPr>
          </w:p>
        </w:tc>
        <w:tc>
          <w:tcPr>
            <w:tcW w:w="564" w:type="dxa"/>
            <w:shd w:val="clear" w:color="auto" w:fill="auto"/>
            <w:vAlign w:val="center"/>
          </w:tcPr>
          <w:p>
            <w:pPr>
              <w:spacing w:line="300" w:lineRule="exact"/>
              <w:jc w:val="left"/>
              <w:rPr>
                <w:rFonts w:ascii="方正书宋_GBK" w:eastAsia="方正书宋_GBK"/>
                <w:b/>
              </w:rPr>
            </w:pPr>
          </w:p>
        </w:tc>
        <w:tc>
          <w:tcPr>
            <w:tcW w:w="976" w:type="dxa"/>
            <w:shd w:val="clear" w:color="auto" w:fill="auto"/>
            <w:vAlign w:val="center"/>
          </w:tcPr>
          <w:p>
            <w:pPr>
              <w:spacing w:line="300" w:lineRule="exact"/>
              <w:jc w:val="right"/>
              <w:rPr>
                <w:rFonts w:ascii="方正书宋_GBK" w:eastAsia="方正书宋_GBK"/>
                <w:b/>
              </w:rPr>
            </w:pPr>
          </w:p>
        </w:tc>
        <w:tc>
          <w:tcPr>
            <w:tcW w:w="976" w:type="dxa"/>
            <w:shd w:val="clear" w:color="auto" w:fill="auto"/>
            <w:vAlign w:val="center"/>
          </w:tcPr>
          <w:p>
            <w:pPr>
              <w:spacing w:line="300" w:lineRule="exact"/>
              <w:jc w:val="right"/>
              <w:rPr>
                <w:rFonts w:ascii="方正书宋_GBK" w:eastAsia="方正书宋_GBK"/>
                <w:b/>
              </w:rPr>
            </w:pPr>
          </w:p>
        </w:tc>
        <w:tc>
          <w:tcPr>
            <w:tcW w:w="976" w:type="dxa"/>
            <w:shd w:val="clear" w:color="auto" w:fill="auto"/>
            <w:vAlign w:val="center"/>
          </w:tcPr>
          <w:p>
            <w:pPr>
              <w:spacing w:line="300" w:lineRule="exact"/>
              <w:jc w:val="right"/>
              <w:rPr>
                <w:rFonts w:ascii="方正书宋_GBK" w:eastAsia="方正书宋_GBK"/>
                <w:b/>
              </w:rPr>
            </w:pPr>
            <w:r>
              <w:rPr>
                <w:rFonts w:ascii="方正书宋_GBK" w:eastAsia="方正书宋_GBK"/>
              </w:rPr>
              <w:t>9</w:t>
            </w:r>
            <w:r>
              <w:rPr>
                <w:rFonts w:hint="eastAsia" w:ascii="方正书宋_GBK" w:eastAsia="方正书宋_GBK"/>
              </w:rPr>
              <w:t>6</w:t>
            </w:r>
            <w:r>
              <w:rPr>
                <w:rFonts w:ascii="方正书宋_GBK" w:eastAsia="方正书宋_GBK"/>
              </w:rPr>
              <w:t>.00</w:t>
            </w:r>
          </w:p>
        </w:tc>
        <w:tc>
          <w:tcPr>
            <w:tcW w:w="976" w:type="dxa"/>
            <w:shd w:val="clear" w:color="auto" w:fill="auto"/>
            <w:vAlign w:val="center"/>
          </w:tcPr>
          <w:p>
            <w:pPr>
              <w:spacing w:line="300" w:lineRule="exact"/>
              <w:jc w:val="right"/>
              <w:rPr>
                <w:rFonts w:ascii="方正书宋_GBK" w:eastAsia="方正书宋_GBK"/>
                <w:b/>
              </w:rPr>
            </w:pPr>
            <w:r>
              <w:rPr>
                <w:rFonts w:ascii="方正书宋_GBK" w:eastAsia="方正书宋_GBK"/>
              </w:rPr>
              <w:t>9</w:t>
            </w:r>
            <w:r>
              <w:rPr>
                <w:rFonts w:hint="eastAsia" w:ascii="方正书宋_GBK" w:eastAsia="方正书宋_GBK"/>
              </w:rPr>
              <w:t>6</w:t>
            </w:r>
            <w:r>
              <w:rPr>
                <w:rFonts w:ascii="方正书宋_GBK" w:eastAsia="方正书宋_GBK"/>
              </w:rPr>
              <w:t>.00</w:t>
            </w:r>
          </w:p>
        </w:tc>
        <w:tc>
          <w:tcPr>
            <w:tcW w:w="976" w:type="dxa"/>
            <w:shd w:val="clear" w:color="auto" w:fill="auto"/>
            <w:vAlign w:val="center"/>
          </w:tcPr>
          <w:p>
            <w:pPr>
              <w:spacing w:line="300" w:lineRule="exact"/>
              <w:jc w:val="right"/>
              <w:rPr>
                <w:rFonts w:ascii="方正书宋_GBK" w:eastAsia="方正书宋_GBK"/>
                <w:b/>
              </w:rPr>
            </w:pPr>
            <w:r>
              <w:rPr>
                <w:rFonts w:ascii="方正书宋_GBK" w:eastAsia="方正书宋_GBK"/>
              </w:rPr>
              <w:t>9</w:t>
            </w:r>
            <w:r>
              <w:rPr>
                <w:rFonts w:hint="eastAsia" w:ascii="方正书宋_GBK" w:eastAsia="方正书宋_GBK"/>
              </w:rPr>
              <w:t>6</w:t>
            </w:r>
            <w:r>
              <w:rPr>
                <w:rFonts w:ascii="方正书宋_GBK" w:eastAsia="方正书宋_GBK"/>
              </w:rPr>
              <w:t>.00</w:t>
            </w:r>
          </w:p>
        </w:tc>
        <w:tc>
          <w:tcPr>
            <w:tcW w:w="754" w:type="dxa"/>
            <w:shd w:val="clear" w:color="auto" w:fill="auto"/>
            <w:vAlign w:val="center"/>
          </w:tcPr>
          <w:p>
            <w:pPr>
              <w:spacing w:line="300" w:lineRule="exact"/>
              <w:jc w:val="right"/>
              <w:rPr>
                <w:rFonts w:ascii="方正书宋_GBK" w:eastAsia="方正书宋_GBK"/>
                <w:b/>
              </w:rPr>
            </w:pPr>
          </w:p>
        </w:tc>
        <w:tc>
          <w:tcPr>
            <w:tcW w:w="756" w:type="dxa"/>
            <w:shd w:val="clear" w:color="auto" w:fill="auto"/>
            <w:vAlign w:val="center"/>
          </w:tcPr>
          <w:p>
            <w:pPr>
              <w:spacing w:line="300" w:lineRule="exact"/>
              <w:jc w:val="right"/>
              <w:rPr>
                <w:rFonts w:ascii="方正书宋_GBK" w:eastAsia="方正书宋_GBK"/>
                <w:b/>
              </w:rPr>
            </w:pPr>
          </w:p>
        </w:tc>
        <w:tc>
          <w:tcPr>
            <w:tcW w:w="859" w:type="dxa"/>
            <w:shd w:val="clear" w:color="auto" w:fill="auto"/>
            <w:vAlign w:val="center"/>
          </w:tcPr>
          <w:p>
            <w:pPr>
              <w:spacing w:line="300" w:lineRule="exact"/>
              <w:ind w:right="210"/>
              <w:jc w:val="right"/>
              <w:rPr>
                <w:rFonts w:ascii="方正书宋_GBK" w:eastAsia="方正书宋_GBK"/>
                <w:b/>
              </w:rPr>
            </w:pPr>
          </w:p>
        </w:tc>
        <w:tc>
          <w:tcPr>
            <w:tcW w:w="612"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5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小计</w:t>
            </w:r>
          </w:p>
        </w:tc>
        <w:tc>
          <w:tcPr>
            <w:tcW w:w="976" w:type="dxa"/>
            <w:shd w:val="clear" w:color="auto" w:fill="auto"/>
            <w:vAlign w:val="center"/>
          </w:tcPr>
          <w:p>
            <w:pPr>
              <w:spacing w:line="300" w:lineRule="exact"/>
              <w:jc w:val="right"/>
              <w:rPr>
                <w:rFonts w:ascii="方正书宋_GBK" w:eastAsia="方正书宋_GBK"/>
                <w:b/>
              </w:rPr>
            </w:pPr>
          </w:p>
        </w:tc>
        <w:tc>
          <w:tcPr>
            <w:tcW w:w="672" w:type="dxa"/>
            <w:shd w:val="clear" w:color="auto" w:fill="auto"/>
            <w:vAlign w:val="center"/>
          </w:tcPr>
          <w:p>
            <w:pPr>
              <w:spacing w:line="300" w:lineRule="exact"/>
              <w:jc w:val="left"/>
              <w:rPr>
                <w:rFonts w:ascii="方正书宋_GBK" w:eastAsia="方正书宋_GBK"/>
                <w:b/>
              </w:rPr>
            </w:pPr>
          </w:p>
        </w:tc>
        <w:tc>
          <w:tcPr>
            <w:tcW w:w="1524" w:type="dxa"/>
            <w:shd w:val="clear" w:color="auto" w:fill="auto"/>
            <w:vAlign w:val="center"/>
          </w:tcPr>
          <w:p>
            <w:pPr>
              <w:spacing w:line="300" w:lineRule="exact"/>
              <w:jc w:val="left"/>
              <w:rPr>
                <w:rFonts w:ascii="方正书宋_GBK" w:eastAsia="方正书宋_GBK"/>
                <w:b/>
              </w:rPr>
            </w:pPr>
          </w:p>
        </w:tc>
        <w:tc>
          <w:tcPr>
            <w:tcW w:w="564" w:type="dxa"/>
            <w:shd w:val="clear" w:color="auto" w:fill="auto"/>
            <w:vAlign w:val="center"/>
          </w:tcPr>
          <w:p>
            <w:pPr>
              <w:spacing w:line="300" w:lineRule="exact"/>
              <w:jc w:val="left"/>
              <w:rPr>
                <w:rFonts w:ascii="方正书宋_GBK" w:eastAsia="方正书宋_GBK"/>
                <w:b/>
              </w:rPr>
            </w:pPr>
          </w:p>
        </w:tc>
        <w:tc>
          <w:tcPr>
            <w:tcW w:w="976" w:type="dxa"/>
            <w:shd w:val="clear" w:color="auto" w:fill="auto"/>
            <w:vAlign w:val="center"/>
          </w:tcPr>
          <w:p>
            <w:pPr>
              <w:spacing w:line="300" w:lineRule="exact"/>
              <w:jc w:val="right"/>
              <w:rPr>
                <w:rFonts w:ascii="方正书宋_GBK" w:eastAsia="方正书宋_GBK"/>
                <w:b/>
              </w:rPr>
            </w:pPr>
          </w:p>
        </w:tc>
        <w:tc>
          <w:tcPr>
            <w:tcW w:w="976" w:type="dxa"/>
            <w:shd w:val="clear" w:color="auto" w:fill="auto"/>
            <w:vAlign w:val="center"/>
          </w:tcPr>
          <w:p>
            <w:pPr>
              <w:spacing w:line="300" w:lineRule="exact"/>
              <w:jc w:val="right"/>
              <w:rPr>
                <w:rFonts w:ascii="方正书宋_GBK" w:eastAsia="方正书宋_GBK"/>
                <w:b/>
              </w:rPr>
            </w:pPr>
          </w:p>
        </w:tc>
        <w:tc>
          <w:tcPr>
            <w:tcW w:w="976" w:type="dxa"/>
            <w:shd w:val="clear" w:color="auto" w:fill="auto"/>
            <w:vAlign w:val="center"/>
          </w:tcPr>
          <w:p>
            <w:pPr>
              <w:spacing w:line="300" w:lineRule="exact"/>
              <w:jc w:val="right"/>
              <w:rPr>
                <w:rFonts w:ascii="方正书宋_GBK" w:eastAsia="方正书宋_GBK"/>
                <w:b/>
              </w:rPr>
            </w:pPr>
            <w:r>
              <w:rPr>
                <w:rFonts w:ascii="方正书宋_GBK" w:eastAsia="方正书宋_GBK"/>
              </w:rPr>
              <w:t>9</w:t>
            </w:r>
            <w:r>
              <w:rPr>
                <w:rFonts w:hint="eastAsia" w:ascii="方正书宋_GBK" w:eastAsia="方正书宋_GBK"/>
              </w:rPr>
              <w:t>6</w:t>
            </w:r>
            <w:r>
              <w:rPr>
                <w:rFonts w:ascii="方正书宋_GBK" w:eastAsia="方正书宋_GBK"/>
              </w:rPr>
              <w:t>.00</w:t>
            </w:r>
          </w:p>
        </w:tc>
        <w:tc>
          <w:tcPr>
            <w:tcW w:w="976" w:type="dxa"/>
            <w:shd w:val="clear" w:color="auto" w:fill="auto"/>
            <w:vAlign w:val="center"/>
          </w:tcPr>
          <w:p>
            <w:pPr>
              <w:spacing w:line="300" w:lineRule="exact"/>
              <w:jc w:val="right"/>
              <w:rPr>
                <w:rFonts w:ascii="方正书宋_GBK" w:eastAsia="方正书宋_GBK"/>
                <w:b/>
              </w:rPr>
            </w:pPr>
            <w:r>
              <w:rPr>
                <w:rFonts w:ascii="方正书宋_GBK" w:eastAsia="方正书宋_GBK"/>
              </w:rPr>
              <w:t>9</w:t>
            </w:r>
            <w:r>
              <w:rPr>
                <w:rFonts w:hint="eastAsia" w:ascii="方正书宋_GBK" w:eastAsia="方正书宋_GBK"/>
              </w:rPr>
              <w:t>6</w:t>
            </w:r>
            <w:r>
              <w:rPr>
                <w:rFonts w:ascii="方正书宋_GBK" w:eastAsia="方正书宋_GBK"/>
              </w:rPr>
              <w:t>.00</w:t>
            </w:r>
          </w:p>
        </w:tc>
        <w:tc>
          <w:tcPr>
            <w:tcW w:w="976" w:type="dxa"/>
            <w:shd w:val="clear" w:color="auto" w:fill="auto"/>
            <w:vAlign w:val="center"/>
          </w:tcPr>
          <w:p>
            <w:pPr>
              <w:spacing w:line="300" w:lineRule="exact"/>
              <w:jc w:val="right"/>
              <w:rPr>
                <w:rFonts w:ascii="方正书宋_GBK" w:eastAsia="方正书宋_GBK"/>
                <w:b/>
              </w:rPr>
            </w:pPr>
            <w:r>
              <w:rPr>
                <w:rFonts w:ascii="方正书宋_GBK" w:eastAsia="方正书宋_GBK"/>
              </w:rPr>
              <w:t>9</w:t>
            </w:r>
            <w:r>
              <w:rPr>
                <w:rFonts w:hint="eastAsia" w:ascii="方正书宋_GBK" w:eastAsia="方正书宋_GBK"/>
              </w:rPr>
              <w:t>6</w:t>
            </w:r>
            <w:r>
              <w:rPr>
                <w:rFonts w:ascii="方正书宋_GBK" w:eastAsia="方正书宋_GBK"/>
              </w:rPr>
              <w:t>.00</w:t>
            </w:r>
          </w:p>
        </w:tc>
        <w:tc>
          <w:tcPr>
            <w:tcW w:w="754" w:type="dxa"/>
            <w:shd w:val="clear" w:color="auto" w:fill="auto"/>
            <w:vAlign w:val="center"/>
          </w:tcPr>
          <w:p>
            <w:pPr>
              <w:spacing w:line="300" w:lineRule="exact"/>
              <w:jc w:val="right"/>
              <w:rPr>
                <w:rFonts w:ascii="方正书宋_GBK" w:eastAsia="方正书宋_GBK"/>
                <w:b/>
              </w:rPr>
            </w:pPr>
          </w:p>
        </w:tc>
        <w:tc>
          <w:tcPr>
            <w:tcW w:w="756" w:type="dxa"/>
            <w:shd w:val="clear" w:color="auto" w:fill="auto"/>
            <w:vAlign w:val="center"/>
          </w:tcPr>
          <w:p>
            <w:pPr>
              <w:spacing w:line="300" w:lineRule="exact"/>
              <w:jc w:val="right"/>
              <w:rPr>
                <w:rFonts w:ascii="方正书宋_GBK" w:eastAsia="方正书宋_GBK"/>
                <w:b/>
              </w:rPr>
            </w:pPr>
          </w:p>
        </w:tc>
        <w:tc>
          <w:tcPr>
            <w:tcW w:w="859" w:type="dxa"/>
            <w:shd w:val="clear" w:color="auto" w:fill="auto"/>
            <w:vAlign w:val="center"/>
          </w:tcPr>
          <w:p>
            <w:pPr>
              <w:spacing w:line="300" w:lineRule="exact"/>
              <w:jc w:val="right"/>
              <w:rPr>
                <w:rFonts w:ascii="方正书宋_GBK" w:eastAsia="方正书宋_GBK"/>
                <w:b/>
              </w:rPr>
            </w:pPr>
          </w:p>
        </w:tc>
        <w:tc>
          <w:tcPr>
            <w:tcW w:w="612"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5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环境咨询服务项目服务费</w:t>
            </w:r>
          </w:p>
        </w:tc>
        <w:tc>
          <w:tcPr>
            <w:tcW w:w="976" w:type="dxa"/>
            <w:shd w:val="clear" w:color="auto" w:fill="auto"/>
            <w:vAlign w:val="center"/>
          </w:tcPr>
          <w:p>
            <w:pPr>
              <w:spacing w:line="300" w:lineRule="exact"/>
              <w:jc w:val="right"/>
              <w:rPr>
                <w:rFonts w:ascii="方正书宋_GBK" w:eastAsia="方正书宋_GBK"/>
              </w:rPr>
            </w:pPr>
            <w:r>
              <w:rPr>
                <w:rFonts w:hint="eastAsia" w:ascii="方正书宋_GBK" w:eastAsia="方正书宋_GBK"/>
              </w:rPr>
              <w:t>96</w:t>
            </w:r>
            <w:r>
              <w:rPr>
                <w:rFonts w:ascii="方正书宋_GBK" w:eastAsia="方正书宋_GBK"/>
              </w:rPr>
              <w:t>.00</w:t>
            </w:r>
          </w:p>
        </w:tc>
        <w:tc>
          <w:tcPr>
            <w:tcW w:w="67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w:t>
            </w:r>
          </w:p>
        </w:tc>
        <w:tc>
          <w:tcPr>
            <w:tcW w:w="152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296</w:t>
            </w:r>
          </w:p>
        </w:tc>
        <w:tc>
          <w:tcPr>
            <w:tcW w:w="564" w:type="dxa"/>
            <w:shd w:val="clear" w:color="auto" w:fill="auto"/>
            <w:vAlign w:val="center"/>
          </w:tcPr>
          <w:p>
            <w:pPr>
              <w:spacing w:line="300" w:lineRule="exact"/>
              <w:jc w:val="left"/>
              <w:rPr>
                <w:rFonts w:ascii="方正书宋_GBK" w:eastAsia="方正书宋_GBK"/>
              </w:rPr>
            </w:pPr>
          </w:p>
        </w:tc>
        <w:tc>
          <w:tcPr>
            <w:tcW w:w="976"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76" w:type="dxa"/>
            <w:shd w:val="clear" w:color="auto" w:fill="auto"/>
            <w:vAlign w:val="center"/>
          </w:tcPr>
          <w:p>
            <w:pPr>
              <w:spacing w:line="300" w:lineRule="exact"/>
              <w:jc w:val="right"/>
              <w:rPr>
                <w:rFonts w:ascii="方正书宋_GBK" w:eastAsia="方正书宋_GBK"/>
              </w:rPr>
            </w:pPr>
            <w:r>
              <w:rPr>
                <w:rFonts w:ascii="方正书宋_GBK" w:eastAsia="方正书宋_GBK"/>
              </w:rPr>
              <w:t>9</w:t>
            </w:r>
            <w:r>
              <w:rPr>
                <w:rFonts w:hint="eastAsia" w:ascii="方正书宋_GBK" w:eastAsia="方正书宋_GBK"/>
              </w:rPr>
              <w:t>6</w:t>
            </w:r>
            <w:r>
              <w:rPr>
                <w:rFonts w:ascii="方正书宋_GBK" w:eastAsia="方正书宋_GBK"/>
              </w:rPr>
              <w:t>.00</w:t>
            </w:r>
          </w:p>
        </w:tc>
        <w:tc>
          <w:tcPr>
            <w:tcW w:w="976" w:type="dxa"/>
            <w:shd w:val="clear" w:color="auto" w:fill="auto"/>
            <w:vAlign w:val="center"/>
          </w:tcPr>
          <w:p>
            <w:pPr>
              <w:spacing w:line="300" w:lineRule="exact"/>
              <w:jc w:val="right"/>
              <w:rPr>
                <w:rFonts w:ascii="方正书宋_GBK" w:eastAsia="方正书宋_GBK"/>
              </w:rPr>
            </w:pPr>
            <w:r>
              <w:rPr>
                <w:rFonts w:ascii="方正书宋_GBK" w:eastAsia="方正书宋_GBK"/>
              </w:rPr>
              <w:t>9</w:t>
            </w:r>
            <w:r>
              <w:rPr>
                <w:rFonts w:hint="eastAsia" w:ascii="方正书宋_GBK" w:eastAsia="方正书宋_GBK"/>
              </w:rPr>
              <w:t>6</w:t>
            </w:r>
            <w:r>
              <w:rPr>
                <w:rFonts w:ascii="方正书宋_GBK" w:eastAsia="方正书宋_GBK"/>
              </w:rPr>
              <w:t>.00</w:t>
            </w:r>
          </w:p>
        </w:tc>
        <w:tc>
          <w:tcPr>
            <w:tcW w:w="976" w:type="dxa"/>
            <w:shd w:val="clear" w:color="auto" w:fill="auto"/>
            <w:vAlign w:val="center"/>
          </w:tcPr>
          <w:p>
            <w:pPr>
              <w:spacing w:line="300" w:lineRule="exact"/>
              <w:jc w:val="right"/>
              <w:rPr>
                <w:rFonts w:ascii="方正书宋_GBK" w:eastAsia="方正书宋_GBK"/>
              </w:rPr>
            </w:pPr>
            <w:r>
              <w:rPr>
                <w:rFonts w:ascii="方正书宋_GBK" w:eastAsia="方正书宋_GBK"/>
              </w:rPr>
              <w:t>9</w:t>
            </w:r>
            <w:r>
              <w:rPr>
                <w:rFonts w:hint="eastAsia" w:ascii="方正书宋_GBK" w:eastAsia="方正书宋_GBK"/>
              </w:rPr>
              <w:t>6</w:t>
            </w:r>
            <w:r>
              <w:rPr>
                <w:rFonts w:ascii="方正书宋_GBK" w:eastAsia="方正书宋_GBK"/>
              </w:rPr>
              <w:t>.00</w:t>
            </w:r>
          </w:p>
        </w:tc>
        <w:tc>
          <w:tcPr>
            <w:tcW w:w="976" w:type="dxa"/>
            <w:shd w:val="clear" w:color="auto" w:fill="auto"/>
            <w:vAlign w:val="center"/>
          </w:tcPr>
          <w:p>
            <w:pPr>
              <w:spacing w:line="300" w:lineRule="exact"/>
              <w:jc w:val="right"/>
              <w:rPr>
                <w:rFonts w:ascii="方正书宋_GBK" w:eastAsia="方正书宋_GBK"/>
              </w:rPr>
            </w:pPr>
            <w:r>
              <w:rPr>
                <w:rFonts w:ascii="方正书宋_GBK" w:eastAsia="方正书宋_GBK"/>
              </w:rPr>
              <w:t>9</w:t>
            </w:r>
            <w:r>
              <w:rPr>
                <w:rFonts w:hint="eastAsia" w:ascii="方正书宋_GBK" w:eastAsia="方正书宋_GBK"/>
              </w:rPr>
              <w:t>6</w:t>
            </w:r>
            <w:r>
              <w:rPr>
                <w:rFonts w:ascii="方正书宋_GBK" w:eastAsia="方正书宋_GBK"/>
              </w:rPr>
              <w:t>.00</w:t>
            </w:r>
          </w:p>
        </w:tc>
        <w:tc>
          <w:tcPr>
            <w:tcW w:w="754" w:type="dxa"/>
            <w:shd w:val="clear" w:color="auto" w:fill="auto"/>
            <w:vAlign w:val="center"/>
          </w:tcPr>
          <w:p>
            <w:pPr>
              <w:spacing w:line="300" w:lineRule="exact"/>
              <w:jc w:val="right"/>
              <w:rPr>
                <w:rFonts w:ascii="方正书宋_GBK" w:eastAsia="方正书宋_GBK"/>
              </w:rPr>
            </w:pPr>
          </w:p>
        </w:tc>
        <w:tc>
          <w:tcPr>
            <w:tcW w:w="756" w:type="dxa"/>
            <w:shd w:val="clear" w:color="auto" w:fill="auto"/>
            <w:vAlign w:val="center"/>
          </w:tcPr>
          <w:p>
            <w:pPr>
              <w:spacing w:line="300" w:lineRule="exact"/>
              <w:jc w:val="right"/>
              <w:rPr>
                <w:rFonts w:ascii="方正书宋_GBK" w:eastAsia="方正书宋_GBK"/>
              </w:rPr>
            </w:pPr>
          </w:p>
        </w:tc>
        <w:tc>
          <w:tcPr>
            <w:tcW w:w="859" w:type="dxa"/>
            <w:shd w:val="clear" w:color="auto" w:fill="auto"/>
            <w:vAlign w:val="center"/>
          </w:tcPr>
          <w:p>
            <w:pPr>
              <w:spacing w:line="300" w:lineRule="exact"/>
              <w:jc w:val="right"/>
              <w:rPr>
                <w:rFonts w:ascii="方正书宋_GBK" w:eastAsia="方正书宋_GBK"/>
              </w:rPr>
            </w:pPr>
          </w:p>
        </w:tc>
        <w:tc>
          <w:tcPr>
            <w:tcW w:w="612" w:type="dxa"/>
            <w:shd w:val="clear" w:color="auto" w:fill="auto"/>
            <w:vAlign w:val="center"/>
          </w:tcPr>
          <w:p>
            <w:pPr>
              <w:spacing w:line="300" w:lineRule="exact"/>
              <w:jc w:val="right"/>
              <w:rPr>
                <w:rFonts w:ascii="方正书宋_GBK" w:eastAsia="方正书宋_GBK"/>
              </w:rPr>
            </w:pPr>
          </w:p>
        </w:tc>
      </w:tr>
    </w:tbl>
    <w:p>
      <w:pPr>
        <w:spacing w:line="300" w:lineRule="exact"/>
        <w:jc w:val="left"/>
        <w:outlineLvl w:val="0"/>
      </w:pPr>
    </w:p>
    <w:p>
      <w:pPr>
        <w:spacing w:line="300" w:lineRule="exact"/>
        <w:jc w:val="left"/>
        <w:outlineLvl w:val="0"/>
      </w:pPr>
    </w:p>
    <w:p>
      <w:pPr>
        <w:spacing w:line="300" w:lineRule="exact"/>
        <w:jc w:val="left"/>
        <w:outlineLvl w:val="0"/>
      </w:pPr>
    </w:p>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firstLineChars="200"/>
        <w:rPr>
          <w:rFonts w:hint="eastAsia" w:ascii="仿宋" w:hAnsi="仿宋" w:eastAsia="仿宋"/>
          <w:sz w:val="32"/>
          <w:szCs w:val="32"/>
        </w:rPr>
      </w:pPr>
      <w:r>
        <w:rPr>
          <w:rFonts w:hint="eastAsia" w:ascii="仿宋" w:hAnsi="仿宋" w:eastAsia="仿宋"/>
          <w:sz w:val="32"/>
          <w:szCs w:val="32"/>
        </w:rPr>
        <w:t>2018年初固定资产</w:t>
      </w:r>
      <w:r>
        <w:rPr>
          <w:rFonts w:hint="eastAsia" w:ascii="仿宋" w:hAnsi="仿宋" w:eastAsia="仿宋"/>
          <w:sz w:val="32"/>
          <w:szCs w:val="32"/>
          <w:lang w:val="en-US" w:eastAsia="zh-CN"/>
        </w:rPr>
        <w:t>1251.34</w:t>
      </w:r>
      <w:r>
        <w:rPr>
          <w:rFonts w:hint="eastAsia" w:ascii="仿宋" w:hAnsi="仿宋" w:eastAsia="仿宋"/>
          <w:sz w:val="32"/>
          <w:szCs w:val="32"/>
        </w:rPr>
        <w:t>万元，2018年末固定资产</w:t>
      </w:r>
      <w:r>
        <w:rPr>
          <w:rFonts w:hint="eastAsia" w:ascii="仿宋" w:hAnsi="仿宋" w:eastAsia="仿宋"/>
          <w:sz w:val="32"/>
          <w:szCs w:val="32"/>
          <w:lang w:val="en-US" w:eastAsia="zh-CN"/>
        </w:rPr>
        <w:t>1850.42</w:t>
      </w:r>
      <w:r>
        <w:rPr>
          <w:rFonts w:hint="eastAsia" w:ascii="仿宋" w:hAnsi="仿宋" w:eastAsia="仿宋"/>
          <w:sz w:val="32"/>
          <w:szCs w:val="32"/>
        </w:rPr>
        <w:t>万元。其中</w:t>
      </w:r>
      <w:r>
        <w:rPr>
          <w:rFonts w:hint="eastAsia" w:ascii="仿宋" w:hAnsi="仿宋"/>
          <w:sz w:val="32"/>
          <w:szCs w:val="32"/>
        </w:rPr>
        <w:t>：</w:t>
      </w:r>
      <w:r>
        <w:rPr>
          <w:rFonts w:hint="eastAsia" w:ascii="仿宋" w:hAnsi="仿宋" w:eastAsia="仿宋"/>
          <w:sz w:val="32"/>
          <w:szCs w:val="32"/>
        </w:rPr>
        <w:t>房屋</w:t>
      </w:r>
      <w:r>
        <w:rPr>
          <w:rFonts w:hint="eastAsia" w:ascii="仿宋" w:hAnsi="仿宋" w:eastAsia="仿宋"/>
          <w:sz w:val="32"/>
          <w:szCs w:val="32"/>
          <w:lang w:val="en-US" w:eastAsia="zh-CN"/>
        </w:rPr>
        <w:t>691.67</w:t>
      </w:r>
      <w:r>
        <w:rPr>
          <w:rFonts w:hint="eastAsia" w:ascii="仿宋" w:hAnsi="仿宋" w:eastAsia="仿宋"/>
          <w:sz w:val="32"/>
          <w:szCs w:val="32"/>
        </w:rPr>
        <w:t>万元、汽车</w:t>
      </w:r>
      <w:r>
        <w:rPr>
          <w:rFonts w:hint="eastAsia" w:ascii="仿宋" w:hAnsi="仿宋" w:eastAsia="仿宋"/>
          <w:sz w:val="32"/>
          <w:szCs w:val="32"/>
          <w:lang w:val="en-US" w:eastAsia="zh-CN"/>
        </w:rPr>
        <w:t>53.14</w:t>
      </w:r>
      <w:r>
        <w:rPr>
          <w:rFonts w:hint="eastAsia" w:ascii="仿宋" w:hAnsi="仿宋" w:eastAsia="仿宋"/>
          <w:sz w:val="32"/>
          <w:szCs w:val="32"/>
        </w:rPr>
        <w:t>万元、其他固定资产</w:t>
      </w:r>
      <w:r>
        <w:rPr>
          <w:rFonts w:hint="eastAsia" w:ascii="仿宋" w:hAnsi="仿宋" w:eastAsia="仿宋"/>
          <w:sz w:val="32"/>
          <w:szCs w:val="32"/>
          <w:lang w:val="en-US" w:eastAsia="zh-CN"/>
        </w:rPr>
        <w:t>1105.61</w:t>
      </w:r>
      <w:r>
        <w:rPr>
          <w:rFonts w:hint="eastAsia" w:ascii="仿宋" w:hAnsi="仿宋" w:eastAsia="仿宋"/>
          <w:sz w:val="32"/>
          <w:szCs w:val="32"/>
        </w:rPr>
        <w:t>万元。固定资产增加</w:t>
      </w:r>
      <w:r>
        <w:rPr>
          <w:rFonts w:hint="eastAsia" w:ascii="仿宋" w:hAnsi="仿宋" w:eastAsia="仿宋"/>
          <w:sz w:val="32"/>
          <w:szCs w:val="32"/>
          <w:lang w:val="en-US" w:eastAsia="zh-CN"/>
        </w:rPr>
        <w:t>599.08</w:t>
      </w:r>
      <w:r>
        <w:rPr>
          <w:rFonts w:hint="eastAsia" w:ascii="仿宋" w:hAnsi="仿宋" w:eastAsia="仿宋"/>
          <w:sz w:val="32"/>
          <w:szCs w:val="32"/>
        </w:rPr>
        <w:t>万元。2019年预计新增固定资产</w:t>
      </w:r>
      <w:r>
        <w:rPr>
          <w:rFonts w:hint="eastAsia" w:ascii="仿宋" w:hAnsi="仿宋" w:eastAsia="仿宋"/>
          <w:sz w:val="32"/>
          <w:szCs w:val="32"/>
          <w:lang w:val="en-US" w:eastAsia="zh-CN"/>
        </w:rPr>
        <w:t>0</w:t>
      </w:r>
      <w:r>
        <w:rPr>
          <w:rFonts w:hint="eastAsia" w:ascii="仿宋" w:hAnsi="仿宋" w:eastAsia="仿宋"/>
          <w:sz w:val="32"/>
          <w:szCs w:val="32"/>
        </w:rPr>
        <w:t>万元。</w:t>
      </w:r>
    </w:p>
    <w:tbl>
      <w:tblPr>
        <w:tblStyle w:val="6"/>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shd w:val="clear" w:color="auto" w:fill="auto"/>
            <w:vAlign w:val="center"/>
          </w:tcPr>
          <w:p>
            <w:pPr>
              <w:widowControl/>
              <w:jc w:val="center"/>
              <w:rPr>
                <w:rFonts w:ascii="宋体" w:hAnsi="宋体" w:eastAsia="宋体" w:cs="宋体"/>
                <w:b/>
                <w:bCs/>
                <w:kern w:val="0"/>
                <w:sz w:val="32"/>
                <w:szCs w:val="32"/>
              </w:rPr>
            </w:pPr>
            <w:r>
              <w:rPr>
                <w:rFonts w:hint="eastAsia" w:ascii="宋体" w:hAnsi="宋体" w:eastAsia="宋体" w:cs="宋体"/>
                <w:b/>
                <w:bCs/>
                <w:kern w:val="0"/>
                <w:sz w:val="32"/>
                <w:szCs w:val="32"/>
              </w:rPr>
              <w:t>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编制部门：石家庄市环境保护局鹿泉区分局</w:t>
            </w:r>
          </w:p>
        </w:tc>
        <w:tc>
          <w:tcPr>
            <w:tcW w:w="5103" w:type="dxa"/>
            <w:tcBorders>
              <w:top w:val="nil"/>
              <w:left w:val="nil"/>
              <w:bottom w:val="nil"/>
              <w:right w:val="nil"/>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 xml:space="preserve">截止时间：2018年12月31日  </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b/>
                <w:bCs/>
                <w:kern w:val="0"/>
                <w:sz w:val="22"/>
              </w:rPr>
            </w:pPr>
            <w:r>
              <w:rPr>
                <w:rFonts w:hint="eastAsia" w:ascii="宋体" w:hAnsi="宋体" w:eastAsia="宋体" w:cs="宋体"/>
                <w:b/>
                <w:bCs/>
                <w:kern w:val="0"/>
                <w:sz w:val="22"/>
              </w:rPr>
              <w:t>项   目</w:t>
            </w:r>
          </w:p>
        </w:tc>
        <w:tc>
          <w:tcPr>
            <w:tcW w:w="3155"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b/>
                <w:bCs/>
                <w:kern w:val="0"/>
                <w:sz w:val="22"/>
              </w:rPr>
            </w:pPr>
            <w:r>
              <w:rPr>
                <w:rFonts w:hint="eastAsia" w:ascii="宋体" w:hAnsi="宋体" w:eastAsia="宋体" w:cs="宋体"/>
                <w:b/>
                <w:bCs/>
                <w:kern w:val="0"/>
                <w:sz w:val="22"/>
              </w:rPr>
              <w:t>数量</w:t>
            </w:r>
          </w:p>
        </w:tc>
        <w:tc>
          <w:tcPr>
            <w:tcW w:w="5103"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b/>
                <w:bCs/>
                <w:kern w:val="0"/>
                <w:sz w:val="22"/>
              </w:rPr>
            </w:pPr>
            <w:r>
              <w:rPr>
                <w:rFonts w:hint="eastAsia" w:ascii="宋体" w:hAnsi="宋体" w:eastAsia="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22"/>
              </w:rPr>
            </w:pPr>
            <w:r>
              <w:rPr>
                <w:rFonts w:hint="eastAsia" w:ascii="宋体" w:hAnsi="宋体" w:eastAsia="宋体" w:cs="宋体"/>
                <w:kern w:val="0"/>
                <w:sz w:val="22"/>
              </w:rPr>
              <w:t>资产总额</w:t>
            </w:r>
          </w:p>
        </w:tc>
        <w:tc>
          <w:tcPr>
            <w:tcW w:w="3155"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宋体" w:cs="Times New Roman"/>
                <w:kern w:val="0"/>
                <w:sz w:val="22"/>
              </w:rPr>
            </w:pPr>
            <w:r>
              <w:rPr>
                <w:rFonts w:ascii="Times New Roman" w:hAnsi="Times New Roman" w:eastAsia="宋体" w:cs="Times New Roman"/>
                <w:kern w:val="0"/>
                <w:sz w:val="22"/>
              </w:rPr>
              <w:t>——</w:t>
            </w:r>
          </w:p>
        </w:tc>
        <w:tc>
          <w:tcPr>
            <w:tcW w:w="5103"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宋体" w:cs="Times New Roman"/>
                <w:kern w:val="0"/>
                <w:sz w:val="22"/>
              </w:rPr>
            </w:pPr>
            <w:r>
              <w:rPr>
                <w:rFonts w:hint="eastAsia" w:ascii="Times New Roman" w:hAnsi="Times New Roman" w:eastAsia="宋体" w:cs="Times New Roman"/>
                <w:kern w:val="0"/>
                <w:sz w:val="22"/>
              </w:rPr>
              <w:t>1850.42</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1、房屋（平方米）</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r>
              <w:rPr>
                <w:rFonts w:hint="eastAsia" w:ascii="Times New Roman" w:hAnsi="Times New Roman" w:cs="Times New Roman"/>
                <w:sz w:val="22"/>
              </w:rPr>
              <w:t>4210.40</w:t>
            </w:r>
          </w:p>
        </w:tc>
        <w:tc>
          <w:tcPr>
            <w:tcW w:w="5103"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r>
              <w:rPr>
                <w:rFonts w:hint="eastAsia" w:ascii="Times New Roman" w:hAnsi="Times New Roman" w:cs="Times New Roman"/>
                <w:sz w:val="22"/>
              </w:rPr>
              <w:t>691.67</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 xml:space="preserve">   其中：办公用房（平方米）</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r>
              <w:rPr>
                <w:rFonts w:hint="eastAsia" w:ascii="Times New Roman" w:hAnsi="Times New Roman" w:cs="Times New Roman"/>
                <w:sz w:val="22"/>
              </w:rPr>
              <w:t>4210.40</w:t>
            </w:r>
          </w:p>
        </w:tc>
        <w:tc>
          <w:tcPr>
            <w:tcW w:w="5103"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r>
              <w:rPr>
                <w:rFonts w:hint="eastAsia" w:ascii="Times New Roman" w:hAnsi="Times New Roman" w:cs="Times New Roman"/>
                <w:sz w:val="22"/>
              </w:rPr>
              <w:t>691.67</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2、车辆（台、辆）</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r>
              <w:rPr>
                <w:rFonts w:hint="eastAsia" w:ascii="Times New Roman" w:hAnsi="Times New Roman" w:cs="Times New Roman"/>
                <w:sz w:val="22"/>
              </w:rPr>
              <w:t>4</w:t>
            </w:r>
          </w:p>
        </w:tc>
        <w:tc>
          <w:tcPr>
            <w:tcW w:w="5103"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r>
              <w:rPr>
                <w:rFonts w:hint="eastAsia" w:ascii="Times New Roman" w:hAnsi="Times New Roman" w:cs="Times New Roman"/>
                <w:sz w:val="22"/>
              </w:rPr>
              <w:t>53.14</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3、单价在20万元以上的设备</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r>
              <w:rPr>
                <w:rFonts w:hint="eastAsia" w:ascii="Times New Roman" w:hAnsi="Times New Roman" w:cs="Times New Roman"/>
                <w:sz w:val="22"/>
              </w:rPr>
              <w:t>5</w:t>
            </w:r>
          </w:p>
        </w:tc>
        <w:tc>
          <w:tcPr>
            <w:tcW w:w="5103"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r>
              <w:rPr>
                <w:rFonts w:hint="eastAsia" w:ascii="Times New Roman" w:hAnsi="Times New Roman" w:cs="Times New Roman"/>
                <w:sz w:val="22"/>
              </w:rPr>
              <w:t>454.35</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4、其他固定资产</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p>
        </w:tc>
        <w:tc>
          <w:tcPr>
            <w:tcW w:w="5103"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r>
              <w:rPr>
                <w:rFonts w:hint="eastAsia" w:ascii="Times New Roman" w:hAnsi="Times New Roman" w:cs="Times New Roman"/>
                <w:sz w:val="22"/>
              </w:rPr>
              <w:t>651.26</w:t>
            </w:r>
          </w:p>
        </w:tc>
      </w:tr>
    </w:tbl>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仿宋" w:hAnsi="仿宋" w:eastAsia="仿宋" w:cs="仿宋"/>
          <w:sz w:val="32"/>
          <w:szCs w:val="32"/>
        </w:rPr>
      </w:pPr>
      <w:r>
        <w:rPr>
          <w:rFonts w:hint="eastAsia" w:ascii="仿宋" w:hAnsi="仿宋" w:eastAsia="仿宋" w:cs="仿宋"/>
          <w:sz w:val="32"/>
          <w:szCs w:val="32"/>
        </w:rPr>
        <w:t>1、一般公共预算拨款收入：指区级财政当年拨付的资金。</w:t>
      </w:r>
    </w:p>
    <w:p>
      <w:pPr>
        <w:ind w:firstLine="640" w:firstLineChars="200"/>
        <w:rPr>
          <w:rFonts w:ascii="仿宋" w:hAnsi="仿宋" w:eastAsia="仿宋" w:cs="仿宋"/>
          <w:sz w:val="32"/>
          <w:szCs w:val="32"/>
        </w:rPr>
      </w:pPr>
      <w:r>
        <w:rPr>
          <w:rFonts w:hint="eastAsia" w:ascii="仿宋" w:hAnsi="仿宋" w:eastAsia="仿宋" w:cs="仿宋"/>
          <w:sz w:val="32"/>
          <w:szCs w:val="32"/>
        </w:rPr>
        <w:t>2、事业收入：指事业单位开展专业业务活动及辅助活动所取得的收入。</w:t>
      </w:r>
    </w:p>
    <w:p>
      <w:pPr>
        <w:ind w:firstLine="640" w:firstLineChars="200"/>
        <w:rPr>
          <w:rFonts w:ascii="仿宋" w:hAnsi="仿宋" w:eastAsia="仿宋" w:cs="仿宋"/>
          <w:sz w:val="32"/>
          <w:szCs w:val="32"/>
        </w:rPr>
      </w:pPr>
      <w:r>
        <w:rPr>
          <w:rFonts w:hint="eastAsia" w:ascii="仿宋" w:hAnsi="仿宋" w:eastAsia="仿宋" w:cs="仿宋"/>
          <w:sz w:val="32"/>
          <w:szCs w:val="32"/>
        </w:rPr>
        <w:t>3、其他收入：指除“一般公共预算拨款收入”、“事业收入”等以外的收入。主要是按规定动用的租房收入、存款利息收入等。</w:t>
      </w:r>
    </w:p>
    <w:p>
      <w:pPr>
        <w:ind w:firstLine="640" w:firstLineChars="200"/>
        <w:rPr>
          <w:rFonts w:ascii="仿宋" w:hAnsi="仿宋" w:eastAsia="仿宋" w:cs="仿宋"/>
          <w:sz w:val="32"/>
          <w:szCs w:val="32"/>
        </w:rPr>
      </w:pPr>
      <w:r>
        <w:rPr>
          <w:rFonts w:hint="eastAsia" w:ascii="仿宋" w:hAnsi="仿宋" w:eastAsia="仿宋" w:cs="仿宋"/>
          <w:sz w:val="32"/>
          <w:szCs w:val="32"/>
        </w:rPr>
        <w:t>4、基本支出：指为保障机构正常运转、完成日常工作任务而发生的人员支出和公用支出。</w:t>
      </w:r>
    </w:p>
    <w:p>
      <w:pPr>
        <w:ind w:firstLine="640" w:firstLineChars="200"/>
        <w:rPr>
          <w:rFonts w:ascii="仿宋" w:hAnsi="仿宋" w:eastAsia="仿宋" w:cs="仿宋"/>
          <w:sz w:val="32"/>
          <w:szCs w:val="32"/>
        </w:rPr>
      </w:pPr>
      <w:r>
        <w:rPr>
          <w:rFonts w:hint="eastAsia" w:ascii="仿宋" w:hAnsi="仿宋" w:eastAsia="仿宋" w:cs="仿宋"/>
          <w:sz w:val="32"/>
          <w:szCs w:val="32"/>
        </w:rPr>
        <w:t>5、项目支出：指在基本支出之外为完成特定行政任务和事业发展目标所发生的支出。</w:t>
      </w:r>
    </w:p>
    <w:p>
      <w:pPr>
        <w:ind w:firstLine="640" w:firstLineChars="200"/>
        <w:rPr>
          <w:rFonts w:ascii="仿宋" w:hAnsi="仿宋" w:eastAsia="仿宋" w:cs="仿宋"/>
          <w:sz w:val="32"/>
          <w:szCs w:val="32"/>
        </w:rPr>
      </w:pPr>
      <w:r>
        <w:rPr>
          <w:rFonts w:hint="eastAsia" w:ascii="仿宋" w:hAnsi="仿宋" w:eastAsia="仿宋" w:cs="仿宋"/>
          <w:sz w:val="32"/>
          <w:szCs w:val="32"/>
        </w:rPr>
        <w:t>6、上缴上级支出：指下级单位上缴上级的支出。</w:t>
      </w:r>
    </w:p>
    <w:p>
      <w:pPr>
        <w:ind w:firstLine="640" w:firstLineChars="200"/>
        <w:rPr>
          <w:rFonts w:ascii="仿宋" w:hAnsi="仿宋" w:eastAsia="仿宋" w:cs="仿宋"/>
          <w:sz w:val="32"/>
          <w:szCs w:val="32"/>
        </w:rPr>
      </w:pPr>
      <w:r>
        <w:rPr>
          <w:rFonts w:hint="eastAsia" w:ascii="仿宋" w:hAnsi="仿宋" w:eastAsia="仿宋" w:cs="仿宋"/>
          <w:sz w:val="32"/>
          <w:szCs w:val="32"/>
        </w:rPr>
        <w:t>7、“三公”经费：纳入区级财政预算管理的“三公”经费，是指区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仿宋" w:hAnsi="仿宋" w:eastAsia="仿宋" w:cs="仿宋"/>
          <w:sz w:val="32"/>
          <w:szCs w:val="32"/>
        </w:rPr>
      </w:pPr>
      <w:r>
        <w:rPr>
          <w:rFonts w:hint="eastAsia" w:ascii="仿宋" w:hAnsi="仿宋" w:eastAsia="仿宋" w:cs="仿宋"/>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仿宋" w:hAnsi="仿宋" w:eastAsia="仿宋" w:cs="仿宋"/>
          <w:sz w:val="32"/>
          <w:szCs w:val="32"/>
        </w:rPr>
      </w:pPr>
      <w:r>
        <w:rPr>
          <w:rFonts w:hint="eastAsia" w:ascii="仿宋" w:hAnsi="仿宋" w:eastAsia="仿宋" w:cs="仿宋"/>
          <w:sz w:val="32"/>
          <w:szCs w:val="32"/>
        </w:rPr>
        <w:t>9、上年结转：指以前年度尚未完成、结转到本年仍按原规定用途继续使用的资金。</w:t>
      </w:r>
    </w:p>
    <w:p>
      <w:pPr>
        <w:ind w:firstLine="640" w:firstLineChars="200"/>
        <w:rPr>
          <w:rFonts w:ascii="仿宋" w:hAnsi="仿宋" w:eastAsia="仿宋" w:cs="仿宋"/>
          <w:sz w:val="32"/>
          <w:szCs w:val="32"/>
        </w:rPr>
      </w:pPr>
      <w:r>
        <w:rPr>
          <w:rFonts w:hint="eastAsia" w:ascii="仿宋" w:hAnsi="仿宋" w:eastAsia="仿宋" w:cs="仿宋"/>
          <w:sz w:val="32"/>
          <w:szCs w:val="32"/>
        </w:rPr>
        <w:t>10、事业单位经营支出：指事业单位在专业业务活动及其辅助活动之外开展非独立核算经营活动发生的支出。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九、其他需要说明的事项</w:t>
      </w:r>
    </w:p>
    <w:p>
      <w:pPr>
        <w:ind w:firstLine="640" w:firstLineChars="200"/>
        <w:rPr>
          <w:rFonts w:ascii="仿宋" w:hAnsi="仿宋" w:eastAsia="仿宋" w:cs="仿宋"/>
          <w:sz w:val="32"/>
          <w:szCs w:val="32"/>
        </w:rPr>
        <w:sectPr>
          <w:pgSz w:w="16839" w:h="11907" w:orient="landscape"/>
          <w:pgMar w:top="1020" w:right="1361" w:bottom="1020" w:left="1361" w:header="851" w:footer="992" w:gutter="0"/>
          <w:cols w:space="425" w:num="1"/>
          <w:docGrid w:type="lines" w:linePitch="312" w:charSpace="0"/>
        </w:sectPr>
      </w:pPr>
      <w:r>
        <w:rPr>
          <w:rFonts w:hint="eastAsia" w:ascii="仿宋" w:hAnsi="仿宋" w:eastAsia="仿宋" w:cs="仿宋"/>
          <w:sz w:val="32"/>
          <w:szCs w:val="32"/>
        </w:rPr>
        <w:t xml:space="preserve"> 我</w:t>
      </w:r>
      <w:r>
        <w:rPr>
          <w:rFonts w:hint="eastAsia" w:ascii="仿宋" w:hAnsi="仿宋" w:eastAsia="仿宋" w:cs="仿宋"/>
          <w:sz w:val="32"/>
          <w:szCs w:val="32"/>
          <w:lang w:eastAsia="zh-CN"/>
        </w:rPr>
        <w:t>部门（</w:t>
      </w:r>
      <w:r>
        <w:rPr>
          <w:rFonts w:hint="eastAsia" w:ascii="仿宋" w:hAnsi="仿宋" w:eastAsia="仿宋" w:cs="仿宋"/>
          <w:sz w:val="32"/>
          <w:szCs w:val="32"/>
        </w:rPr>
        <w:t>单位</w:t>
      </w:r>
      <w:r>
        <w:rPr>
          <w:rFonts w:hint="eastAsia" w:ascii="仿宋" w:hAnsi="仿宋" w:eastAsia="仿宋" w:cs="仿宋"/>
          <w:sz w:val="32"/>
          <w:szCs w:val="32"/>
          <w:lang w:eastAsia="zh-CN"/>
        </w:rPr>
        <w:t>）</w:t>
      </w:r>
      <w:r>
        <w:rPr>
          <w:rFonts w:hint="eastAsia" w:ascii="仿宋" w:hAnsi="仿宋" w:eastAsia="仿宋" w:cs="仿宋"/>
          <w:sz w:val="32"/>
          <w:szCs w:val="32"/>
        </w:rPr>
        <w:t>无其他需要说明的事项。</w:t>
      </w:r>
    </w:p>
    <w:p>
      <w:pPr>
        <w:rPr>
          <w:rFonts w:ascii="仿宋" w:hAnsi="仿宋" w:eastAsia="仿宋"/>
          <w:sz w:val="32"/>
          <w:szCs w:val="32"/>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方正仿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楷体_GB2312">
    <w:panose1 w:val="02010609030101010101"/>
    <w:charset w:val="86"/>
    <w:family w:val="modern"/>
    <w:pitch w:val="default"/>
    <w:sig w:usb0="00000001" w:usb1="080E0000" w:usb2="00000000" w:usb3="00000000" w:csb0="0004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pPr>
        <w:pStyle w:val="5"/>
      </w:pPr>
      <w:r>
        <w:rPr>
          <w:rStyle w:val="8"/>
        </w:rPr>
        <w:sym w:font="Symbol" w:char="F020"/>
      </w:r>
      <w:r>
        <w:rPr>
          <w:rFonts w:hint="eastAsia" w:ascii="方正楷体_GBK" w:eastAsia="方正楷体_GBK"/>
          <w:sz w:val="24"/>
        </w:rPr>
        <w:t>备注：表中的年度预算数为项目支出，部门工作活动虽未安排项目支出，但由基本支出保障，由于基本支出无法拆分到相应的工作活动，因此部分工作活动没有列示年度预算数。</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footnotePr>
    <w:footnote w:id="2"/>
    <w:footnote w:id="3"/>
  </w:foot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jAzMDk2ZWZjNzhmNTAxYTJhNjE2MjJiMDNlNGI4NTYifQ=="/>
  </w:docVars>
  <w:rsids>
    <w:rsidRoot w:val="00B72761"/>
    <w:rsid w:val="00090DFB"/>
    <w:rsid w:val="000A30B8"/>
    <w:rsid w:val="00112725"/>
    <w:rsid w:val="00121B07"/>
    <w:rsid w:val="001661A9"/>
    <w:rsid w:val="001742AE"/>
    <w:rsid w:val="002A6F4B"/>
    <w:rsid w:val="003E184C"/>
    <w:rsid w:val="00494A6B"/>
    <w:rsid w:val="005D26E4"/>
    <w:rsid w:val="00656AD7"/>
    <w:rsid w:val="007054BE"/>
    <w:rsid w:val="00753B32"/>
    <w:rsid w:val="009759EF"/>
    <w:rsid w:val="00A76211"/>
    <w:rsid w:val="00B72761"/>
    <w:rsid w:val="00B773BB"/>
    <w:rsid w:val="00C36EB1"/>
    <w:rsid w:val="00CF311C"/>
    <w:rsid w:val="00DA1313"/>
    <w:rsid w:val="00E43FAA"/>
    <w:rsid w:val="00E754C8"/>
    <w:rsid w:val="00EA58D8"/>
    <w:rsid w:val="0B3E22DA"/>
    <w:rsid w:val="132C3004"/>
    <w:rsid w:val="172F1A18"/>
    <w:rsid w:val="1A8D727D"/>
    <w:rsid w:val="1D892B7F"/>
    <w:rsid w:val="1E115E68"/>
    <w:rsid w:val="22303D84"/>
    <w:rsid w:val="2A9927C0"/>
    <w:rsid w:val="2D660172"/>
    <w:rsid w:val="2F1B1BB1"/>
    <w:rsid w:val="3FE71F5E"/>
    <w:rsid w:val="40B01755"/>
    <w:rsid w:val="4B2413FD"/>
    <w:rsid w:val="4EB344FC"/>
    <w:rsid w:val="4F9107B2"/>
    <w:rsid w:val="520978A9"/>
    <w:rsid w:val="56260C04"/>
    <w:rsid w:val="573156F8"/>
    <w:rsid w:val="5E1E2DE9"/>
    <w:rsid w:val="5E3E21F0"/>
    <w:rsid w:val="5F685491"/>
    <w:rsid w:val="63CF0DA2"/>
    <w:rsid w:val="64A1611B"/>
    <w:rsid w:val="6B236BF6"/>
    <w:rsid w:val="6C0C7CDC"/>
    <w:rsid w:val="6DE510F0"/>
    <w:rsid w:val="6F9326E7"/>
    <w:rsid w:val="70382AF3"/>
    <w:rsid w:val="74CA17CE"/>
    <w:rsid w:val="797A296E"/>
    <w:rsid w:val="7BCE632C"/>
    <w:rsid w:val="7D7467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autoRedefine/>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customStyle="1" w:styleId="2">
    <w:name w:val="无间隔1"/>
    <w:basedOn w:val="1"/>
    <w:autoRedefine/>
    <w:qFormat/>
    <w:uiPriority w:val="0"/>
    <w:rPr>
      <w:rFonts w:ascii="宋体" w:hAnsi="宋体" w:eastAsia="仿宋_GB2312"/>
      <w:sz w:val="32"/>
      <w:szCs w:val="32"/>
    </w:rPr>
  </w:style>
  <w:style w:type="paragraph" w:styleId="3">
    <w:name w:val="footer"/>
    <w:basedOn w:val="1"/>
    <w:link w:val="10"/>
    <w:semiHidden/>
    <w:unhideWhenUsed/>
    <w:qFormat/>
    <w:uiPriority w:val="99"/>
    <w:pPr>
      <w:tabs>
        <w:tab w:val="center" w:pos="4153"/>
        <w:tab w:val="right" w:pos="8306"/>
      </w:tabs>
      <w:snapToGrid w:val="0"/>
      <w:jc w:val="left"/>
    </w:pPr>
    <w:rPr>
      <w:sz w:val="18"/>
      <w:szCs w:val="18"/>
    </w:rPr>
  </w:style>
  <w:style w:type="paragraph" w:styleId="4">
    <w:name w:val="header"/>
    <w:basedOn w:val="1"/>
    <w:link w:val="9"/>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footnote text"/>
    <w:basedOn w:val="1"/>
    <w:link w:val="11"/>
    <w:semiHidden/>
    <w:unhideWhenUsed/>
    <w:qFormat/>
    <w:uiPriority w:val="99"/>
    <w:pPr>
      <w:snapToGrid w:val="0"/>
      <w:jc w:val="left"/>
    </w:pPr>
    <w:rPr>
      <w:rFonts w:ascii="Calibri" w:hAnsi="Calibri" w:eastAsia="宋体" w:cs="Times New Roman"/>
      <w:sz w:val="18"/>
      <w:szCs w:val="18"/>
    </w:rPr>
  </w:style>
  <w:style w:type="character" w:styleId="8">
    <w:name w:val="footnote reference"/>
    <w:basedOn w:val="7"/>
    <w:semiHidden/>
    <w:unhideWhenUsed/>
    <w:qFormat/>
    <w:uiPriority w:val="99"/>
    <w:rPr>
      <w:vertAlign w:val="superscript"/>
    </w:rPr>
  </w:style>
  <w:style w:type="character" w:customStyle="1" w:styleId="9">
    <w:name w:val="页眉 Char"/>
    <w:basedOn w:val="7"/>
    <w:link w:val="4"/>
    <w:semiHidden/>
    <w:qFormat/>
    <w:uiPriority w:val="99"/>
    <w:rPr>
      <w:sz w:val="18"/>
      <w:szCs w:val="18"/>
    </w:rPr>
  </w:style>
  <w:style w:type="character" w:customStyle="1" w:styleId="10">
    <w:name w:val="页脚 Char"/>
    <w:basedOn w:val="7"/>
    <w:link w:val="3"/>
    <w:semiHidden/>
    <w:qFormat/>
    <w:uiPriority w:val="99"/>
    <w:rPr>
      <w:sz w:val="18"/>
      <w:szCs w:val="18"/>
    </w:rPr>
  </w:style>
  <w:style w:type="character" w:customStyle="1" w:styleId="11">
    <w:name w:val="脚注文本 Char"/>
    <w:basedOn w:val="7"/>
    <w:link w:val="5"/>
    <w:semiHidden/>
    <w:qFormat/>
    <w:uiPriority w:val="99"/>
    <w:rPr>
      <w:rFonts w:ascii="Calibri" w:hAnsi="Calibri" w:eastAsia="宋体" w:cs="Times New Roman"/>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20</Pages>
  <Words>1562</Words>
  <Characters>8909</Characters>
  <Lines>74</Lines>
  <Paragraphs>20</Paragraphs>
  <TotalTime>8</TotalTime>
  <ScaleCrop>false</ScaleCrop>
  <LinksUpToDate>false</LinksUpToDate>
  <CharactersWithSpaces>10451</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2019-03-05T06:11:00Z</dcterms:created>
  <dc:creator>lenovo</dc:creator>
  <cp:lastModifiedBy>菲絮</cp:lastModifiedBy>
  <cp:lastPrinted>2019-03-06T03:18:00Z</cp:lastPrinted>
  <dcterms:modified xsi:type="dcterms:W3CDTF">2024-01-14T03:31:07Z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6B50539318284BAE9F8F26BE72E758A7</vt:lpwstr>
  </property>
</Properties>
</file>