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adjustRightInd w:val="0"/>
        <w:snapToGrid w:val="0"/>
        <w:jc w:val="center"/>
        <w:rPr>
          <w:rFonts w:ascii="方正小标宋_GBK" w:hAnsi="Times New Roman" w:eastAsia="方正小标宋_GBK" w:cs="Times New Roman"/>
          <w:bCs/>
          <w:sz w:val="44"/>
          <w:szCs w:val="44"/>
        </w:rPr>
      </w:pPr>
      <w:r>
        <w:rPr>
          <w:rFonts w:hint="eastAsia" w:ascii="方正小标宋_GBK" w:hAnsi="Times New Roman" w:eastAsia="方正小标宋_GBK" w:cs="Times New Roman"/>
          <w:bCs/>
          <w:sz w:val="44"/>
          <w:szCs w:val="44"/>
        </w:rPr>
        <w:t>石家庄市鹿泉区广播电视台</w:t>
      </w:r>
    </w:p>
    <w:p>
      <w:pPr>
        <w:adjustRightInd w:val="0"/>
        <w:snapToGrid w:val="0"/>
        <w:jc w:val="center"/>
        <w:rPr>
          <w:rFonts w:ascii="方正小标宋_GBK" w:hAnsi="Times New Roman" w:eastAsia="方正小标宋_GBK" w:cs="Times New Roman"/>
          <w:bCs/>
          <w:sz w:val="44"/>
          <w:szCs w:val="44"/>
        </w:rPr>
      </w:pPr>
      <w:r>
        <w:rPr>
          <w:rFonts w:hint="eastAsia" w:ascii="方正小标宋_GBK" w:hAnsi="Times New Roman" w:eastAsia="方正小标宋_GBK" w:cs="Times New Roman"/>
          <w:bCs/>
          <w:sz w:val="44"/>
          <w:szCs w:val="44"/>
        </w:rPr>
        <w:t>2020年部门预算信息公开情况说明</w:t>
      </w:r>
    </w:p>
    <w:p>
      <w:pPr>
        <w:ind w:firstLine="640"/>
        <w:rPr>
          <w:rFonts w:ascii="Times New Roman" w:hAnsi="Times New Roman" w:eastAsia="仿宋" w:cs="Times New Roman"/>
          <w:sz w:val="32"/>
          <w:szCs w:val="32"/>
        </w:rPr>
      </w:pP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按照《中华人民共和国预算法》、《地方预决算公开操作规程》规定，现将石家庄市鹿泉区广播电视台2020年部门预算公开如下：</w:t>
      </w:r>
    </w:p>
    <w:p>
      <w:pPr>
        <w:ind w:firstLine="640"/>
        <w:rPr>
          <w:rFonts w:ascii="黑体" w:hAnsi="黑体" w:eastAsia="黑体" w:cs="Times New Roman"/>
          <w:sz w:val="32"/>
          <w:szCs w:val="32"/>
        </w:rPr>
      </w:pPr>
      <w:r>
        <w:rPr>
          <w:rFonts w:hint="eastAsia" w:ascii="黑体" w:hAnsi="黑体" w:eastAsia="黑体" w:cs="Times New Roman"/>
          <w:sz w:val="32"/>
          <w:szCs w:val="32"/>
        </w:rPr>
        <w:t>一、部门职责及机构设置情况</w:t>
      </w:r>
    </w:p>
    <w:p>
      <w:pPr>
        <w:ind w:firstLine="640"/>
        <w:rPr>
          <w:rFonts w:ascii="Times New Roman" w:hAnsi="Times New Roman" w:eastAsia="仿宋" w:cs="Times New Roman"/>
          <w:sz w:val="32"/>
          <w:szCs w:val="32"/>
        </w:rPr>
      </w:pPr>
      <w:r>
        <w:rPr>
          <w:rFonts w:hint="eastAsia" w:ascii="仿宋" w:hAnsi="仿宋" w:eastAsia="仿宋" w:cs="Times New Roman"/>
          <w:b/>
          <w:sz w:val="32"/>
          <w:szCs w:val="32"/>
        </w:rPr>
        <w:t>部门</w:t>
      </w:r>
      <w:r>
        <w:rPr>
          <w:rFonts w:ascii="仿宋" w:hAnsi="仿宋" w:eastAsia="仿宋" w:cs="Times New Roman"/>
          <w:b/>
          <w:sz w:val="32"/>
          <w:szCs w:val="32"/>
        </w:rPr>
        <w:t>职责：</w:t>
      </w:r>
      <w:r>
        <w:rPr>
          <w:rFonts w:ascii="Times New Roman" w:hAnsi="Times New Roman" w:eastAsia="仿宋" w:cs="Times New Roman"/>
          <w:sz w:val="32"/>
          <w:szCs w:val="32"/>
        </w:rPr>
        <w:t xml:space="preserve"> </w:t>
      </w:r>
      <w:bookmarkStart w:id="10" w:name="_GoBack"/>
      <w:bookmarkEnd w:id="10"/>
    </w:p>
    <w:p>
      <w:pPr>
        <w:ind w:firstLine="640" w:firstLineChars="200"/>
        <w:rPr>
          <w:rFonts w:ascii="仿宋" w:hAnsi="仿宋" w:eastAsia="仿宋" w:cs="仿宋"/>
          <w:sz w:val="32"/>
          <w:szCs w:val="32"/>
        </w:rPr>
      </w:pPr>
      <w:r>
        <w:rPr>
          <w:rFonts w:hint="eastAsia" w:ascii="Times New Roman" w:hAnsi="Times New Roman" w:eastAsia="仿宋" w:cs="Times New Roman"/>
          <w:sz w:val="32"/>
          <w:szCs w:val="32"/>
        </w:rPr>
        <w:t>（一）</w:t>
      </w:r>
      <w:r>
        <w:rPr>
          <w:rFonts w:hint="eastAsia" w:ascii="仿宋" w:hAnsi="仿宋" w:eastAsia="仿宋" w:cs="仿宋"/>
          <w:sz w:val="32"/>
          <w:szCs w:val="32"/>
        </w:rPr>
        <w:t>宣传党的路线、方针、政策和区委、区政府的工作部署，坚持正确舆论导向，发挥主流媒体作用；开展新闻宣传，办好各类广播电视节目；配合上级台完成我区的采访报道工作并提供各类节目；承担区委、区政府形象宣传片及专题片的创作生产。负责相关设备的正常运行和维护。</w:t>
      </w:r>
    </w:p>
    <w:p>
      <w:pPr>
        <w:ind w:firstLine="640" w:firstLineChars="200"/>
        <w:rPr>
          <w:rFonts w:ascii="仿宋" w:hAnsi="仿宋" w:eastAsia="仿宋" w:cs="仿宋"/>
          <w:sz w:val="32"/>
          <w:szCs w:val="32"/>
        </w:rPr>
      </w:pPr>
      <w:r>
        <w:rPr>
          <w:rFonts w:hint="eastAsia" w:ascii="仿宋" w:hAnsi="仿宋" w:eastAsia="仿宋" w:cs="仿宋"/>
          <w:sz w:val="32"/>
          <w:szCs w:val="32"/>
        </w:rPr>
        <w:t>（二）做好各类广播电视节目的采编、制作、播出，组织开展节目创优。建立广播电视安全播出保障体系，加强安全播出管理。负责广播电视网络设施的建设、管理、维护及广播电视新技术应用工作。组织实施重大公益工程和公益活动。</w:t>
      </w:r>
    </w:p>
    <w:p>
      <w:pPr>
        <w:ind w:firstLine="640" w:firstLineChars="200"/>
        <w:rPr>
          <w:rFonts w:ascii="仿宋" w:hAnsi="仿宋" w:eastAsia="仿宋" w:cs="仿宋"/>
          <w:sz w:val="32"/>
          <w:szCs w:val="32"/>
        </w:rPr>
      </w:pPr>
      <w:r>
        <w:rPr>
          <w:rFonts w:hint="eastAsia" w:ascii="仿宋" w:hAnsi="仿宋" w:eastAsia="仿宋" w:cs="仿宋"/>
          <w:sz w:val="32"/>
          <w:szCs w:val="32"/>
        </w:rPr>
        <w:t>（三）负责系统综合业务管理和机关综合事务管理。拟定广播电视产业发展规划；广播电视节目内容和质量监督管理；负责市场经营活动的监督管理工作。</w:t>
      </w:r>
    </w:p>
    <w:p>
      <w:pPr>
        <w:ind w:firstLine="640"/>
        <w:rPr>
          <w:rFonts w:ascii="仿宋" w:hAnsi="仿宋" w:eastAsia="仿宋" w:cs="Times New Roman"/>
          <w:sz w:val="32"/>
          <w:szCs w:val="32"/>
        </w:rPr>
      </w:pPr>
    </w:p>
    <w:p>
      <w:pPr>
        <w:ind w:firstLine="643" w:firstLineChars="200"/>
        <w:rPr>
          <w:rFonts w:ascii="仿宋" w:hAnsi="仿宋" w:eastAsia="仿宋" w:cs="Times New Roman"/>
          <w:b/>
          <w:sz w:val="32"/>
          <w:szCs w:val="32"/>
        </w:rPr>
      </w:pPr>
      <w:r>
        <w:rPr>
          <w:rFonts w:hint="eastAsia" w:ascii="仿宋" w:hAnsi="仿宋" w:eastAsia="仿宋" w:cs="Times New Roman"/>
          <w:b/>
          <w:sz w:val="32"/>
          <w:szCs w:val="32"/>
        </w:rPr>
        <w:t>机构设置：</w:t>
      </w:r>
    </w:p>
    <w:p>
      <w:pPr>
        <w:jc w:val="center"/>
        <w:outlineLvl w:val="0"/>
        <w:rPr>
          <w:rFonts w:ascii="Times New Roman" w:hAnsi="Times New Roman" w:eastAsia="方正小标宋_GBK" w:cs="Times New Roman"/>
          <w:sz w:val="32"/>
          <w:szCs w:val="24"/>
        </w:rPr>
      </w:pPr>
      <w:r>
        <w:rPr>
          <w:rFonts w:ascii="Times New Roman" w:hAnsi="Times New Roman" w:eastAsia="方正小标宋_GBK" w:cs="Times New Roman"/>
          <w:sz w:val="32"/>
          <w:szCs w:val="24"/>
        </w:rPr>
        <w:t>部门</w:t>
      </w:r>
      <w:r>
        <w:rPr>
          <w:rFonts w:hint="eastAsia" w:ascii="Times New Roman" w:hAnsi="Times New Roman" w:eastAsia="方正小标宋_GBK" w:cs="Times New Roman"/>
          <w:sz w:val="32"/>
          <w:szCs w:val="24"/>
        </w:rPr>
        <w:t>机构设置情况</w:t>
      </w:r>
    </w:p>
    <w:tbl>
      <w:tblPr>
        <w:tblStyle w:val="7"/>
        <w:tblW w:w="97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417"/>
        <w:gridCol w:w="1134"/>
        <w:gridCol w:w="1276"/>
        <w:gridCol w:w="29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0" w:hRule="atLeast"/>
          <w:tblHeader/>
          <w:jc w:val="center"/>
        </w:trPr>
        <w:tc>
          <w:tcPr>
            <w:tcW w:w="4417" w:type="dxa"/>
            <w:vMerge w:val="restart"/>
            <w:vAlign w:val="center"/>
          </w:tcPr>
          <w:p>
            <w:pPr>
              <w:spacing w:line="300" w:lineRule="exact"/>
              <w:jc w:val="center"/>
              <w:rPr>
                <w:rFonts w:ascii="Times New Roman" w:hAnsi="Times New Roman" w:eastAsia="方正书宋_GBK" w:cs="Times New Roman"/>
                <w:b/>
                <w:szCs w:val="24"/>
              </w:rPr>
            </w:pPr>
            <w:r>
              <w:rPr>
                <w:rFonts w:ascii="Times New Roman" w:hAnsi="Times New Roman" w:eastAsia="方正书宋_GBK" w:cs="Times New Roman"/>
                <w:b/>
                <w:szCs w:val="24"/>
              </w:rPr>
              <w:t>单位名称</w:t>
            </w:r>
          </w:p>
        </w:tc>
        <w:tc>
          <w:tcPr>
            <w:tcW w:w="1134" w:type="dxa"/>
            <w:vMerge w:val="restart"/>
            <w:vAlign w:val="center"/>
          </w:tcPr>
          <w:p>
            <w:pPr>
              <w:spacing w:line="300" w:lineRule="exact"/>
              <w:jc w:val="center"/>
              <w:rPr>
                <w:rFonts w:ascii="Times New Roman" w:hAnsi="Times New Roman" w:eastAsia="方正书宋_GBK" w:cs="Times New Roman"/>
                <w:b/>
                <w:szCs w:val="24"/>
              </w:rPr>
            </w:pPr>
            <w:r>
              <w:rPr>
                <w:rFonts w:ascii="Times New Roman" w:hAnsi="Times New Roman" w:eastAsia="方正书宋_GBK" w:cs="Times New Roman"/>
                <w:b/>
                <w:szCs w:val="24"/>
              </w:rPr>
              <w:t>单位性质</w:t>
            </w:r>
          </w:p>
        </w:tc>
        <w:tc>
          <w:tcPr>
            <w:tcW w:w="1276" w:type="dxa"/>
            <w:vMerge w:val="restart"/>
            <w:vAlign w:val="center"/>
          </w:tcPr>
          <w:p>
            <w:pPr>
              <w:spacing w:line="300" w:lineRule="exact"/>
              <w:jc w:val="center"/>
              <w:rPr>
                <w:rFonts w:ascii="Times New Roman" w:hAnsi="Times New Roman" w:eastAsia="方正书宋_GBK" w:cs="Times New Roman"/>
                <w:b/>
                <w:szCs w:val="24"/>
              </w:rPr>
            </w:pPr>
            <w:r>
              <w:rPr>
                <w:rFonts w:ascii="Times New Roman" w:hAnsi="Times New Roman" w:eastAsia="方正书宋_GBK" w:cs="Times New Roman"/>
                <w:b/>
                <w:szCs w:val="24"/>
              </w:rPr>
              <w:t>单位规格</w:t>
            </w:r>
          </w:p>
        </w:tc>
        <w:tc>
          <w:tcPr>
            <w:tcW w:w="2902" w:type="dxa"/>
            <w:vMerge w:val="restart"/>
            <w:vAlign w:val="center"/>
          </w:tcPr>
          <w:p>
            <w:pPr>
              <w:spacing w:line="300" w:lineRule="exact"/>
              <w:jc w:val="center"/>
              <w:rPr>
                <w:rFonts w:ascii="Times New Roman" w:hAnsi="Times New Roman" w:eastAsia="方正书宋_GBK" w:cs="Times New Roman"/>
                <w:b/>
                <w:szCs w:val="24"/>
              </w:rPr>
            </w:pPr>
            <w:r>
              <w:rPr>
                <w:rFonts w:ascii="Times New Roman" w:hAnsi="Times New Roman" w:eastAsia="方正书宋_GBK" w:cs="Times New Roman"/>
                <w:b/>
                <w:szCs w:val="24"/>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0" w:hRule="atLeast"/>
          <w:tblHeader/>
          <w:jc w:val="center"/>
        </w:trPr>
        <w:tc>
          <w:tcPr>
            <w:tcW w:w="4417" w:type="dxa"/>
            <w:vMerge w:val="continue"/>
            <w:vAlign w:val="center"/>
          </w:tcPr>
          <w:p>
            <w:pPr>
              <w:spacing w:line="300" w:lineRule="exact"/>
              <w:jc w:val="left"/>
              <w:outlineLvl w:val="0"/>
              <w:rPr>
                <w:rFonts w:ascii="Times New Roman" w:hAnsi="Times New Roman" w:cs="Times New Roman"/>
                <w:szCs w:val="24"/>
              </w:rPr>
            </w:pPr>
          </w:p>
        </w:tc>
        <w:tc>
          <w:tcPr>
            <w:tcW w:w="1134" w:type="dxa"/>
            <w:vMerge w:val="continue"/>
            <w:vAlign w:val="center"/>
          </w:tcPr>
          <w:p>
            <w:pPr>
              <w:spacing w:line="300" w:lineRule="exact"/>
              <w:jc w:val="left"/>
              <w:outlineLvl w:val="0"/>
              <w:rPr>
                <w:rFonts w:ascii="Times New Roman" w:hAnsi="Times New Roman" w:cs="Times New Roman"/>
                <w:szCs w:val="24"/>
              </w:rPr>
            </w:pPr>
          </w:p>
        </w:tc>
        <w:tc>
          <w:tcPr>
            <w:tcW w:w="1276" w:type="dxa"/>
            <w:vMerge w:val="continue"/>
            <w:vAlign w:val="center"/>
          </w:tcPr>
          <w:p>
            <w:pPr>
              <w:spacing w:line="300" w:lineRule="exact"/>
              <w:jc w:val="left"/>
              <w:outlineLvl w:val="0"/>
              <w:rPr>
                <w:rFonts w:ascii="Times New Roman" w:hAnsi="Times New Roman" w:cs="Times New Roman"/>
                <w:szCs w:val="24"/>
              </w:rPr>
            </w:pPr>
          </w:p>
        </w:tc>
        <w:tc>
          <w:tcPr>
            <w:tcW w:w="2902" w:type="dxa"/>
            <w:vMerge w:val="continue"/>
            <w:vAlign w:val="center"/>
          </w:tcPr>
          <w:p>
            <w:pPr>
              <w:spacing w:line="300" w:lineRule="exact"/>
              <w:jc w:val="left"/>
              <w:outlineLvl w:val="0"/>
              <w:rPr>
                <w:rFonts w:ascii="Times New Roman" w:hAnsi="Times New Roman" w:cs="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417" w:type="dxa"/>
            <w:vAlign w:val="center"/>
          </w:tcPr>
          <w:p>
            <w:pPr>
              <w:spacing w:line="300" w:lineRule="exact"/>
              <w:jc w:val="left"/>
              <w:rPr>
                <w:rFonts w:ascii="Times New Roman" w:hAnsi="Times New Roman" w:cs="Times New Roman" w:eastAsiaTheme="minorEastAsia"/>
                <w:szCs w:val="24"/>
              </w:rPr>
            </w:pPr>
            <w:r>
              <w:rPr>
                <w:rFonts w:hint="eastAsia" w:ascii="方正书宋_GBK" w:eastAsia="方正书宋_GBK"/>
              </w:rPr>
              <w:t>石家庄市鹿泉区广播电视台</w:t>
            </w:r>
          </w:p>
        </w:tc>
        <w:tc>
          <w:tcPr>
            <w:tcW w:w="1134" w:type="dxa"/>
            <w:vAlign w:val="center"/>
          </w:tcPr>
          <w:p>
            <w:pPr>
              <w:spacing w:line="300" w:lineRule="exact"/>
              <w:jc w:val="center"/>
              <w:rPr>
                <w:rFonts w:ascii="Times New Roman" w:hAnsi="Times New Roman" w:eastAsia="方正书宋_GBK" w:cs="Times New Roman"/>
                <w:szCs w:val="24"/>
              </w:rPr>
            </w:pPr>
            <w:r>
              <w:rPr>
                <w:rFonts w:hint="eastAsia" w:ascii="方正书宋_GBK" w:eastAsia="方正书宋_GBK"/>
              </w:rPr>
              <w:t>事业</w:t>
            </w:r>
          </w:p>
        </w:tc>
        <w:tc>
          <w:tcPr>
            <w:tcW w:w="1276" w:type="dxa"/>
            <w:vAlign w:val="center"/>
          </w:tcPr>
          <w:p>
            <w:pPr>
              <w:spacing w:line="300" w:lineRule="exact"/>
              <w:jc w:val="center"/>
              <w:rPr>
                <w:rFonts w:ascii="Times New Roman" w:hAnsi="Times New Roman" w:eastAsia="方正书宋_GBK" w:cs="Times New Roman"/>
                <w:szCs w:val="24"/>
              </w:rPr>
            </w:pPr>
            <w:r>
              <w:rPr>
                <w:rFonts w:hint="eastAsia" w:ascii="方正书宋_GBK" w:eastAsia="方正书宋_GBK"/>
              </w:rPr>
              <w:t>正科级</w:t>
            </w:r>
          </w:p>
        </w:tc>
        <w:tc>
          <w:tcPr>
            <w:tcW w:w="2902" w:type="dxa"/>
            <w:vAlign w:val="center"/>
          </w:tcPr>
          <w:p>
            <w:pPr>
              <w:spacing w:line="300" w:lineRule="exact"/>
              <w:jc w:val="center"/>
              <w:rPr>
                <w:rFonts w:ascii="Times New Roman" w:hAnsi="Times New Roman" w:eastAsia="方正书宋_GBK" w:cs="Times New Roman"/>
                <w:szCs w:val="24"/>
              </w:rPr>
            </w:pPr>
            <w:r>
              <w:rPr>
                <w:rFonts w:hint="eastAsia" w:ascii="方正书宋_GBK" w:eastAsia="方正书宋_GBK"/>
              </w:rPr>
              <w:t>财政性资金基本保证</w:t>
            </w:r>
          </w:p>
        </w:tc>
      </w:tr>
    </w:tbl>
    <w:p/>
    <w:p>
      <w:pPr>
        <w:ind w:firstLine="640"/>
        <w:rPr>
          <w:rFonts w:ascii="黑体" w:hAnsi="黑体" w:eastAsia="黑体" w:cs="Times New Roman"/>
          <w:sz w:val="32"/>
          <w:szCs w:val="32"/>
        </w:rPr>
      </w:pPr>
      <w:r>
        <w:rPr>
          <w:rFonts w:hint="eastAsia" w:ascii="黑体" w:hAnsi="黑体" w:eastAsia="黑体" w:cs="Times New Roman"/>
          <w:sz w:val="32"/>
          <w:szCs w:val="32"/>
        </w:rPr>
        <w:t>二、部门预算安排的总体情况</w:t>
      </w:r>
    </w:p>
    <w:p>
      <w:pPr>
        <w:ind w:firstLine="640"/>
        <w:rPr>
          <w:rFonts w:ascii="Times New Roman" w:hAnsi="Times New Roman" w:eastAsia="仿宋" w:cs="Times New Roman"/>
          <w:sz w:val="32"/>
          <w:szCs w:val="32"/>
        </w:rPr>
      </w:pPr>
      <w:r>
        <w:rPr>
          <w:rFonts w:ascii="Times New Roman" w:hAnsi="Times New Roman" w:eastAsia="仿宋" w:cs="Times New Roman"/>
          <w:sz w:val="32"/>
          <w:szCs w:val="32"/>
        </w:rPr>
        <w:t>按照预算管理有关规定，目前我</w:t>
      </w:r>
      <w:r>
        <w:rPr>
          <w:rFonts w:hint="eastAsia" w:ascii="Times New Roman" w:hAnsi="Times New Roman" w:eastAsia="仿宋" w:cs="Times New Roman"/>
          <w:sz w:val="32"/>
          <w:szCs w:val="32"/>
        </w:rPr>
        <w:t>区</w:t>
      </w:r>
      <w:r>
        <w:rPr>
          <w:rFonts w:ascii="Times New Roman" w:hAnsi="Times New Roman" w:eastAsia="仿宋" w:cs="Times New Roman"/>
          <w:sz w:val="32"/>
          <w:szCs w:val="32"/>
        </w:rPr>
        <w:t>部门预算的编制实行综合预算</w:t>
      </w:r>
      <w:r>
        <w:rPr>
          <w:rFonts w:hint="eastAsia" w:ascii="Times New Roman" w:hAnsi="Times New Roman" w:eastAsia="仿宋" w:cs="Times New Roman"/>
          <w:sz w:val="32"/>
          <w:szCs w:val="32"/>
        </w:rPr>
        <w:t>管理</w:t>
      </w:r>
      <w:r>
        <w:rPr>
          <w:rFonts w:ascii="Times New Roman" w:hAnsi="Times New Roman" w:eastAsia="仿宋" w:cs="Times New Roman"/>
          <w:sz w:val="32"/>
          <w:szCs w:val="32"/>
        </w:rPr>
        <w:t>，即全部收入和支出都反映的预算中。</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1、</w:t>
      </w:r>
      <w:r>
        <w:rPr>
          <w:rFonts w:ascii="Times New Roman" w:hAnsi="Times New Roman" w:eastAsia="仿宋" w:cs="Times New Roman"/>
          <w:sz w:val="32"/>
          <w:szCs w:val="32"/>
        </w:rPr>
        <w:t>收入说明</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反映本部门当年全部收入。2020年预算收入831.59万元，其中：一般公共预算收入831.59万元，基金预算收入0万元，财政专户核拨收入0万元，其他来源收入0万元。</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2、</w:t>
      </w:r>
      <w:r>
        <w:rPr>
          <w:rFonts w:ascii="Times New Roman" w:hAnsi="Times New Roman" w:eastAsia="仿宋" w:cs="Times New Roman"/>
          <w:sz w:val="32"/>
          <w:szCs w:val="32"/>
        </w:rPr>
        <w:t>支出说明</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收支预算总表支出栏、基本支出表、项目支出表按经济分类和支出功能分类科目编制，反映石家庄市鹿泉区广播电视台年度部门预算中支出预算的总体情况。2020年部门支出预算为831.59万元，其中基本支出</w:t>
      </w:r>
      <w:r>
        <w:rPr>
          <w:rFonts w:ascii="Times New Roman" w:hAnsi="Times New Roman" w:eastAsia="仿宋" w:cs="Times New Roman"/>
          <w:sz w:val="32"/>
          <w:szCs w:val="32"/>
        </w:rPr>
        <w:t>763.63</w:t>
      </w:r>
      <w:r>
        <w:rPr>
          <w:rFonts w:hint="eastAsia" w:ascii="Times New Roman" w:hAnsi="Times New Roman" w:eastAsia="仿宋" w:cs="Times New Roman"/>
          <w:sz w:val="32"/>
          <w:szCs w:val="32"/>
        </w:rPr>
        <w:t>万元，包括人员经费</w:t>
      </w:r>
      <w:r>
        <w:rPr>
          <w:rFonts w:ascii="Times New Roman" w:hAnsi="Times New Roman" w:eastAsia="仿宋" w:cs="Times New Roman"/>
          <w:sz w:val="32"/>
          <w:szCs w:val="32"/>
        </w:rPr>
        <w:t>676.7</w:t>
      </w:r>
      <w:r>
        <w:rPr>
          <w:rFonts w:hint="eastAsia" w:ascii="Times New Roman" w:hAnsi="Times New Roman" w:eastAsia="仿宋" w:cs="Times New Roman"/>
          <w:sz w:val="32"/>
          <w:szCs w:val="32"/>
        </w:rPr>
        <w:t>万元和日常公用经费</w:t>
      </w:r>
      <w:r>
        <w:rPr>
          <w:rFonts w:ascii="Times New Roman" w:hAnsi="Times New Roman" w:eastAsia="仿宋" w:cs="Times New Roman"/>
          <w:sz w:val="32"/>
          <w:szCs w:val="32"/>
        </w:rPr>
        <w:t>86.93</w:t>
      </w:r>
      <w:r>
        <w:rPr>
          <w:rFonts w:hint="eastAsia" w:ascii="Times New Roman" w:hAnsi="Times New Roman" w:eastAsia="仿宋" w:cs="Times New Roman"/>
          <w:sz w:val="32"/>
          <w:szCs w:val="32"/>
        </w:rPr>
        <w:t>万元；项目支出</w:t>
      </w:r>
      <w:r>
        <w:rPr>
          <w:rFonts w:ascii="Times New Roman" w:hAnsi="Times New Roman" w:eastAsia="仿宋" w:cs="Times New Roman"/>
          <w:sz w:val="32"/>
          <w:szCs w:val="32"/>
        </w:rPr>
        <w:t>67.96</w:t>
      </w:r>
      <w:r>
        <w:rPr>
          <w:rFonts w:hint="eastAsia" w:ascii="Times New Roman" w:hAnsi="Times New Roman" w:eastAsia="仿宋" w:cs="Times New Roman"/>
          <w:sz w:val="32"/>
          <w:szCs w:val="32"/>
        </w:rPr>
        <w:t>万元，主要军队退役人员劳务派遣工资支出</w:t>
      </w:r>
      <w:r>
        <w:rPr>
          <w:rFonts w:ascii="Times New Roman" w:hAnsi="Times New Roman" w:eastAsia="仿宋" w:cs="Times New Roman"/>
          <w:sz w:val="32"/>
          <w:szCs w:val="32"/>
        </w:rPr>
        <w:t>4.76</w:t>
      </w:r>
      <w:r>
        <w:rPr>
          <w:rFonts w:hint="eastAsia" w:ascii="Times New Roman" w:hAnsi="Times New Roman" w:eastAsia="仿宋" w:cs="Times New Roman"/>
          <w:sz w:val="32"/>
          <w:szCs w:val="32"/>
        </w:rPr>
        <w:t>万元，日常运行补助经费支出</w:t>
      </w:r>
      <w:r>
        <w:rPr>
          <w:rFonts w:ascii="Times New Roman" w:hAnsi="Times New Roman" w:eastAsia="仿宋" w:cs="Times New Roman"/>
          <w:sz w:val="32"/>
          <w:szCs w:val="32"/>
        </w:rPr>
        <w:t>25</w:t>
      </w:r>
      <w:r>
        <w:rPr>
          <w:rFonts w:hint="eastAsia" w:ascii="Times New Roman" w:hAnsi="Times New Roman" w:eastAsia="仿宋" w:cs="Times New Roman"/>
          <w:sz w:val="32"/>
          <w:szCs w:val="32"/>
        </w:rPr>
        <w:t>万元，原乡镇机线员生活补贴支出</w:t>
      </w:r>
      <w:r>
        <w:rPr>
          <w:rFonts w:ascii="Times New Roman" w:hAnsi="Times New Roman" w:eastAsia="仿宋" w:cs="Times New Roman"/>
          <w:sz w:val="32"/>
          <w:szCs w:val="32"/>
        </w:rPr>
        <w:t>3.19</w:t>
      </w:r>
      <w:r>
        <w:rPr>
          <w:rFonts w:hint="eastAsia" w:ascii="Times New Roman" w:hAnsi="Times New Roman" w:eastAsia="仿宋" w:cs="Times New Roman"/>
          <w:sz w:val="32"/>
          <w:szCs w:val="32"/>
        </w:rPr>
        <w:t>万元，设备电力采暖保障经费支出3</w:t>
      </w:r>
      <w:r>
        <w:rPr>
          <w:rFonts w:ascii="Times New Roman" w:hAnsi="Times New Roman" w:eastAsia="仿宋" w:cs="Times New Roman"/>
          <w:sz w:val="32"/>
          <w:szCs w:val="32"/>
        </w:rPr>
        <w:t>5</w:t>
      </w:r>
      <w:r>
        <w:rPr>
          <w:rFonts w:hint="eastAsia" w:ascii="Times New Roman" w:hAnsi="Times New Roman" w:eastAsia="仿宋" w:cs="Times New Roman"/>
          <w:sz w:val="32"/>
          <w:szCs w:val="32"/>
        </w:rPr>
        <w:t>万元；其他支出0万元。</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3、</w:t>
      </w:r>
      <w:r>
        <w:rPr>
          <w:rFonts w:ascii="Times New Roman" w:hAnsi="Times New Roman" w:eastAsia="仿宋" w:cs="Times New Roman"/>
          <w:sz w:val="32"/>
          <w:szCs w:val="32"/>
        </w:rPr>
        <w:t>比上年增减情况</w:t>
      </w:r>
    </w:p>
    <w:p>
      <w:pPr>
        <w:ind w:firstLine="640"/>
        <w:rPr>
          <w:rFonts w:ascii="Times New Roman" w:hAnsi="Times New Roman" w:eastAsia="仿宋" w:cs="Times New Roman"/>
          <w:sz w:val="32"/>
          <w:szCs w:val="32"/>
        </w:rPr>
      </w:pPr>
      <w:r>
        <w:rPr>
          <w:rFonts w:hint="eastAsia" w:ascii="Times New Roman" w:hAnsi="Times New Roman" w:eastAsia="仿宋" w:cs="Times New Roman"/>
          <w:color w:val="000000"/>
          <w:sz w:val="32"/>
          <w:szCs w:val="32"/>
        </w:rPr>
        <w:t>2020年部门预算收支安排</w:t>
      </w:r>
      <w:r>
        <w:rPr>
          <w:rFonts w:ascii="Times New Roman" w:hAnsi="Times New Roman" w:eastAsia="仿宋" w:cs="Times New Roman"/>
          <w:sz w:val="32"/>
          <w:szCs w:val="32"/>
        </w:rPr>
        <w:t>831.59</w:t>
      </w:r>
      <w:r>
        <w:rPr>
          <w:rFonts w:hint="eastAsia" w:ascii="Times New Roman" w:hAnsi="Times New Roman" w:eastAsia="仿宋" w:cs="Times New Roman"/>
          <w:color w:val="000000"/>
          <w:sz w:val="32"/>
          <w:szCs w:val="32"/>
        </w:rPr>
        <w:t>万元，</w:t>
      </w:r>
      <w:r>
        <w:rPr>
          <w:rFonts w:hint="eastAsia" w:ascii="Times New Roman" w:hAnsi="Times New Roman" w:eastAsia="仿宋" w:cs="Times New Roman"/>
          <w:sz w:val="32"/>
          <w:szCs w:val="32"/>
        </w:rPr>
        <w:t>较2019年减少</w:t>
      </w:r>
      <w:r>
        <w:rPr>
          <w:rFonts w:ascii="Times New Roman" w:hAnsi="Times New Roman" w:eastAsia="仿宋" w:cs="Times New Roman"/>
          <w:sz w:val="32"/>
          <w:szCs w:val="32"/>
        </w:rPr>
        <w:t>18.26</w:t>
      </w:r>
      <w:r>
        <w:rPr>
          <w:rFonts w:hint="eastAsia" w:ascii="Times New Roman" w:hAnsi="Times New Roman" w:eastAsia="仿宋" w:cs="Times New Roman"/>
          <w:sz w:val="32"/>
          <w:szCs w:val="32"/>
        </w:rPr>
        <w:t>万元，其中：基本支出增加</w:t>
      </w:r>
      <w:r>
        <w:rPr>
          <w:rFonts w:ascii="Times New Roman" w:hAnsi="Times New Roman" w:eastAsia="仿宋" w:cs="Times New Roman"/>
          <w:sz w:val="32"/>
          <w:szCs w:val="32"/>
        </w:rPr>
        <w:t>100.18</w:t>
      </w:r>
      <w:r>
        <w:rPr>
          <w:rFonts w:hint="eastAsia" w:ascii="Times New Roman" w:hAnsi="Times New Roman" w:eastAsia="仿宋" w:cs="Times New Roman"/>
          <w:sz w:val="32"/>
          <w:szCs w:val="32"/>
        </w:rPr>
        <w:t>万元，主要是人员增加，相应增加人员经费和日常公用经费；项目支出减少</w:t>
      </w:r>
      <w:r>
        <w:rPr>
          <w:rFonts w:ascii="Times New Roman" w:hAnsi="Times New Roman" w:eastAsia="仿宋" w:cs="Times New Roman"/>
          <w:sz w:val="32"/>
          <w:szCs w:val="32"/>
        </w:rPr>
        <w:t>118.44</w:t>
      </w:r>
      <w:r>
        <w:rPr>
          <w:rFonts w:hint="eastAsia" w:ascii="Times New Roman" w:hAnsi="Times New Roman" w:eastAsia="仿宋" w:cs="Times New Roman"/>
          <w:sz w:val="32"/>
          <w:szCs w:val="32"/>
        </w:rPr>
        <w:t>万元，主要是减少新闻出版资金，广电专用设备购置资金，日常运行补助经费资金；其他支出无增减变化。</w:t>
      </w:r>
    </w:p>
    <w:p>
      <w:pPr>
        <w:autoSpaceDE w:val="0"/>
        <w:autoSpaceDN w:val="0"/>
        <w:adjustRightInd w:val="0"/>
        <w:ind w:firstLine="960" w:firstLineChars="300"/>
        <w:jc w:val="left"/>
        <w:rPr>
          <w:rFonts w:ascii="黑体" w:hAnsi="黑体" w:eastAsia="黑体" w:cs="Times New Roman"/>
          <w:sz w:val="32"/>
          <w:szCs w:val="32"/>
        </w:rPr>
      </w:pPr>
      <w:r>
        <w:rPr>
          <w:rFonts w:hint="eastAsia" w:ascii="黑体" w:hAnsi="黑体" w:eastAsia="黑体" w:cs="Times New Roman"/>
          <w:sz w:val="32"/>
          <w:szCs w:val="32"/>
        </w:rPr>
        <w:t>三、机关运行经费安排情况</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2020年，我部门机关运行经费共计安排</w:t>
      </w:r>
      <w:r>
        <w:rPr>
          <w:rFonts w:ascii="Times New Roman" w:hAnsi="Times New Roman" w:eastAsia="仿宋" w:cs="Times New Roman"/>
          <w:sz w:val="32"/>
          <w:szCs w:val="32"/>
        </w:rPr>
        <w:t>86.93</w:t>
      </w:r>
      <w:r>
        <w:rPr>
          <w:rFonts w:hint="eastAsia" w:ascii="Times New Roman" w:hAnsi="Times New Roman" w:eastAsia="仿宋" w:cs="Times New Roman"/>
          <w:sz w:val="32"/>
          <w:szCs w:val="32"/>
        </w:rPr>
        <w:t>万元，主要用于保证机关正常运转的办公及印刷费、邮电费、差旅费、会议费、福利费、专用材料及一般设备购置费、办公用房水电费、办公用房取暖费、日常维修费、办公楼物业管理费、公务车运行维护费等支出。</w:t>
      </w:r>
    </w:p>
    <w:p>
      <w:pPr>
        <w:autoSpaceDE w:val="0"/>
        <w:autoSpaceDN w:val="0"/>
        <w:adjustRightInd w:val="0"/>
        <w:ind w:left="198" w:firstLine="640" w:firstLineChars="200"/>
        <w:jc w:val="left"/>
        <w:rPr>
          <w:rFonts w:ascii="黑体" w:hAnsi="黑体" w:eastAsia="黑体" w:cs="Times New Roman"/>
          <w:sz w:val="32"/>
          <w:szCs w:val="32"/>
        </w:rPr>
      </w:pPr>
      <w:r>
        <w:rPr>
          <w:rFonts w:hint="eastAsia" w:ascii="黑体" w:hAnsi="黑体" w:eastAsia="黑体" w:cs="Times New Roman"/>
          <w:sz w:val="32"/>
          <w:szCs w:val="32"/>
        </w:rPr>
        <w:t>四、财政拨款</w:t>
      </w:r>
      <w:r>
        <w:rPr>
          <w:rFonts w:ascii="黑体" w:hAnsi="黑体" w:eastAsia="黑体" w:cs="Times New Roman"/>
          <w:sz w:val="32"/>
          <w:szCs w:val="32"/>
        </w:rPr>
        <w:t>“</w:t>
      </w:r>
      <w:r>
        <w:rPr>
          <w:rFonts w:hint="eastAsia" w:ascii="黑体" w:hAnsi="黑体" w:eastAsia="黑体" w:cs="Times New Roman"/>
          <w:sz w:val="32"/>
          <w:szCs w:val="32"/>
        </w:rPr>
        <w:t>三公</w:t>
      </w:r>
      <w:r>
        <w:rPr>
          <w:rFonts w:ascii="黑体" w:hAnsi="黑体" w:eastAsia="黑体" w:cs="Times New Roman"/>
          <w:sz w:val="32"/>
          <w:szCs w:val="32"/>
        </w:rPr>
        <w:t>”</w:t>
      </w:r>
      <w:r>
        <w:rPr>
          <w:rFonts w:hint="eastAsia" w:ascii="黑体" w:hAnsi="黑体" w:eastAsia="黑体" w:cs="Times New Roman"/>
          <w:sz w:val="32"/>
          <w:szCs w:val="32"/>
        </w:rPr>
        <w:t>经费预算情况及增减变化原因</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2020年，我部门财政拨款“三公”经费预算安排</w:t>
      </w:r>
      <w:r>
        <w:rPr>
          <w:rFonts w:ascii="Times New Roman" w:hAnsi="Times New Roman" w:eastAsia="仿宋" w:cs="Times New Roman"/>
          <w:sz w:val="32"/>
          <w:szCs w:val="32"/>
        </w:rPr>
        <w:t>6.4</w:t>
      </w:r>
      <w:r>
        <w:rPr>
          <w:rFonts w:hint="eastAsia" w:ascii="Times New Roman" w:hAnsi="Times New Roman" w:eastAsia="仿宋" w:cs="Times New Roman"/>
          <w:sz w:val="32"/>
          <w:szCs w:val="32"/>
        </w:rPr>
        <w:t>万元，其中：因公出国（境）费</w:t>
      </w:r>
      <w:r>
        <w:rPr>
          <w:rFonts w:ascii="Times New Roman" w:hAnsi="Times New Roman" w:eastAsia="仿宋" w:cs="Times New Roman"/>
          <w:sz w:val="32"/>
          <w:szCs w:val="32"/>
        </w:rPr>
        <w:t>0</w:t>
      </w:r>
      <w:r>
        <w:rPr>
          <w:rFonts w:hint="eastAsia" w:ascii="Times New Roman" w:hAnsi="Times New Roman" w:eastAsia="仿宋" w:cs="Times New Roman"/>
          <w:sz w:val="32"/>
          <w:szCs w:val="32"/>
        </w:rPr>
        <w:t>万元；公务用车购置及运维费</w:t>
      </w:r>
      <w:r>
        <w:rPr>
          <w:rFonts w:ascii="Times New Roman" w:hAnsi="Times New Roman" w:eastAsia="仿宋" w:cs="Times New Roman"/>
          <w:sz w:val="32"/>
          <w:szCs w:val="32"/>
        </w:rPr>
        <w:t>5.4</w:t>
      </w:r>
      <w:r>
        <w:rPr>
          <w:rFonts w:hint="eastAsia" w:ascii="Times New Roman" w:hAnsi="Times New Roman" w:eastAsia="仿宋" w:cs="Times New Roman"/>
          <w:sz w:val="32"/>
          <w:szCs w:val="32"/>
        </w:rPr>
        <w:t>万元（其中：公务用车购置费0万元，公务用车运行维护费</w:t>
      </w:r>
      <w:r>
        <w:rPr>
          <w:rFonts w:ascii="Times New Roman" w:hAnsi="Times New Roman" w:eastAsia="仿宋" w:cs="Times New Roman"/>
          <w:sz w:val="32"/>
          <w:szCs w:val="32"/>
        </w:rPr>
        <w:t>5.4</w:t>
      </w:r>
      <w:r>
        <w:rPr>
          <w:rFonts w:hint="eastAsia" w:ascii="Times New Roman" w:hAnsi="Times New Roman" w:eastAsia="仿宋" w:cs="Times New Roman"/>
          <w:sz w:val="32"/>
          <w:szCs w:val="32"/>
        </w:rPr>
        <w:t>万元)；公务接待费</w:t>
      </w:r>
      <w:r>
        <w:rPr>
          <w:rFonts w:ascii="Times New Roman" w:hAnsi="Times New Roman" w:eastAsia="仿宋" w:cs="Times New Roman"/>
          <w:sz w:val="32"/>
          <w:szCs w:val="32"/>
        </w:rPr>
        <w:t>1</w:t>
      </w:r>
      <w:r>
        <w:rPr>
          <w:rFonts w:hint="eastAsia" w:ascii="Times New Roman" w:hAnsi="Times New Roman" w:eastAsia="仿宋" w:cs="Times New Roman"/>
          <w:sz w:val="32"/>
          <w:szCs w:val="32"/>
        </w:rPr>
        <w:t>万元。“三公”经费与上年相比，减少3万元，主要是压减公务接待费。</w:t>
      </w:r>
    </w:p>
    <w:p>
      <w:pPr>
        <w:autoSpaceDE w:val="0"/>
        <w:autoSpaceDN w:val="0"/>
        <w:adjustRightInd w:val="0"/>
        <w:ind w:left="198" w:firstLine="640" w:firstLineChars="200"/>
        <w:jc w:val="left"/>
        <w:rPr>
          <w:rFonts w:ascii="黑体" w:hAnsi="黑体" w:eastAsia="黑体" w:cs="Times New Roman"/>
          <w:sz w:val="32"/>
          <w:szCs w:val="32"/>
        </w:rPr>
      </w:pPr>
      <w:r>
        <w:rPr>
          <w:rFonts w:hint="eastAsia" w:ascii="黑体" w:hAnsi="黑体" w:eastAsia="黑体" w:cs="Times New Roman"/>
          <w:sz w:val="32"/>
          <w:szCs w:val="32"/>
        </w:rPr>
        <w:t>五、预算绩效信息</w:t>
      </w:r>
    </w:p>
    <w:p>
      <w:pPr>
        <w:ind w:firstLine="643" w:firstLineChars="200"/>
        <w:jc w:val="left"/>
        <w:rPr>
          <w:rFonts w:ascii="Times New Roman" w:hAnsi="Times New Roman" w:eastAsia="仿宋" w:cs="Times New Roman"/>
          <w:sz w:val="32"/>
          <w:szCs w:val="32"/>
        </w:rPr>
      </w:pPr>
      <w:bookmarkStart w:id="0" w:name="_Toc471398463"/>
      <w:r>
        <w:rPr>
          <w:rFonts w:hint="eastAsia" w:ascii="Times New Roman" w:hAnsi="Times New Roman" w:eastAsia="方正仿宋_GBK" w:cs="Times New Roman"/>
          <w:b/>
          <w:sz w:val="32"/>
          <w:szCs w:val="32"/>
        </w:rPr>
        <w:t>第一部分  部门整体绩效目标</w:t>
      </w:r>
    </w:p>
    <w:p>
      <w:pPr>
        <w:autoSpaceDE w:val="0"/>
        <w:autoSpaceDN w:val="0"/>
        <w:adjustRightInd w:val="0"/>
        <w:ind w:left="198" w:firstLine="643" w:firstLineChars="200"/>
        <w:jc w:val="left"/>
        <w:rPr>
          <w:rFonts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（一）总体绩效目标</w:t>
      </w:r>
      <w:r>
        <w:rPr>
          <w:rFonts w:hint="eastAsia" w:ascii="Times New Roman" w:hAnsi="Times New Roman" w:eastAsia="方正仿宋_GBK" w:cs="Times New Roman"/>
          <w:b/>
          <w:sz w:val="32"/>
          <w:szCs w:val="32"/>
        </w:rPr>
        <w:fldChar w:fldCharType="begin"/>
      </w:r>
      <w:r>
        <w:rPr>
          <w:rFonts w:hint="eastAsia" w:ascii="Times New Roman" w:hAnsi="Times New Roman" w:eastAsia="方正仿宋_GBK" w:cs="Times New Roman"/>
          <w:b/>
          <w:sz w:val="32"/>
          <w:szCs w:val="32"/>
        </w:rPr>
        <w:instrText xml:space="preserve"> TC </w:instrText>
      </w:r>
      <w:bookmarkStart w:id="1" w:name="_Toc29484628"/>
      <w:r>
        <w:rPr>
          <w:rFonts w:hint="eastAsia" w:ascii="Times New Roman" w:hAnsi="Times New Roman" w:eastAsia="方正仿宋_GBK" w:cs="Times New Roman"/>
          <w:b/>
          <w:sz w:val="32"/>
          <w:szCs w:val="32"/>
        </w:rPr>
        <w:instrText xml:space="preserve">总体绩效目标</w:instrText>
      </w:r>
      <w:bookmarkEnd w:id="1"/>
      <w:r>
        <w:rPr>
          <w:rFonts w:hint="eastAsia" w:ascii="Times New Roman" w:hAnsi="Times New Roman" w:eastAsia="方正仿宋_GBK" w:cs="Times New Roman"/>
          <w:b/>
          <w:sz w:val="32"/>
          <w:szCs w:val="32"/>
        </w:rPr>
        <w:instrText xml:space="preserve"> \f A \l 1 </w:instrText>
      </w:r>
      <w:r>
        <w:rPr>
          <w:rFonts w:hint="eastAsia" w:ascii="Times New Roman" w:hAnsi="Times New Roman" w:eastAsia="方正仿宋_GBK" w:cs="Times New Roman"/>
          <w:b/>
          <w:sz w:val="32"/>
          <w:szCs w:val="32"/>
        </w:rPr>
        <w:fldChar w:fldCharType="end"/>
      </w:r>
    </w:p>
    <w:p>
      <w:pPr>
        <w:autoSpaceDE w:val="0"/>
        <w:autoSpaceDN w:val="0"/>
        <w:adjustRightInd w:val="0"/>
        <w:ind w:left="198"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鹿泉融媒体中心（广电台）以习近平新时代中国特色社会主义思想为指导，按照“引导群众、服务群众”的总要求，推动我区媒体转型升级，加快实现各种媒介资源、生产要素有效融合，推动信息内容、技术应用、平台终端和管理服务共享融通，重构采编发体系，优化采编发流程，提高信息供给质量和针对性，发挥好教育引导群众、服务生产生活的积极作用。</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宣传工作将始终围绕党和政府各个时期的工作重点，牢牢地把握正确的舆论导向，弘扬时代主旋律，努力在宣传内容上求“深”，在宣传手段上求“新”，在宣传质量上求“精”，在对外宣传上求“强”。增强媒体宣传的吸引力，营造我市经济和社会全面发展的良好氛围。按照“政治强、业务精、纪律严、作风正”的要求，通过引进、培养、提高等方式，培养一批优秀编辑、记者、主持人、工程技术人员。在产业发展上进一步扩大业务范围，实现从“受众”思维向“用户”思维的转变，建成鹿泉本土化媒体平台，通过线上线下经营，提高效益；要引进、培养一批理念新、技术精、会管理、懂经营，能拓展增强业务的专门人才，努力提高队伍的思想水平，政治素质和业务能力，为扎实推进广播电视新一轮改革创业打造一支过硬的队伍。</w:t>
      </w:r>
    </w:p>
    <w:p>
      <w:pPr>
        <w:autoSpaceDE w:val="0"/>
        <w:autoSpaceDN w:val="0"/>
        <w:adjustRightInd w:val="0"/>
        <w:ind w:left="198" w:firstLine="643" w:firstLineChars="200"/>
        <w:jc w:val="left"/>
        <w:rPr>
          <w:rFonts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（二）分项绩效目标</w:t>
      </w:r>
      <w:r>
        <w:rPr>
          <w:rFonts w:hint="eastAsia" w:ascii="Times New Roman" w:hAnsi="Times New Roman" w:eastAsia="方正仿宋_GBK" w:cs="Times New Roman"/>
          <w:b/>
          <w:sz w:val="32"/>
          <w:szCs w:val="32"/>
        </w:rPr>
        <w:fldChar w:fldCharType="begin"/>
      </w:r>
      <w:r>
        <w:rPr>
          <w:rFonts w:hint="eastAsia" w:ascii="Times New Roman" w:hAnsi="Times New Roman" w:eastAsia="方正仿宋_GBK" w:cs="Times New Roman"/>
          <w:b/>
          <w:sz w:val="32"/>
          <w:szCs w:val="32"/>
        </w:rPr>
        <w:instrText xml:space="preserve"> TC </w:instrText>
      </w:r>
      <w:bookmarkStart w:id="2" w:name="_Toc29484629"/>
      <w:r>
        <w:rPr>
          <w:rFonts w:hint="eastAsia" w:ascii="Times New Roman" w:hAnsi="Times New Roman" w:eastAsia="方正仿宋_GBK" w:cs="Times New Roman"/>
          <w:b/>
          <w:sz w:val="32"/>
          <w:szCs w:val="32"/>
        </w:rPr>
        <w:instrText xml:space="preserve">分项绩效目标</w:instrText>
      </w:r>
      <w:bookmarkEnd w:id="2"/>
      <w:r>
        <w:rPr>
          <w:rFonts w:hint="eastAsia" w:ascii="Times New Roman" w:hAnsi="Times New Roman" w:eastAsia="方正仿宋_GBK" w:cs="Times New Roman"/>
          <w:b/>
          <w:sz w:val="32"/>
          <w:szCs w:val="32"/>
        </w:rPr>
        <w:instrText xml:space="preserve"> \f A \l 1 </w:instrText>
      </w:r>
      <w:r>
        <w:rPr>
          <w:rFonts w:hint="eastAsia" w:ascii="Times New Roman" w:hAnsi="Times New Roman" w:eastAsia="方正仿宋_GBK" w:cs="Times New Roman"/>
          <w:b/>
          <w:sz w:val="32"/>
          <w:szCs w:val="32"/>
        </w:rPr>
        <w:fldChar w:fldCharType="end"/>
      </w:r>
    </w:p>
    <w:p>
      <w:pPr>
        <w:autoSpaceDE w:val="0"/>
        <w:autoSpaceDN w:val="0"/>
        <w:adjustRightInd w:val="0"/>
        <w:ind w:left="198"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一、广播电视事业建设</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1、广播电视节目制作播出</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绩效目标：宣传党的路线、方针、政策和区委、区政府的工作部署，坚持正确舆论导向，发挥主流媒体作用；开展新闻宣传，办好各类广播电视节目；配合上级台完成我区的采访报道工作并提供各类节目；承担区委、区政府形象宣传片及专题片的创作生产；完成电台、电视台自播新闻、专题、文艺节目的采、编、播工作。研发新节目，打造品牌活动；媒体识别度和影响力进一步提升，收听收看群体扩大；广告创收任务完成。</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绩效指标：对上宣传报道量70条、本台自播新闻2420条、专题量215期。</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2、广播电视节目制作能力建设</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绩效目标：通过技术升级，实现台内资源互通互享，提高节目制力和传播能力；拓展新媒体传播途径，开拓新型业务。</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绩效指标：新媒体的融合度90%以上、新媒体设备利用率90%以上、数字化设备更新率90%以上。</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3、安全播出管理</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绩效目标：建立起完备的广播电视安全播出保障体系，加强维护和演练。</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绩效指标：广播电视节目停播率小于20秒。</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二、政务管理</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1、综合业务管理</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绩效目标：确保各项业务工作谋划到位、顺利开展；保障机关工作正常高效运转。</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绩效指标：综合业务管理工作完成率95%以上。</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三、宣传思想工作</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1、舆情引导确保全区正确舆论导向</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绩效目标：每周编辑、出版、发行《鹿泉视窗》；按时发放到区直部门、乡镇、开发区等单位；统一全区广大党员干部思想，为全区各项工作的顺利展开提供思想保证和舆论支持。</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绩效指标：《鹿泉视窗》出版率95%以上、读者满意率95%以上、发行覆盖面95%以上。</w:t>
      </w:r>
    </w:p>
    <w:p>
      <w:pPr>
        <w:autoSpaceDE w:val="0"/>
        <w:autoSpaceDN w:val="0"/>
        <w:adjustRightInd w:val="0"/>
        <w:ind w:left="198" w:firstLine="643" w:firstLineChars="200"/>
        <w:jc w:val="left"/>
        <w:rPr>
          <w:rFonts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（三）工作保障措施</w:t>
      </w:r>
      <w:r>
        <w:rPr>
          <w:rFonts w:hint="eastAsia" w:ascii="Times New Roman" w:hAnsi="Times New Roman" w:eastAsia="方正仿宋_GBK" w:cs="Times New Roman"/>
          <w:b/>
          <w:sz w:val="32"/>
          <w:szCs w:val="32"/>
        </w:rPr>
        <w:fldChar w:fldCharType="begin"/>
      </w:r>
      <w:r>
        <w:rPr>
          <w:rFonts w:hint="eastAsia" w:ascii="Times New Roman" w:hAnsi="Times New Roman" w:eastAsia="方正仿宋_GBK" w:cs="Times New Roman"/>
          <w:b/>
          <w:sz w:val="32"/>
          <w:szCs w:val="32"/>
        </w:rPr>
        <w:instrText xml:space="preserve"> TC </w:instrText>
      </w:r>
      <w:bookmarkStart w:id="3" w:name="_Toc29484630"/>
      <w:r>
        <w:rPr>
          <w:rFonts w:hint="eastAsia" w:ascii="Times New Roman" w:hAnsi="Times New Roman" w:eastAsia="方正仿宋_GBK" w:cs="Times New Roman"/>
          <w:b/>
          <w:sz w:val="32"/>
          <w:szCs w:val="32"/>
        </w:rPr>
        <w:instrText xml:space="preserve">工作保障措施</w:instrText>
      </w:r>
      <w:bookmarkEnd w:id="3"/>
      <w:r>
        <w:rPr>
          <w:rFonts w:hint="eastAsia" w:ascii="Times New Roman" w:hAnsi="Times New Roman" w:eastAsia="方正仿宋_GBK" w:cs="Times New Roman"/>
          <w:b/>
          <w:sz w:val="32"/>
          <w:szCs w:val="32"/>
        </w:rPr>
        <w:instrText xml:space="preserve"> \f A \l 1 </w:instrText>
      </w:r>
      <w:r>
        <w:rPr>
          <w:rFonts w:hint="eastAsia" w:ascii="Times New Roman" w:hAnsi="Times New Roman" w:eastAsia="方正仿宋_GBK" w:cs="Times New Roman"/>
          <w:b/>
          <w:sz w:val="32"/>
          <w:szCs w:val="32"/>
        </w:rPr>
        <w:fldChar w:fldCharType="end"/>
      </w:r>
    </w:p>
    <w:p>
      <w:pPr>
        <w:spacing w:line="500" w:lineRule="exact"/>
        <w:ind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1、完善制度建设。电视台将通过制定完善预算绩效管理制度，资金管理办法、工作保障制度等，为全年预算绩效目标的实现奠定制度基础。</w:t>
      </w:r>
      <w:r>
        <w:rPr>
          <w:rFonts w:ascii="Times New Roman" w:hAnsi="Times New Roman" w:eastAsia="仿宋" w:cs="Times New Roman"/>
          <w:sz w:val="32"/>
          <w:szCs w:val="32"/>
        </w:rPr>
        <w:br w:type="textWrapping"/>
      </w:r>
      <w:r>
        <w:rPr>
          <w:rFonts w:ascii="Times New Roman" w:hAnsi="Times New Roman" w:eastAsia="仿宋" w:cs="Times New Roman"/>
          <w:sz w:val="32"/>
          <w:szCs w:val="32"/>
        </w:rPr>
        <w:t xml:space="preserve">　 </w:t>
      </w:r>
      <w:r>
        <w:rPr>
          <w:rFonts w:hint="eastAsia" w:ascii="Times New Roman" w:hAnsi="Times New Roman" w:eastAsia="仿宋" w:cs="Times New Roman"/>
          <w:sz w:val="32"/>
          <w:szCs w:val="32"/>
        </w:rPr>
        <w:t xml:space="preserve"> </w:t>
      </w:r>
      <w:r>
        <w:rPr>
          <w:rFonts w:ascii="Times New Roman" w:hAnsi="Times New Roman" w:eastAsia="仿宋" w:cs="Times New Roman"/>
          <w:sz w:val="32"/>
          <w:szCs w:val="32"/>
        </w:rPr>
        <w:t>2、加强支出管理。电视台将通过优化支出结构、编细编实预算、及时支付资金、按规定及时下达资金等多种措施，确保支出进度达标。</w:t>
      </w:r>
    </w:p>
    <w:p>
      <w:pPr>
        <w:spacing w:line="500" w:lineRule="exact"/>
        <w:ind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3、加强绩效运行监控。电视台将按要求开展绩效运行监控，发现问题及时采取措施，确保绩效目标如期保质实现。</w:t>
      </w:r>
    </w:p>
    <w:p>
      <w:pPr>
        <w:spacing w:line="500" w:lineRule="exact"/>
        <w:ind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4、做好绩效自评。电视台将按要求开展上年度部门预算绩效自评和重点评价工作，对评价中发现的问题及时整改，调整财政资金使用效益。</w:t>
      </w:r>
    </w:p>
    <w:p>
      <w:pPr>
        <w:spacing w:line="500" w:lineRule="exact"/>
        <w:ind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5、规范财务资产管理。电视台将不断完善财务管理制度，严格审批程序，加强固定资产登记、使用和报废处置管理，做到支出合理，物尽其用。</w:t>
      </w:r>
    </w:p>
    <w:p>
      <w:pPr>
        <w:spacing w:line="500" w:lineRule="exact"/>
        <w:ind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6、加强内部监督。电视台将不断加强内部监督制度建设，对绩效运行情况、重大支出决策、资产处置及其他重要经济业务事项的决策和执行进行督导，对会计资料进行内部审计，并配合做好审计、财政监督等外部监督工作，确保财政资金安全有效。</w:t>
      </w:r>
    </w:p>
    <w:p>
      <w:pPr>
        <w:spacing w:line="500" w:lineRule="exact"/>
        <w:ind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7、加强宣传培训调研等。电视台将不断加强人员培训，提高本部门职工业务素质；加强调研，提出优化财政资金配置、提高资金使用效益的意见建议；加大宣传力度，强化预算绩效管理意识，促进预算绩效管理水平进一步提升。</w:t>
      </w:r>
    </w:p>
    <w:p>
      <w:pPr>
        <w:autoSpaceDE w:val="0"/>
        <w:autoSpaceDN w:val="0"/>
        <w:adjustRightInd w:val="0"/>
        <w:ind w:left="198" w:firstLine="643" w:firstLineChars="200"/>
        <w:jc w:val="left"/>
        <w:rPr>
          <w:rFonts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第二部分  预算项目绩效目标</w:t>
      </w:r>
    </w:p>
    <w:p>
      <w:pPr>
        <w:ind w:firstLine="562" w:firstLineChars="200"/>
        <w:jc w:val="left"/>
        <w:outlineLvl w:val="1"/>
        <w:rPr>
          <w:rFonts w:ascii="Times New Roman" w:hAnsi="宋体"/>
          <w:b/>
          <w:sz w:val="28"/>
        </w:rPr>
      </w:pPr>
      <w:r>
        <w:rPr>
          <w:rFonts w:hint="eastAsia" w:ascii="方正仿宋_GBK" w:eastAsia="方正仿宋_GBK"/>
          <w:b/>
          <w:sz w:val="28"/>
        </w:rPr>
        <w:t xml:space="preserve"> </w:t>
      </w:r>
      <w:bookmarkEnd w:id="0"/>
      <w:r>
        <w:rPr>
          <w:rFonts w:hint="eastAsia" w:ascii="方正仿宋_GBK" w:eastAsia="方正仿宋_GBK"/>
          <w:b/>
          <w:sz w:val="28"/>
        </w:rPr>
        <w:t>1、军队退役人员劳务派遣工资绩效目标表</w:t>
      </w:r>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4" w:name="_Toc32845252"/>
      <w:r>
        <w:rPr>
          <w:rFonts w:hint="eastAsia" w:ascii="方正仿宋_GBK" w:eastAsia="方正仿宋_GBK"/>
          <w:b/>
          <w:sz w:val="28"/>
        </w:rPr>
        <w:instrText xml:space="preserve">1、军队退役人员劳务派遣工资绩效目标表</w:instrText>
      </w:r>
      <w:bookmarkEnd w:id="4"/>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000-9999-YBN-JZFD</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军队退役人员劳务派遣工资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4.76</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4.76</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我单位共有军队退役人员劳务派遣岗位</w:t>
            </w:r>
            <w:r>
              <w:rPr>
                <w:rFonts w:ascii="方正书宋_GBK" w:eastAsia="方正书宋_GBK"/>
              </w:rPr>
              <w:t>1</w:t>
            </w:r>
            <w:r>
              <w:rPr>
                <w:rFonts w:hint="eastAsia" w:ascii="方正书宋_GBK" w:eastAsia="方正书宋_GBK"/>
              </w:rPr>
              <w:t>人，每人每月财政负担</w:t>
            </w:r>
            <w:r>
              <w:rPr>
                <w:rFonts w:ascii="方正书宋_GBK" w:eastAsia="方正书宋_GBK"/>
              </w:rPr>
              <w:t>1650</w:t>
            </w:r>
            <w:r>
              <w:rPr>
                <w:rFonts w:hint="eastAsia" w:ascii="方正书宋_GBK" w:eastAsia="方正书宋_GBK"/>
              </w:rPr>
              <w:t>元，退役人员岗位补贴</w:t>
            </w:r>
            <w:r>
              <w:rPr>
                <w:rFonts w:ascii="方正书宋_GBK" w:eastAsia="方正书宋_GBK"/>
              </w:rPr>
              <w:t>900</w:t>
            </w:r>
            <w:r>
              <w:rPr>
                <w:rFonts w:hint="eastAsia" w:ascii="方正书宋_GBK" w:eastAsia="方正书宋_GBK"/>
              </w:rPr>
              <w:t>元，军龄补贴</w:t>
            </w:r>
            <w:r>
              <w:rPr>
                <w:rFonts w:ascii="方正书宋_GBK" w:eastAsia="方正书宋_GBK"/>
              </w:rPr>
              <w:t>150</w:t>
            </w:r>
            <w:r>
              <w:rPr>
                <w:rFonts w:hint="eastAsia" w:ascii="方正书宋_GBK" w:eastAsia="方正书宋_GBK"/>
              </w:rPr>
              <w:t>元，</w:t>
            </w:r>
            <w:r>
              <w:rPr>
                <w:rFonts w:ascii="方正书宋_GBK" w:eastAsia="方正书宋_GBK"/>
              </w:rPr>
              <w:t>2018</w:t>
            </w:r>
            <w:r>
              <w:rPr>
                <w:rFonts w:hint="eastAsia" w:ascii="方正书宋_GBK" w:eastAsia="方正书宋_GBK"/>
              </w:rPr>
              <w:t>年</w:t>
            </w:r>
            <w:r>
              <w:rPr>
                <w:rFonts w:ascii="方正书宋_GBK" w:eastAsia="方正书宋_GBK"/>
              </w:rPr>
              <w:t>8</w:t>
            </w:r>
            <w:r>
              <w:rPr>
                <w:rFonts w:hint="eastAsia" w:ascii="方正书宋_GBK" w:eastAsia="方正书宋_GBK"/>
              </w:rPr>
              <w:t>月增加工资</w:t>
            </w:r>
            <w:r>
              <w:rPr>
                <w:rFonts w:ascii="方正书宋_GBK" w:eastAsia="方正书宋_GBK"/>
              </w:rPr>
              <w:t>150</w:t>
            </w:r>
            <w:r>
              <w:rPr>
                <w:rFonts w:hint="eastAsia" w:ascii="方正书宋_GBK" w:eastAsia="方正书宋_GBK"/>
              </w:rPr>
              <w:t>元，养老保险</w:t>
            </w:r>
            <w:r>
              <w:rPr>
                <w:rFonts w:ascii="方正书宋_GBK" w:eastAsia="方正书宋_GBK"/>
              </w:rPr>
              <w:t>456</w:t>
            </w:r>
            <w:r>
              <w:rPr>
                <w:rFonts w:hint="eastAsia" w:ascii="方正书宋_GBK" w:eastAsia="方正书宋_GBK"/>
              </w:rPr>
              <w:t>元，医疗保险</w:t>
            </w:r>
            <w:r>
              <w:rPr>
                <w:rFonts w:ascii="方正书宋_GBK" w:eastAsia="方正书宋_GBK"/>
              </w:rPr>
              <w:t>450</w:t>
            </w:r>
            <w:r>
              <w:rPr>
                <w:rFonts w:hint="eastAsia" w:ascii="方正书宋_GBK" w:eastAsia="方正书宋_GBK"/>
              </w:rPr>
              <w:t>元，工伤保险</w:t>
            </w:r>
            <w:r>
              <w:rPr>
                <w:rFonts w:ascii="方正书宋_GBK" w:eastAsia="方正书宋_GBK"/>
              </w:rPr>
              <w:t>35</w:t>
            </w:r>
            <w:r>
              <w:rPr>
                <w:rFonts w:hint="eastAsia" w:ascii="方正书宋_GBK" w:eastAsia="方正书宋_GBK"/>
              </w:rPr>
              <w:t>元，失业保险</w:t>
            </w:r>
            <w:r>
              <w:rPr>
                <w:rFonts w:ascii="方正书宋_GBK" w:eastAsia="方正书宋_GBK"/>
              </w:rPr>
              <w:t>20</w:t>
            </w:r>
            <w:r>
              <w:rPr>
                <w:rFonts w:hint="eastAsia" w:ascii="方正书宋_GBK" w:eastAsia="方正书宋_GBK"/>
              </w:rPr>
              <w:t>元，过冬费</w:t>
            </w:r>
            <w:r>
              <w:rPr>
                <w:rFonts w:ascii="方正书宋_GBK" w:eastAsia="方正书宋_GBK"/>
              </w:rPr>
              <w:t>1900</w:t>
            </w:r>
            <w:r>
              <w:rPr>
                <w:rFonts w:hint="eastAsia" w:ascii="方正书宋_GBK" w:eastAsia="方正书宋_GBK"/>
              </w:rPr>
              <w:t>元，全年共计</w:t>
            </w:r>
            <w:r>
              <w:rPr>
                <w:rFonts w:ascii="方正书宋_GBK" w:eastAsia="方正书宋_GBK"/>
              </w:rPr>
              <w:t>4.7632</w:t>
            </w:r>
            <w:r>
              <w:rPr>
                <w:rFonts w:hint="eastAsia" w:ascii="方正书宋_GBK" w:eastAsia="方正书宋_GBK"/>
              </w:rPr>
              <w:t>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20.00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80.00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、确保军队退役人员劳务派遣工资按时发放。</w:t>
            </w:r>
          </w:p>
        </w:tc>
      </w:tr>
    </w:tbl>
    <w:p>
      <w:pPr>
        <w:spacing w:line="14" w:lineRule="exact"/>
        <w:ind w:firstLine="420" w:firstLineChars="200"/>
        <w:jc w:val="center"/>
        <w:rPr>
          <w:rFonts w:ascii="Times New Roman"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军队退役人员人数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军队退役人员</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人</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文件批文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月工资数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月工资数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2850</w:t>
            </w:r>
            <w:r>
              <w:rPr>
                <w:rFonts w:hint="eastAsia" w:ascii="方正书宋_GBK" w:eastAsia="方正书宋_GBK"/>
              </w:rPr>
              <w:t>元</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文件批文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过冬取暖费</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过冬取暖费</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1900</w:t>
            </w:r>
            <w:r>
              <w:rPr>
                <w:rFonts w:hint="eastAsia" w:ascii="方正书宋_GBK" w:eastAsia="方正书宋_GBK"/>
              </w:rPr>
              <w:t>元</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文件批文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工资补贴发放率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发放军队退役人员工资及补贴完成率</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文件批文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工资发放及时率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反应按时发放工资的程度</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安置退役军人数量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安置退役军人数量</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人</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文件批文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军队退役人员满意度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军队退役人员对部门提供服务的满意程度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文件批文</w:t>
            </w: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ind w:firstLine="562" w:firstLineChars="200"/>
        <w:jc w:val="left"/>
        <w:outlineLvl w:val="1"/>
        <w:rPr>
          <w:rFonts w:ascii="Times New Roman" w:hAnsi="宋体"/>
          <w:b/>
          <w:sz w:val="28"/>
        </w:rPr>
      </w:pPr>
      <w:r>
        <w:rPr>
          <w:rFonts w:hint="eastAsia" w:ascii="方正仿宋_GBK" w:eastAsia="方正仿宋_GBK"/>
          <w:b/>
          <w:sz w:val="28"/>
        </w:rPr>
        <w:t>2、日常运行补助经费绩效目标表</w:t>
      </w:r>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5" w:name="_Toc32845253"/>
      <w:r>
        <w:rPr>
          <w:rFonts w:hint="eastAsia" w:ascii="方正仿宋_GBK" w:eastAsia="方正仿宋_GBK"/>
          <w:b/>
          <w:sz w:val="28"/>
        </w:rPr>
        <w:instrText xml:space="preserve">2、日常运行补助经费绩效目标表</w:instrText>
      </w:r>
      <w:bookmarkEnd w:id="5"/>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000-9999-JSN-8882</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日常运行补助经费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25.00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25.00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更换办公楼配电柜</w:t>
            </w:r>
            <w:r>
              <w:rPr>
                <w:rFonts w:ascii="方正书宋_GBK" w:eastAsia="方正书宋_GBK"/>
              </w:rPr>
              <w:t>1</w:t>
            </w:r>
            <w:r>
              <w:rPr>
                <w:rFonts w:hint="eastAsia" w:ascii="方正书宋_GBK" w:eastAsia="方正书宋_GBK"/>
              </w:rPr>
              <w:t>套</w:t>
            </w:r>
            <w:r>
              <w:rPr>
                <w:rFonts w:ascii="方正书宋_GBK" w:eastAsia="方正书宋_GBK"/>
              </w:rPr>
              <w:t>8</w:t>
            </w:r>
            <w:r>
              <w:rPr>
                <w:rFonts w:hint="eastAsia" w:ascii="方正书宋_GBK" w:eastAsia="方正书宋_GBK"/>
              </w:rPr>
              <w:t>万元；媒体设备（包括发电机、发射机、摄像机、编辑机等）维修维护费</w:t>
            </w:r>
            <w:r>
              <w:rPr>
                <w:rFonts w:ascii="方正书宋_GBK" w:eastAsia="方正书宋_GBK"/>
              </w:rPr>
              <w:t>17</w:t>
            </w:r>
            <w:r>
              <w:rPr>
                <w:rFonts w:hint="eastAsia" w:ascii="方正书宋_GBK" w:eastAsia="方正书宋_GBK"/>
              </w:rPr>
              <w:t>万</w:t>
            </w:r>
            <w:r>
              <w:rPr>
                <w:rFonts w:ascii="方正书宋_GBK" w:eastAsia="方正书宋_GBK"/>
              </w:rPr>
              <w:t>,</w:t>
            </w:r>
            <w:r>
              <w:rPr>
                <w:rFonts w:hint="eastAsia" w:ascii="方正书宋_GBK" w:eastAsia="方正书宋_GBK"/>
              </w:rPr>
              <w:t>共计资金</w:t>
            </w:r>
            <w:r>
              <w:rPr>
                <w:rFonts w:ascii="方正书宋_GBK" w:eastAsia="方正书宋_GBK"/>
              </w:rPr>
              <w:t>25</w:t>
            </w:r>
            <w:r>
              <w:rPr>
                <w:rFonts w:hint="eastAsia" w:ascii="方正书宋_GBK" w:eastAsia="方正书宋_GBK"/>
              </w:rPr>
              <w:t>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20.00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80.00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、保障采编播等广电专用设备正常运转，完成电视台宣传报道任务，及时准确传达区委区政府的政策精神，打造精品电视栏目。</w:t>
            </w:r>
          </w:p>
        </w:tc>
      </w:tr>
    </w:tbl>
    <w:p>
      <w:pPr>
        <w:spacing w:line="14" w:lineRule="exact"/>
        <w:ind w:firstLine="420" w:firstLineChars="200"/>
        <w:jc w:val="center"/>
        <w:rPr>
          <w:rFonts w:ascii="Times New Roman"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更换配电柜</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更换配电柜数量</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套</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媒体设备正常运转率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设备正常运转时间占总运转时间的比例</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可持续影响指标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长期使用性</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反映媒体设备长期正常运转的程度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长期使用</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设备使用人员满意度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满意和较满意人数占被调查人数的比例</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工作计划</w:t>
            </w: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ind w:firstLine="562" w:firstLineChars="200"/>
        <w:jc w:val="left"/>
        <w:outlineLvl w:val="1"/>
        <w:rPr>
          <w:rFonts w:ascii="Times New Roman" w:hAnsi="宋体"/>
          <w:b/>
          <w:sz w:val="28"/>
        </w:rPr>
      </w:pPr>
      <w:r>
        <w:rPr>
          <w:rFonts w:hint="eastAsia" w:ascii="方正仿宋_GBK" w:eastAsia="方正仿宋_GBK"/>
          <w:b/>
          <w:sz w:val="28"/>
        </w:rPr>
        <w:t>3、设备电力采暖保障经费绩效目标表</w:t>
      </w:r>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6" w:name="_Toc32845254"/>
      <w:r>
        <w:rPr>
          <w:rFonts w:hint="eastAsia" w:ascii="方正仿宋_GBK" w:eastAsia="方正仿宋_GBK"/>
          <w:b/>
          <w:sz w:val="28"/>
        </w:rPr>
        <w:instrText xml:space="preserve">3、设备电力采暖保障经费绩效目标表</w:instrText>
      </w:r>
      <w:bookmarkEnd w:id="6"/>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000-9999-JSN-DDRJ</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设备电力采暖保障经费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35.00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35.00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用于融媒体中心采编播工作、演播室及配套设施、发射台电力保障，确保设备正常运转。电力保障经费合计</w:t>
            </w:r>
            <w:r>
              <w:rPr>
                <w:rFonts w:ascii="方正书宋_GBK" w:eastAsia="方正书宋_GBK"/>
              </w:rPr>
              <w:t>35</w:t>
            </w:r>
            <w:r>
              <w:rPr>
                <w:rFonts w:hint="eastAsia" w:ascii="方正书宋_GBK" w:eastAsia="方正书宋_GBK"/>
              </w:rPr>
              <w:t>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20.00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80.00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、保障电视台机房广电设备正常运转，海山岭发射台信号发射设备正常运转，保障广电设备信号正常，完成无线广播电视节目的传输、覆盖和安全播出任务。</w:t>
            </w:r>
          </w:p>
        </w:tc>
      </w:tr>
    </w:tbl>
    <w:p>
      <w:pPr>
        <w:spacing w:line="14" w:lineRule="exact"/>
        <w:ind w:firstLine="420" w:firstLineChars="200"/>
        <w:jc w:val="center"/>
        <w:rPr>
          <w:rFonts w:ascii="Times New Roman"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广电设备运行优良率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稳定运行设备数量占运行设备总数量的比例（百分比）</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海山岭发射台运转时间</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电力保障海山岭发射台设备运转时间</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0365*24</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电视播控机房运转时间</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电力保障电视播控机房运转时间</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365*24</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信号覆盖率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信号正常保障时间占总运行时间的比例</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使用人员满意度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满意和较满意人数占被调查人数的比例</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工作标准</w:t>
            </w: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ind w:firstLine="562" w:firstLineChars="200"/>
        <w:jc w:val="left"/>
        <w:outlineLvl w:val="1"/>
        <w:rPr>
          <w:rFonts w:ascii="Times New Roman" w:hAnsi="宋体"/>
          <w:b/>
          <w:sz w:val="28"/>
        </w:rPr>
      </w:pPr>
      <w:r>
        <w:rPr>
          <w:rFonts w:hint="eastAsia" w:ascii="方正仿宋_GBK" w:eastAsia="方正仿宋_GBK"/>
          <w:b/>
          <w:sz w:val="28"/>
        </w:rPr>
        <w:t>4、原乡镇机线员生活补贴绩效目标表</w:t>
      </w:r>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7" w:name="_Toc32845255"/>
      <w:r>
        <w:rPr>
          <w:rFonts w:hint="eastAsia" w:ascii="方正仿宋_GBK" w:eastAsia="方正仿宋_GBK"/>
          <w:b/>
          <w:sz w:val="28"/>
        </w:rPr>
        <w:instrText xml:space="preserve">4、原乡镇机线员生活补贴绩效目标表</w:instrText>
      </w:r>
      <w:bookmarkEnd w:id="7"/>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000-9999-JSN-JZJL</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原乡镇机线员生活补贴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3.19</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3.19</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原乡镇机线员符合发放生活补贴条件的共有</w:t>
            </w:r>
            <w:r>
              <w:rPr>
                <w:rFonts w:ascii="方正书宋_GBK" w:eastAsia="方正书宋_GBK"/>
              </w:rPr>
              <w:t>8</w:t>
            </w:r>
            <w:r>
              <w:rPr>
                <w:rFonts w:hint="eastAsia" w:ascii="方正书宋_GBK" w:eastAsia="方正书宋_GBK"/>
              </w:rPr>
              <w:t>人，每月生活补贴需</w:t>
            </w:r>
            <w:r>
              <w:rPr>
                <w:rFonts w:ascii="方正书宋_GBK" w:eastAsia="方正书宋_GBK"/>
              </w:rPr>
              <w:t>2660</w:t>
            </w:r>
            <w:r>
              <w:rPr>
                <w:rFonts w:hint="eastAsia" w:ascii="方正书宋_GBK" w:eastAsia="方正书宋_GBK"/>
              </w:rPr>
              <w:t>元，年度共计</w:t>
            </w:r>
            <w:r>
              <w:rPr>
                <w:rFonts w:ascii="方正书宋_GBK" w:eastAsia="方正书宋_GBK"/>
              </w:rPr>
              <w:t>3.192</w:t>
            </w:r>
            <w:r>
              <w:rPr>
                <w:rFonts w:hint="eastAsia" w:ascii="方正书宋_GBK" w:eastAsia="方正书宋_GBK"/>
              </w:rPr>
              <w:t>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20.00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80.00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、对</w:t>
            </w:r>
            <w:r>
              <w:rPr>
                <w:rFonts w:ascii="方正书宋_GBK" w:eastAsia="方正书宋_GBK"/>
              </w:rPr>
              <w:t>8</w:t>
            </w:r>
            <w:r>
              <w:rPr>
                <w:rFonts w:hint="eastAsia" w:ascii="方正书宋_GBK" w:eastAsia="方正书宋_GBK"/>
              </w:rPr>
              <w:t>名原公社广播站机线员发放生活补贴，妥善解决生活原公社广播站机线员生活补贴问题。</w:t>
            </w:r>
          </w:p>
        </w:tc>
      </w:tr>
    </w:tbl>
    <w:p>
      <w:pPr>
        <w:spacing w:line="14" w:lineRule="exact"/>
        <w:ind w:firstLine="420" w:firstLineChars="200"/>
        <w:jc w:val="center"/>
        <w:rPr>
          <w:rFonts w:ascii="Times New Roman"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机线员生活补贴人数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原乡镇机线员补助人数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8</w:t>
            </w:r>
            <w:r>
              <w:rPr>
                <w:rFonts w:hint="eastAsia" w:ascii="方正书宋_GBK" w:eastAsia="方正书宋_GBK"/>
              </w:rPr>
              <w:t>人</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解决机线员生活补贴的报告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每月补贴数</w:t>
            </w:r>
          </w:p>
        </w:tc>
        <w:tc>
          <w:tcPr>
            <w:tcW w:w="2891" w:type="dxa"/>
            <w:shd w:val="clear" w:color="auto" w:fill="auto"/>
            <w:vAlign w:val="center"/>
          </w:tcPr>
          <w:p>
            <w:pPr>
              <w:spacing w:line="300" w:lineRule="exact"/>
              <w:jc w:val="left"/>
              <w:rPr>
                <w:rFonts w:ascii="方正书宋_GBK" w:eastAsia="方正书宋_GBK"/>
              </w:rPr>
            </w:pPr>
            <w:r>
              <w:rPr>
                <w:rFonts w:ascii="方正书宋_GBK" w:eastAsia="方正书宋_GBK"/>
              </w:rPr>
              <w:t>8</w:t>
            </w:r>
            <w:r>
              <w:rPr>
                <w:rFonts w:hint="eastAsia" w:ascii="方正书宋_GBK" w:eastAsia="方正书宋_GBK"/>
              </w:rPr>
              <w:t>名机线员每月补贴金额</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2660</w:t>
            </w:r>
            <w:r>
              <w:rPr>
                <w:rFonts w:hint="eastAsia" w:ascii="方正书宋_GBK" w:eastAsia="方正书宋_GBK"/>
              </w:rPr>
              <w:t>元</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解决机线员生活补贴的报告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机线员补助覆盖率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实际补助人数占符合条件已核查人数的比例</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解决机线员生活补贴的报告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按时发放率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按时发放人数占符合条件已核查人数的比例</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解决机线员生活补贴的报告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受益人数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全年发放原乡镇（公社）机线员生活补贴人数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8</w:t>
            </w:r>
            <w:r>
              <w:rPr>
                <w:rFonts w:hint="eastAsia" w:ascii="方正书宋_GBK" w:eastAsia="方正书宋_GBK"/>
              </w:rPr>
              <w:t>人</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解决机线员生活补贴的报告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满意和较满意机线员人数占机线员总人数的比例</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工作标准</w:t>
            </w:r>
          </w:p>
        </w:tc>
      </w:tr>
    </w:tbl>
    <w:p>
      <w:pPr>
        <w:jc w:val="left"/>
        <w:outlineLvl w:val="1"/>
        <w:rPr>
          <w:rFonts w:ascii="黑体" w:hAnsi="黑体" w:eastAsia="黑体" w:cs="Times New Roman"/>
          <w:sz w:val="32"/>
          <w:szCs w:val="32"/>
        </w:rPr>
      </w:pPr>
    </w:p>
    <w:p>
      <w:pPr>
        <w:jc w:val="left"/>
        <w:outlineLvl w:val="1"/>
        <w:rPr>
          <w:rFonts w:ascii="黑体" w:hAnsi="黑体" w:eastAsia="黑体" w:cs="Times New Roman"/>
          <w:sz w:val="32"/>
          <w:szCs w:val="32"/>
        </w:rPr>
      </w:pPr>
    </w:p>
    <w:p>
      <w:pPr>
        <w:jc w:val="left"/>
        <w:outlineLvl w:val="1"/>
        <w:rPr>
          <w:rFonts w:ascii="黑体" w:hAnsi="黑体" w:eastAsia="黑体" w:cs="Times New Roman"/>
          <w:sz w:val="32"/>
          <w:szCs w:val="32"/>
        </w:rPr>
      </w:pPr>
    </w:p>
    <w:p>
      <w:pPr>
        <w:jc w:val="left"/>
        <w:outlineLvl w:val="1"/>
        <w:rPr>
          <w:rFonts w:ascii="黑体" w:hAnsi="黑体" w:eastAsia="黑体" w:cs="Times New Roman"/>
          <w:sz w:val="32"/>
          <w:szCs w:val="32"/>
        </w:rPr>
      </w:pPr>
    </w:p>
    <w:p>
      <w:pPr>
        <w:jc w:val="left"/>
        <w:outlineLvl w:val="1"/>
        <w:rPr>
          <w:rFonts w:ascii="黑体" w:hAnsi="黑体" w:eastAsia="黑体" w:cs="Times New Roman"/>
          <w:sz w:val="32"/>
          <w:szCs w:val="32"/>
        </w:rPr>
      </w:pPr>
    </w:p>
    <w:p>
      <w:pPr>
        <w:jc w:val="left"/>
        <w:outlineLvl w:val="1"/>
        <w:rPr>
          <w:rFonts w:ascii="黑体" w:hAnsi="黑体" w:eastAsia="黑体" w:cs="Times New Roman"/>
          <w:sz w:val="32"/>
          <w:szCs w:val="32"/>
        </w:rPr>
      </w:pPr>
    </w:p>
    <w:p>
      <w:pPr>
        <w:jc w:val="left"/>
        <w:outlineLvl w:val="1"/>
        <w:rPr>
          <w:rFonts w:ascii="黑体" w:hAnsi="黑体" w:eastAsia="黑体" w:cs="Times New Roman"/>
          <w:sz w:val="32"/>
          <w:szCs w:val="32"/>
        </w:rPr>
      </w:pPr>
    </w:p>
    <w:p>
      <w:pPr>
        <w:jc w:val="left"/>
        <w:outlineLvl w:val="1"/>
        <w:rPr>
          <w:rFonts w:ascii="黑体" w:hAnsi="黑体" w:eastAsia="黑体" w:cs="Times New Roman"/>
          <w:sz w:val="32"/>
          <w:szCs w:val="32"/>
        </w:rPr>
      </w:pPr>
    </w:p>
    <w:p>
      <w:pPr>
        <w:jc w:val="left"/>
        <w:outlineLvl w:val="1"/>
        <w:rPr>
          <w:rFonts w:ascii="黑体" w:hAnsi="黑体" w:eastAsia="黑体" w:cs="Times New Roman"/>
          <w:sz w:val="32"/>
          <w:szCs w:val="32"/>
        </w:rPr>
      </w:pPr>
    </w:p>
    <w:p>
      <w:pPr>
        <w:jc w:val="left"/>
        <w:outlineLvl w:val="1"/>
        <w:rPr>
          <w:rFonts w:ascii="黑体" w:hAnsi="黑体" w:eastAsia="黑体" w:cs="Times New Roman"/>
          <w:sz w:val="32"/>
          <w:szCs w:val="32"/>
        </w:rPr>
      </w:pPr>
    </w:p>
    <w:p>
      <w:pPr>
        <w:jc w:val="left"/>
        <w:outlineLvl w:val="1"/>
        <w:rPr>
          <w:rFonts w:ascii="黑体" w:hAnsi="黑体" w:eastAsia="黑体" w:cs="Times New Roman"/>
          <w:sz w:val="32"/>
          <w:szCs w:val="32"/>
        </w:rPr>
      </w:pPr>
    </w:p>
    <w:p>
      <w:pPr>
        <w:jc w:val="left"/>
        <w:outlineLvl w:val="1"/>
        <w:rPr>
          <w:rFonts w:ascii="黑体" w:hAnsi="黑体" w:eastAsia="黑体" w:cs="Times New Roman"/>
          <w:sz w:val="32"/>
          <w:szCs w:val="32"/>
        </w:rPr>
      </w:pPr>
      <w:r>
        <w:rPr>
          <w:rFonts w:hint="eastAsia" w:ascii="黑体" w:hAnsi="黑体" w:eastAsia="黑体" w:cs="Times New Roman"/>
          <w:sz w:val="32"/>
          <w:szCs w:val="32"/>
        </w:rPr>
        <w:t>六、政府采购预算情况</w:t>
      </w:r>
    </w:p>
    <w:p>
      <w:pPr>
        <w:ind w:firstLine="640" w:firstLineChars="200"/>
        <w:outlineLvl w:val="0"/>
        <w:rPr>
          <w:rFonts w:ascii="Times New Roman" w:hAnsi="Times New Roman" w:eastAsia="仿宋" w:cs="Times New Roman"/>
          <w:sz w:val="32"/>
          <w:szCs w:val="24"/>
        </w:rPr>
      </w:pPr>
      <w:bookmarkStart w:id="8" w:name="_Toc471398468"/>
      <w:r>
        <w:rPr>
          <w:rFonts w:ascii="Times New Roman" w:hAnsi="Times New Roman" w:eastAsia="仿宋" w:cs="Times New Roman"/>
          <w:sz w:val="32"/>
          <w:szCs w:val="24"/>
        </w:rPr>
        <w:t xml:space="preserve"> 20</w:t>
      </w:r>
      <w:r>
        <w:rPr>
          <w:rFonts w:hint="eastAsia" w:ascii="Times New Roman" w:hAnsi="Times New Roman" w:eastAsia="仿宋" w:cs="Times New Roman"/>
          <w:sz w:val="32"/>
          <w:szCs w:val="24"/>
        </w:rPr>
        <w:t>20</w:t>
      </w:r>
      <w:r>
        <w:rPr>
          <w:rFonts w:ascii="Times New Roman" w:hAnsi="Times New Roman" w:eastAsia="仿宋" w:cs="Times New Roman"/>
          <w:sz w:val="32"/>
          <w:szCs w:val="24"/>
        </w:rPr>
        <w:t>年，</w:t>
      </w:r>
      <w:r>
        <w:rPr>
          <w:rFonts w:hint="eastAsia" w:ascii="Times New Roman" w:hAnsi="Times New Roman" w:eastAsia="仿宋" w:cs="Times New Roman"/>
          <w:sz w:val="32"/>
          <w:szCs w:val="24"/>
        </w:rPr>
        <w:t>我部门</w:t>
      </w:r>
      <w:r>
        <w:rPr>
          <w:rFonts w:ascii="Times New Roman" w:hAnsi="Times New Roman" w:eastAsia="仿宋" w:cs="Times New Roman"/>
          <w:sz w:val="32"/>
          <w:szCs w:val="24"/>
        </w:rPr>
        <w:t>安排政府采购预算0万元。具体内容见下表。</w:t>
      </w:r>
      <w:bookmarkEnd w:id="8"/>
    </w:p>
    <w:p>
      <w:pPr>
        <w:ind w:firstLine="640" w:firstLineChars="200"/>
        <w:jc w:val="center"/>
        <w:outlineLvl w:val="0"/>
        <w:rPr>
          <w:rFonts w:ascii="Times New Roman" w:hAnsi="宋体"/>
          <w:sz w:val="32"/>
        </w:rPr>
      </w:pPr>
      <w:r>
        <w:rPr>
          <w:rFonts w:hint="eastAsia" w:ascii="方正小标宋_GBK" w:eastAsia="方正小标宋_GBK"/>
          <w:sz w:val="32"/>
        </w:rPr>
        <w:t>部门政府采购预算</w:t>
      </w:r>
      <w:r>
        <w:fldChar w:fldCharType="begin"/>
      </w:r>
      <w:r>
        <w:rPr>
          <w:rFonts w:ascii="方正小标宋_GBK" w:eastAsia="方正小标宋_GBK"/>
          <w:sz w:val="32"/>
        </w:rPr>
        <w:instrText xml:space="preserve"> </w:instrText>
      </w:r>
      <w:r>
        <w:rPr>
          <w:rFonts w:hint="eastAsia" w:ascii="方正小标宋_GBK" w:eastAsia="方正小标宋_GBK"/>
          <w:sz w:val="32"/>
        </w:rPr>
        <w:instrText xml:space="preserve">TC </w:instrText>
      </w:r>
      <w:bookmarkStart w:id="9" w:name="_Toc28848395"/>
      <w:r>
        <w:rPr>
          <w:rFonts w:hint="eastAsia" w:ascii="方正小标宋_GBK" w:eastAsia="方正小标宋_GBK"/>
          <w:sz w:val="32"/>
        </w:rPr>
        <w:instrText xml:space="preserve">部门政府采购预算</w:instrText>
      </w:r>
      <w:bookmarkEnd w:id="9"/>
      <w:r>
        <w:rPr>
          <w:rFonts w:hint="eastAsia" w:ascii="方正小标宋_GBK" w:eastAsia="方正小标宋_GBK"/>
          <w:sz w:val="32"/>
        </w:rPr>
        <w:instrText xml:space="preserve"> \f A \l 1</w:instrText>
      </w:r>
      <w:r>
        <w:rPr>
          <w:rFonts w:ascii="方正小标宋_GBK" w:eastAsia="方正小标宋_GBK"/>
          <w:sz w:val="32"/>
        </w:rPr>
        <w:instrText xml:space="preserve"> </w:instrText>
      </w:r>
      <w:r>
        <w:rPr>
          <w:rFonts w:ascii="方正小标宋_GBK" w:eastAsia="方正小标宋_GBK"/>
          <w:sz w:val="32"/>
        </w:rPr>
        <w:fldChar w:fldCharType="end"/>
      </w:r>
    </w:p>
    <w:tbl>
      <w:tblPr>
        <w:tblStyle w:val="7"/>
        <w:tblW w:w="1562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106"/>
        <w:gridCol w:w="1134"/>
        <w:gridCol w:w="1559"/>
        <w:gridCol w:w="1417"/>
        <w:gridCol w:w="709"/>
        <w:gridCol w:w="851"/>
        <w:gridCol w:w="992"/>
        <w:gridCol w:w="992"/>
        <w:gridCol w:w="992"/>
        <w:gridCol w:w="993"/>
        <w:gridCol w:w="1134"/>
        <w:gridCol w:w="850"/>
        <w:gridCol w:w="89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768" w:type="dxa"/>
            <w:gridSpan w:val="7"/>
            <w:tcBorders>
              <w:top w:val="single" w:color="FFFFFF" w:sz="6" w:space="0"/>
              <w:left w:val="single" w:color="FFFFFF" w:sz="6" w:space="0"/>
              <w:right w:val="single" w:color="FFFFFF" w:sz="6" w:space="0"/>
            </w:tcBorders>
            <w:vAlign w:val="center"/>
          </w:tcPr>
          <w:p>
            <w:pPr>
              <w:spacing w:line="300" w:lineRule="exact"/>
              <w:jc w:val="left"/>
              <w:rPr>
                <w:rFonts w:ascii="方正小标宋_GBK" w:eastAsia="方正小标宋_GBK"/>
                <w:sz w:val="24"/>
              </w:rPr>
            </w:pPr>
            <w:r>
              <w:rPr>
                <w:rFonts w:ascii="方正小标宋_GBK" w:eastAsia="方正小标宋_GBK"/>
                <w:sz w:val="24"/>
              </w:rPr>
              <w:t>359002</w:t>
            </w:r>
            <w:r>
              <w:rPr>
                <w:rFonts w:hint="eastAsia" w:ascii="方正小标宋_GBK" w:eastAsia="方正小标宋_GBK"/>
                <w:sz w:val="24"/>
              </w:rPr>
              <w:t>石家庄市鹿泉区广播电视台</w:t>
            </w:r>
          </w:p>
        </w:tc>
        <w:tc>
          <w:tcPr>
            <w:tcW w:w="5854" w:type="dxa"/>
            <w:gridSpan w:val="6"/>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sz w:val="24"/>
              </w:rPr>
            </w:pPr>
            <w:r>
              <w:rPr>
                <w:rFonts w:hint="eastAsia" w:ascii="方正书宋_GBK" w:eastAsia="方正书宋_GBK"/>
                <w:sz w:val="24"/>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4240" w:type="dxa"/>
            <w:gridSpan w:val="2"/>
            <w:vAlign w:val="center"/>
          </w:tcPr>
          <w:p>
            <w:pPr>
              <w:spacing w:line="300" w:lineRule="exact"/>
              <w:jc w:val="center"/>
              <w:rPr>
                <w:rFonts w:ascii="方正书宋_GBK" w:eastAsia="方正书宋_GBK"/>
                <w:b/>
              </w:rPr>
            </w:pPr>
            <w:r>
              <w:rPr>
                <w:rFonts w:hint="eastAsia" w:ascii="方正书宋_GBK" w:eastAsia="方正书宋_GBK"/>
                <w:b/>
              </w:rPr>
              <w:t>政府采购项目来源</w:t>
            </w:r>
          </w:p>
        </w:tc>
        <w:tc>
          <w:tcPr>
            <w:tcW w:w="1559" w:type="dxa"/>
            <w:vMerge w:val="restart"/>
            <w:vAlign w:val="center"/>
          </w:tcPr>
          <w:p>
            <w:pPr>
              <w:spacing w:line="300" w:lineRule="exact"/>
              <w:jc w:val="center"/>
              <w:rPr>
                <w:rFonts w:ascii="方正书宋_GBK" w:eastAsia="方正书宋_GBK"/>
                <w:b/>
              </w:rPr>
            </w:pPr>
            <w:r>
              <w:rPr>
                <w:rFonts w:hint="eastAsia" w:ascii="方正书宋_GBK" w:eastAsia="方正书宋_GBK"/>
                <w:b/>
              </w:rPr>
              <w:t>采购物品名称</w:t>
            </w:r>
          </w:p>
        </w:tc>
        <w:tc>
          <w:tcPr>
            <w:tcW w:w="1417" w:type="dxa"/>
            <w:vMerge w:val="restart"/>
            <w:vAlign w:val="center"/>
          </w:tcPr>
          <w:p>
            <w:pPr>
              <w:spacing w:line="300" w:lineRule="exact"/>
              <w:jc w:val="center"/>
              <w:rPr>
                <w:rFonts w:ascii="方正书宋_GBK" w:eastAsia="方正书宋_GBK"/>
                <w:b/>
              </w:rPr>
            </w:pPr>
            <w:r>
              <w:rPr>
                <w:rFonts w:hint="eastAsia" w:ascii="方正书宋_GBK" w:eastAsia="方正书宋_GBK"/>
                <w:b/>
              </w:rPr>
              <w:t>政府采购目录序号</w:t>
            </w:r>
          </w:p>
        </w:tc>
        <w:tc>
          <w:tcPr>
            <w:tcW w:w="709" w:type="dxa"/>
            <w:vMerge w:val="restart"/>
            <w:vAlign w:val="center"/>
          </w:tcPr>
          <w:p>
            <w:pPr>
              <w:spacing w:line="300" w:lineRule="exact"/>
              <w:jc w:val="center"/>
              <w:rPr>
                <w:rFonts w:ascii="方正书宋_GBK" w:eastAsia="方正书宋_GBK"/>
                <w:b/>
              </w:rPr>
            </w:pPr>
            <w:r>
              <w:rPr>
                <w:rFonts w:hint="eastAsia" w:ascii="方正书宋_GBK" w:eastAsia="方正书宋_GBK"/>
                <w:b/>
              </w:rPr>
              <w:t>计量  单位</w:t>
            </w:r>
          </w:p>
        </w:tc>
        <w:tc>
          <w:tcPr>
            <w:tcW w:w="851" w:type="dxa"/>
            <w:vMerge w:val="restart"/>
            <w:vAlign w:val="center"/>
          </w:tcPr>
          <w:p>
            <w:pPr>
              <w:spacing w:line="300" w:lineRule="exact"/>
              <w:jc w:val="center"/>
              <w:rPr>
                <w:rFonts w:ascii="方正书宋_GBK" w:eastAsia="方正书宋_GBK"/>
                <w:b/>
              </w:rPr>
            </w:pPr>
            <w:r>
              <w:rPr>
                <w:rFonts w:hint="eastAsia" w:ascii="方正书宋_GBK" w:eastAsia="方正书宋_GBK"/>
                <w:b/>
              </w:rPr>
              <w:t>数量</w:t>
            </w:r>
          </w:p>
        </w:tc>
        <w:tc>
          <w:tcPr>
            <w:tcW w:w="992" w:type="dxa"/>
            <w:vMerge w:val="restart"/>
            <w:vAlign w:val="center"/>
          </w:tcPr>
          <w:p>
            <w:pPr>
              <w:spacing w:line="300" w:lineRule="exact"/>
              <w:jc w:val="center"/>
              <w:rPr>
                <w:rFonts w:ascii="方正书宋_GBK" w:eastAsia="方正书宋_GBK"/>
                <w:b/>
              </w:rPr>
            </w:pPr>
            <w:r>
              <w:rPr>
                <w:rFonts w:hint="eastAsia" w:ascii="方正书宋_GBK" w:eastAsia="方正书宋_GBK"/>
                <w:b/>
              </w:rPr>
              <w:t>单价</w:t>
            </w:r>
          </w:p>
        </w:tc>
        <w:tc>
          <w:tcPr>
            <w:tcW w:w="5854" w:type="dxa"/>
            <w:gridSpan w:val="6"/>
            <w:vAlign w:val="center"/>
          </w:tcPr>
          <w:p>
            <w:pPr>
              <w:spacing w:line="300" w:lineRule="exact"/>
              <w:jc w:val="center"/>
              <w:rPr>
                <w:rFonts w:ascii="方正书宋_GBK" w:eastAsia="方正书宋_GBK"/>
                <w:b/>
              </w:rPr>
            </w:pPr>
            <w:r>
              <w:rPr>
                <w:rFonts w:hint="eastAsia" w:ascii="方正书宋_GBK" w:eastAsia="方正书宋_GBK"/>
                <w:b/>
              </w:rPr>
              <w:t>政府采购金额（当年部门预算安排资金）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3106" w:type="dxa"/>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预算资金</w:t>
            </w:r>
          </w:p>
        </w:tc>
        <w:tc>
          <w:tcPr>
            <w:tcW w:w="1559" w:type="dxa"/>
            <w:vMerge w:val="continue"/>
            <w:vAlign w:val="center"/>
          </w:tcPr>
          <w:p>
            <w:pPr>
              <w:spacing w:line="300" w:lineRule="exact"/>
              <w:jc w:val="left"/>
              <w:outlineLvl w:val="0"/>
              <w:rPr>
                <w:rFonts w:ascii="Times New Roman" w:eastAsia="方正仿宋_GBK"/>
                <w:sz w:val="28"/>
              </w:rPr>
            </w:pPr>
          </w:p>
        </w:tc>
        <w:tc>
          <w:tcPr>
            <w:tcW w:w="1417" w:type="dxa"/>
            <w:vMerge w:val="continue"/>
            <w:vAlign w:val="center"/>
          </w:tcPr>
          <w:p>
            <w:pPr>
              <w:spacing w:line="300" w:lineRule="exact"/>
              <w:jc w:val="left"/>
              <w:outlineLvl w:val="0"/>
              <w:rPr>
                <w:rFonts w:ascii="Times New Roman" w:eastAsia="方正仿宋_GBK"/>
                <w:sz w:val="28"/>
              </w:rPr>
            </w:pPr>
          </w:p>
        </w:tc>
        <w:tc>
          <w:tcPr>
            <w:tcW w:w="709" w:type="dxa"/>
            <w:vMerge w:val="continue"/>
            <w:vAlign w:val="center"/>
          </w:tcPr>
          <w:p>
            <w:pPr>
              <w:spacing w:line="300" w:lineRule="exact"/>
              <w:jc w:val="left"/>
              <w:outlineLvl w:val="0"/>
              <w:rPr>
                <w:rFonts w:ascii="Times New Roman" w:eastAsia="方正仿宋_GBK"/>
                <w:sz w:val="28"/>
              </w:rPr>
            </w:pPr>
          </w:p>
        </w:tc>
        <w:tc>
          <w:tcPr>
            <w:tcW w:w="851" w:type="dxa"/>
            <w:vMerge w:val="continue"/>
            <w:vAlign w:val="center"/>
          </w:tcPr>
          <w:p>
            <w:pPr>
              <w:spacing w:line="300" w:lineRule="exact"/>
              <w:jc w:val="left"/>
              <w:outlineLvl w:val="0"/>
              <w:rPr>
                <w:rFonts w:ascii="Times New Roman" w:eastAsia="方正仿宋_GBK"/>
                <w:sz w:val="28"/>
              </w:rPr>
            </w:pPr>
          </w:p>
        </w:tc>
        <w:tc>
          <w:tcPr>
            <w:tcW w:w="992" w:type="dxa"/>
            <w:vMerge w:val="continue"/>
            <w:vAlign w:val="center"/>
          </w:tcPr>
          <w:p>
            <w:pPr>
              <w:spacing w:line="300" w:lineRule="exact"/>
              <w:jc w:val="left"/>
              <w:outlineLvl w:val="0"/>
              <w:rPr>
                <w:rFonts w:ascii="Times New Roman" w:eastAsia="方正仿宋_GBK"/>
                <w:sz w:val="28"/>
              </w:rPr>
            </w:pPr>
          </w:p>
        </w:tc>
        <w:tc>
          <w:tcPr>
            <w:tcW w:w="992" w:type="dxa"/>
            <w:vAlign w:val="center"/>
          </w:tcPr>
          <w:p>
            <w:pPr>
              <w:spacing w:line="300" w:lineRule="exact"/>
              <w:jc w:val="center"/>
              <w:rPr>
                <w:rFonts w:ascii="方正书宋_GBK" w:eastAsia="方正书宋_GBK"/>
                <w:b/>
              </w:rPr>
            </w:pPr>
            <w:r>
              <w:rPr>
                <w:rFonts w:hint="eastAsia" w:ascii="方正书宋_GBK" w:eastAsia="方正书宋_GBK"/>
                <w:b/>
              </w:rPr>
              <w:t>合计</w:t>
            </w:r>
          </w:p>
        </w:tc>
        <w:tc>
          <w:tcPr>
            <w:tcW w:w="992" w:type="dxa"/>
            <w:vAlign w:val="center"/>
          </w:tcPr>
          <w:p>
            <w:pPr>
              <w:spacing w:line="300" w:lineRule="exact"/>
              <w:jc w:val="center"/>
              <w:rPr>
                <w:rFonts w:ascii="方正书宋_GBK" w:eastAsia="方正书宋_GBK"/>
                <w:b/>
              </w:rPr>
            </w:pPr>
            <w:r>
              <w:rPr>
                <w:rFonts w:hint="eastAsia" w:ascii="方正书宋_GBK" w:eastAsia="方正书宋_GBK"/>
                <w:b/>
              </w:rPr>
              <w:t>一般公共预算拨款</w:t>
            </w:r>
          </w:p>
        </w:tc>
        <w:tc>
          <w:tcPr>
            <w:tcW w:w="993" w:type="dxa"/>
            <w:vAlign w:val="center"/>
          </w:tcPr>
          <w:p>
            <w:pPr>
              <w:spacing w:line="300" w:lineRule="exact"/>
              <w:jc w:val="center"/>
              <w:rPr>
                <w:rFonts w:ascii="方正书宋_GBK" w:eastAsia="方正书宋_GBK"/>
                <w:b/>
              </w:rPr>
            </w:pPr>
            <w:r>
              <w:rPr>
                <w:rFonts w:hint="eastAsia" w:ascii="方正书宋_GBK" w:eastAsia="方正书宋_GBK"/>
                <w:b/>
              </w:rPr>
              <w:t>基金预算拨款</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国有资本经营预算拨款</w:t>
            </w:r>
          </w:p>
        </w:tc>
        <w:tc>
          <w:tcPr>
            <w:tcW w:w="850" w:type="dxa"/>
            <w:vAlign w:val="center"/>
          </w:tcPr>
          <w:p>
            <w:pPr>
              <w:spacing w:line="300" w:lineRule="exact"/>
              <w:jc w:val="center"/>
              <w:rPr>
                <w:rFonts w:ascii="方正书宋_GBK" w:eastAsia="方正书宋_GBK"/>
                <w:b/>
              </w:rPr>
            </w:pPr>
            <w:r>
              <w:rPr>
                <w:rFonts w:hint="eastAsia" w:ascii="方正书宋_GBK" w:eastAsia="方正书宋_GBK"/>
                <w:b/>
              </w:rPr>
              <w:t>财政专户核拨</w:t>
            </w:r>
          </w:p>
        </w:tc>
        <w:tc>
          <w:tcPr>
            <w:tcW w:w="893" w:type="dxa"/>
            <w:vAlign w:val="center"/>
          </w:tcPr>
          <w:p>
            <w:pPr>
              <w:spacing w:line="300" w:lineRule="exact"/>
              <w:jc w:val="center"/>
              <w:rPr>
                <w:rFonts w:ascii="方正书宋_GBK" w:eastAsia="方正书宋_GBK"/>
                <w:b/>
              </w:rPr>
            </w:pPr>
            <w:r>
              <w:rPr>
                <w:rFonts w:hint="eastAsia" w:ascii="方正书宋_GBK" w:eastAsia="方正书宋_GBK"/>
                <w:b/>
              </w:rPr>
              <w:t>其他来源收入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3106" w:type="dxa"/>
            <w:vAlign w:val="center"/>
          </w:tcPr>
          <w:p>
            <w:pPr>
              <w:spacing w:line="300" w:lineRule="exact"/>
              <w:jc w:val="center"/>
              <w:rPr>
                <w:rFonts w:ascii="方正书宋_GBK" w:eastAsia="方正书宋_GBK"/>
                <w:b/>
              </w:rPr>
            </w:pPr>
            <w:r>
              <w:rPr>
                <w:rFonts w:hint="eastAsia" w:ascii="方正书宋_GBK" w:eastAsia="方正书宋_GBK"/>
                <w:b/>
              </w:rPr>
              <w:t>合　计</w:t>
            </w:r>
          </w:p>
        </w:tc>
        <w:tc>
          <w:tcPr>
            <w:tcW w:w="1134" w:type="dxa"/>
            <w:vAlign w:val="center"/>
          </w:tcPr>
          <w:p>
            <w:pPr>
              <w:spacing w:line="300" w:lineRule="exact"/>
              <w:jc w:val="right"/>
              <w:rPr>
                <w:rFonts w:ascii="方正书宋_GBK" w:eastAsia="方正书宋_GBK"/>
                <w:b/>
              </w:rPr>
            </w:pPr>
          </w:p>
        </w:tc>
        <w:tc>
          <w:tcPr>
            <w:tcW w:w="1559" w:type="dxa"/>
            <w:vAlign w:val="center"/>
          </w:tcPr>
          <w:p>
            <w:pPr>
              <w:spacing w:line="300" w:lineRule="exact"/>
              <w:jc w:val="left"/>
              <w:rPr>
                <w:rFonts w:ascii="方正书宋_GBK" w:eastAsia="方正书宋_GBK"/>
                <w:b/>
              </w:rPr>
            </w:pPr>
          </w:p>
        </w:tc>
        <w:tc>
          <w:tcPr>
            <w:tcW w:w="1417" w:type="dxa"/>
            <w:vAlign w:val="center"/>
          </w:tcPr>
          <w:p>
            <w:pPr>
              <w:spacing w:line="300" w:lineRule="exact"/>
              <w:jc w:val="left"/>
              <w:rPr>
                <w:rFonts w:ascii="方正书宋_GBK" w:eastAsia="方正书宋_GBK"/>
                <w:b/>
              </w:rPr>
            </w:pPr>
          </w:p>
        </w:tc>
        <w:tc>
          <w:tcPr>
            <w:tcW w:w="709" w:type="dxa"/>
            <w:vAlign w:val="center"/>
          </w:tcPr>
          <w:p>
            <w:pPr>
              <w:spacing w:line="300" w:lineRule="exact"/>
              <w:jc w:val="left"/>
              <w:rPr>
                <w:rFonts w:ascii="方正书宋_GBK" w:eastAsia="方正书宋_GBK"/>
                <w:b/>
              </w:rPr>
            </w:pPr>
          </w:p>
        </w:tc>
        <w:tc>
          <w:tcPr>
            <w:tcW w:w="851" w:type="dxa"/>
            <w:vAlign w:val="center"/>
          </w:tcPr>
          <w:p>
            <w:pPr>
              <w:spacing w:line="300" w:lineRule="exact"/>
              <w:jc w:val="right"/>
              <w:rPr>
                <w:rFonts w:ascii="方正书宋_GBK" w:eastAsia="方正书宋_GBK"/>
                <w:b/>
              </w:rPr>
            </w:pPr>
          </w:p>
        </w:tc>
        <w:tc>
          <w:tcPr>
            <w:tcW w:w="992" w:type="dxa"/>
            <w:vAlign w:val="center"/>
          </w:tcPr>
          <w:p>
            <w:pPr>
              <w:spacing w:line="300" w:lineRule="exact"/>
              <w:jc w:val="right"/>
              <w:rPr>
                <w:rFonts w:ascii="方正书宋_GBK" w:eastAsia="方正书宋_GBK"/>
                <w:b/>
              </w:rPr>
            </w:pPr>
          </w:p>
        </w:tc>
        <w:tc>
          <w:tcPr>
            <w:tcW w:w="992" w:type="dxa"/>
            <w:vAlign w:val="center"/>
          </w:tcPr>
          <w:p>
            <w:pPr>
              <w:adjustRightInd w:val="0"/>
              <w:snapToGrid w:val="0"/>
              <w:jc w:val="right"/>
              <w:rPr>
                <w:rFonts w:ascii="方正书宋_GBK" w:hAnsi="宋体" w:eastAsia="方正书宋_GBK" w:cs="宋体"/>
                <w:b/>
                <w:bCs/>
                <w:color w:val="000000"/>
                <w:szCs w:val="21"/>
              </w:rPr>
            </w:pPr>
          </w:p>
        </w:tc>
        <w:tc>
          <w:tcPr>
            <w:tcW w:w="992" w:type="dxa"/>
            <w:vAlign w:val="center"/>
          </w:tcPr>
          <w:p>
            <w:pPr>
              <w:adjustRightInd w:val="0"/>
              <w:snapToGrid w:val="0"/>
              <w:jc w:val="right"/>
              <w:rPr>
                <w:rFonts w:ascii="方正书宋_GBK" w:hAnsi="宋体" w:eastAsia="方正书宋_GBK" w:cs="宋体"/>
                <w:b/>
                <w:bCs/>
                <w:color w:val="000000"/>
                <w:szCs w:val="21"/>
              </w:rPr>
            </w:pPr>
          </w:p>
        </w:tc>
        <w:tc>
          <w:tcPr>
            <w:tcW w:w="993" w:type="dxa"/>
            <w:vAlign w:val="center"/>
          </w:tcPr>
          <w:p>
            <w:pPr>
              <w:spacing w:line="300" w:lineRule="exact"/>
              <w:jc w:val="right"/>
              <w:rPr>
                <w:rFonts w:ascii="方正书宋_GBK" w:eastAsia="方正书宋_GBK"/>
                <w:b/>
              </w:rPr>
            </w:pPr>
          </w:p>
        </w:tc>
        <w:tc>
          <w:tcPr>
            <w:tcW w:w="1134" w:type="dxa"/>
            <w:vAlign w:val="center"/>
          </w:tcPr>
          <w:p>
            <w:pPr>
              <w:spacing w:line="300" w:lineRule="exact"/>
              <w:jc w:val="right"/>
              <w:rPr>
                <w:rFonts w:ascii="方正书宋_GBK" w:eastAsia="方正书宋_GBK"/>
                <w:b/>
              </w:rPr>
            </w:pPr>
          </w:p>
        </w:tc>
        <w:tc>
          <w:tcPr>
            <w:tcW w:w="850" w:type="dxa"/>
            <w:vAlign w:val="center"/>
          </w:tcPr>
          <w:p>
            <w:pPr>
              <w:spacing w:line="300" w:lineRule="exact"/>
              <w:jc w:val="right"/>
              <w:rPr>
                <w:rFonts w:ascii="方正书宋_GBK" w:eastAsia="方正书宋_GBK"/>
                <w:b/>
              </w:rPr>
            </w:pPr>
          </w:p>
        </w:tc>
        <w:tc>
          <w:tcPr>
            <w:tcW w:w="893" w:type="dxa"/>
            <w:vAlign w:val="center"/>
          </w:tcPr>
          <w:p>
            <w:pPr>
              <w:spacing w:line="300" w:lineRule="exact"/>
              <w:jc w:val="right"/>
              <w:rPr>
                <w:rFonts w:ascii="方正书宋_GBK" w:eastAsia="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3106" w:type="dxa"/>
            <w:vAlign w:val="center"/>
          </w:tcPr>
          <w:p>
            <w:pPr>
              <w:spacing w:line="300" w:lineRule="exact"/>
              <w:jc w:val="lef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559" w:type="dxa"/>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p>
        </w:tc>
        <w:tc>
          <w:tcPr>
            <w:tcW w:w="709" w:type="dxa"/>
            <w:vAlign w:val="center"/>
          </w:tcPr>
          <w:p>
            <w:pPr>
              <w:spacing w:line="300" w:lineRule="exact"/>
              <w:jc w:val="left"/>
              <w:rPr>
                <w:rFonts w:ascii="方正书宋_GBK" w:eastAsia="方正书宋_GBK"/>
              </w:rPr>
            </w:pPr>
          </w:p>
        </w:tc>
        <w:tc>
          <w:tcPr>
            <w:tcW w:w="851" w:type="dxa"/>
            <w:vAlign w:val="center"/>
          </w:tcPr>
          <w:p>
            <w:pPr>
              <w:spacing w:line="300" w:lineRule="exact"/>
              <w:jc w:val="right"/>
              <w:rPr>
                <w:rFonts w:ascii="方正书宋_GBK" w:eastAsia="方正书宋_GBK"/>
              </w:rPr>
            </w:pPr>
          </w:p>
        </w:tc>
        <w:tc>
          <w:tcPr>
            <w:tcW w:w="992" w:type="dxa"/>
            <w:vAlign w:val="center"/>
          </w:tcPr>
          <w:p>
            <w:pPr>
              <w:spacing w:line="300" w:lineRule="exact"/>
              <w:jc w:val="right"/>
              <w:rPr>
                <w:rFonts w:ascii="方正书宋_GBK" w:eastAsia="方正书宋_GBK"/>
              </w:rPr>
            </w:pPr>
          </w:p>
        </w:tc>
        <w:tc>
          <w:tcPr>
            <w:tcW w:w="992" w:type="dxa"/>
            <w:vAlign w:val="center"/>
          </w:tcPr>
          <w:p>
            <w:pPr>
              <w:spacing w:line="300" w:lineRule="exact"/>
              <w:jc w:val="right"/>
              <w:rPr>
                <w:rFonts w:ascii="方正书宋_GBK" w:eastAsia="方正书宋_GBK"/>
              </w:rPr>
            </w:pPr>
          </w:p>
        </w:tc>
        <w:tc>
          <w:tcPr>
            <w:tcW w:w="992" w:type="dxa"/>
            <w:vAlign w:val="center"/>
          </w:tcPr>
          <w:p>
            <w:pPr>
              <w:spacing w:line="300" w:lineRule="exact"/>
              <w:jc w:val="right"/>
              <w:rPr>
                <w:rFonts w:ascii="方正书宋_GBK" w:eastAsia="方正书宋_GBK"/>
              </w:rPr>
            </w:pPr>
          </w:p>
        </w:tc>
        <w:tc>
          <w:tcPr>
            <w:tcW w:w="993"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850" w:type="dxa"/>
            <w:vAlign w:val="center"/>
          </w:tcPr>
          <w:p>
            <w:pPr>
              <w:spacing w:line="300" w:lineRule="exact"/>
              <w:jc w:val="right"/>
              <w:rPr>
                <w:rFonts w:ascii="方正书宋_GBK" w:eastAsia="方正书宋_GBK"/>
              </w:rPr>
            </w:pPr>
          </w:p>
        </w:tc>
        <w:tc>
          <w:tcPr>
            <w:tcW w:w="893"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3106" w:type="dxa"/>
            <w:vAlign w:val="center"/>
          </w:tcPr>
          <w:p>
            <w:pPr>
              <w:spacing w:line="300" w:lineRule="exact"/>
              <w:jc w:val="lef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559" w:type="dxa"/>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p>
        </w:tc>
        <w:tc>
          <w:tcPr>
            <w:tcW w:w="709" w:type="dxa"/>
            <w:vAlign w:val="center"/>
          </w:tcPr>
          <w:p>
            <w:pPr>
              <w:spacing w:line="300" w:lineRule="exact"/>
              <w:jc w:val="left"/>
              <w:rPr>
                <w:rFonts w:ascii="方正书宋_GBK" w:eastAsia="方正书宋_GBK"/>
              </w:rPr>
            </w:pPr>
          </w:p>
        </w:tc>
        <w:tc>
          <w:tcPr>
            <w:tcW w:w="851" w:type="dxa"/>
            <w:vAlign w:val="center"/>
          </w:tcPr>
          <w:p>
            <w:pPr>
              <w:spacing w:line="300" w:lineRule="exact"/>
              <w:jc w:val="right"/>
              <w:rPr>
                <w:rFonts w:ascii="方正书宋_GBK" w:eastAsia="方正书宋_GBK"/>
              </w:rPr>
            </w:pPr>
          </w:p>
        </w:tc>
        <w:tc>
          <w:tcPr>
            <w:tcW w:w="992" w:type="dxa"/>
            <w:vAlign w:val="center"/>
          </w:tcPr>
          <w:p>
            <w:pPr>
              <w:spacing w:line="300" w:lineRule="exact"/>
              <w:jc w:val="right"/>
              <w:rPr>
                <w:rFonts w:ascii="方正书宋_GBK" w:eastAsia="方正书宋_GBK"/>
              </w:rPr>
            </w:pPr>
          </w:p>
        </w:tc>
        <w:tc>
          <w:tcPr>
            <w:tcW w:w="992" w:type="dxa"/>
            <w:vAlign w:val="center"/>
          </w:tcPr>
          <w:p>
            <w:pPr>
              <w:spacing w:line="300" w:lineRule="exact"/>
              <w:jc w:val="right"/>
              <w:rPr>
                <w:rFonts w:ascii="方正书宋_GBK" w:eastAsia="方正书宋_GBK"/>
              </w:rPr>
            </w:pPr>
          </w:p>
        </w:tc>
        <w:tc>
          <w:tcPr>
            <w:tcW w:w="992" w:type="dxa"/>
            <w:vAlign w:val="center"/>
          </w:tcPr>
          <w:p>
            <w:pPr>
              <w:spacing w:line="300" w:lineRule="exact"/>
              <w:jc w:val="right"/>
              <w:rPr>
                <w:rFonts w:ascii="方正书宋_GBK" w:eastAsia="方正书宋_GBK"/>
              </w:rPr>
            </w:pPr>
          </w:p>
        </w:tc>
        <w:tc>
          <w:tcPr>
            <w:tcW w:w="993"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850" w:type="dxa"/>
            <w:vAlign w:val="center"/>
          </w:tcPr>
          <w:p>
            <w:pPr>
              <w:spacing w:line="300" w:lineRule="exact"/>
              <w:jc w:val="right"/>
              <w:rPr>
                <w:rFonts w:ascii="方正书宋_GBK" w:eastAsia="方正书宋_GBK"/>
              </w:rPr>
            </w:pPr>
          </w:p>
        </w:tc>
        <w:tc>
          <w:tcPr>
            <w:tcW w:w="893"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3106" w:type="dxa"/>
            <w:vAlign w:val="center"/>
          </w:tcPr>
          <w:p>
            <w:pPr>
              <w:spacing w:line="300" w:lineRule="exact"/>
              <w:jc w:val="lef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559" w:type="dxa"/>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p>
        </w:tc>
        <w:tc>
          <w:tcPr>
            <w:tcW w:w="709" w:type="dxa"/>
            <w:vAlign w:val="center"/>
          </w:tcPr>
          <w:p>
            <w:pPr>
              <w:spacing w:line="300" w:lineRule="exact"/>
              <w:jc w:val="left"/>
              <w:rPr>
                <w:rFonts w:ascii="方正书宋_GBK" w:eastAsia="方正书宋_GBK"/>
              </w:rPr>
            </w:pPr>
          </w:p>
        </w:tc>
        <w:tc>
          <w:tcPr>
            <w:tcW w:w="851" w:type="dxa"/>
            <w:vAlign w:val="center"/>
          </w:tcPr>
          <w:p>
            <w:pPr>
              <w:spacing w:line="300" w:lineRule="exact"/>
              <w:jc w:val="right"/>
              <w:rPr>
                <w:rFonts w:ascii="方正书宋_GBK" w:eastAsia="方正书宋_GBK"/>
              </w:rPr>
            </w:pPr>
          </w:p>
        </w:tc>
        <w:tc>
          <w:tcPr>
            <w:tcW w:w="992" w:type="dxa"/>
            <w:vAlign w:val="center"/>
          </w:tcPr>
          <w:p>
            <w:pPr>
              <w:spacing w:line="300" w:lineRule="exact"/>
              <w:jc w:val="right"/>
              <w:rPr>
                <w:rFonts w:ascii="方正书宋_GBK" w:eastAsia="方正书宋_GBK"/>
              </w:rPr>
            </w:pPr>
          </w:p>
        </w:tc>
        <w:tc>
          <w:tcPr>
            <w:tcW w:w="992" w:type="dxa"/>
            <w:vAlign w:val="center"/>
          </w:tcPr>
          <w:p>
            <w:pPr>
              <w:spacing w:line="300" w:lineRule="exact"/>
              <w:jc w:val="right"/>
              <w:rPr>
                <w:rFonts w:ascii="方正书宋_GBK" w:eastAsia="方正书宋_GBK"/>
              </w:rPr>
            </w:pPr>
          </w:p>
        </w:tc>
        <w:tc>
          <w:tcPr>
            <w:tcW w:w="992" w:type="dxa"/>
            <w:vAlign w:val="center"/>
          </w:tcPr>
          <w:p>
            <w:pPr>
              <w:spacing w:line="300" w:lineRule="exact"/>
              <w:jc w:val="right"/>
              <w:rPr>
                <w:rFonts w:ascii="方正书宋_GBK" w:eastAsia="方正书宋_GBK"/>
              </w:rPr>
            </w:pPr>
          </w:p>
        </w:tc>
        <w:tc>
          <w:tcPr>
            <w:tcW w:w="993"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850" w:type="dxa"/>
            <w:vAlign w:val="center"/>
          </w:tcPr>
          <w:p>
            <w:pPr>
              <w:spacing w:line="300" w:lineRule="exact"/>
              <w:jc w:val="right"/>
              <w:rPr>
                <w:rFonts w:ascii="方正书宋_GBK" w:eastAsia="方正书宋_GBK"/>
              </w:rPr>
            </w:pPr>
          </w:p>
        </w:tc>
        <w:tc>
          <w:tcPr>
            <w:tcW w:w="893" w:type="dxa"/>
            <w:vAlign w:val="center"/>
          </w:tcPr>
          <w:p>
            <w:pPr>
              <w:spacing w:line="300" w:lineRule="exact"/>
              <w:jc w:val="right"/>
              <w:rPr>
                <w:rFonts w:ascii="方正书宋_GBK" w:eastAsia="方正书宋_GBK"/>
              </w:rPr>
            </w:pPr>
          </w:p>
        </w:tc>
      </w:tr>
    </w:tbl>
    <w:p>
      <w:pPr>
        <w:autoSpaceDE w:val="0"/>
        <w:autoSpaceDN w:val="0"/>
        <w:adjustRightInd w:val="0"/>
        <w:ind w:firstLine="640" w:firstLineChars="200"/>
        <w:jc w:val="left"/>
        <w:rPr>
          <w:rFonts w:ascii="黑体" w:hAnsi="黑体" w:eastAsia="黑体" w:cs="Times New Roman"/>
          <w:sz w:val="32"/>
          <w:szCs w:val="32"/>
        </w:rPr>
      </w:pPr>
    </w:p>
    <w:p>
      <w:p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Times New Roman"/>
          <w:sz w:val="32"/>
          <w:szCs w:val="32"/>
        </w:rPr>
        <w:t>七、国有资产信息</w:t>
      </w:r>
    </w:p>
    <w:p>
      <w:pPr>
        <w:ind w:firstLine="640"/>
        <w:rPr>
          <w:rFonts w:ascii="Times New Roman" w:hAnsi="Times New Roman" w:eastAsia="仿宋" w:cs="Times New Roman"/>
          <w:color w:val="000000"/>
          <w:sz w:val="32"/>
          <w:szCs w:val="32"/>
        </w:rPr>
      </w:pPr>
      <w:r>
        <w:rPr>
          <w:rFonts w:hint="eastAsia" w:ascii="Times New Roman" w:hAnsi="Times New Roman" w:eastAsia="仿宋" w:cs="Times New Roman"/>
          <w:color w:val="000000"/>
          <w:sz w:val="32"/>
          <w:szCs w:val="32"/>
        </w:rPr>
        <w:t>石家庄市鹿泉区广播电视台2019</w:t>
      </w:r>
      <w:r>
        <w:rPr>
          <w:rFonts w:ascii="Times New Roman" w:hAnsi="Times New Roman" w:eastAsia="仿宋" w:cs="Times New Roman"/>
          <w:color w:val="000000"/>
          <w:sz w:val="32"/>
          <w:szCs w:val="32"/>
        </w:rPr>
        <w:t>年末固定资产金额为</w:t>
      </w:r>
      <w:r>
        <w:rPr>
          <w:rFonts w:hint="eastAsia" w:ascii="Times New Roman" w:hAnsi="Times New Roman" w:eastAsia="仿宋" w:cs="Times New Roman"/>
          <w:color w:val="000000"/>
          <w:sz w:val="32"/>
          <w:szCs w:val="32"/>
        </w:rPr>
        <w:t>2</w:t>
      </w:r>
      <w:r>
        <w:rPr>
          <w:rFonts w:ascii="Times New Roman" w:hAnsi="Times New Roman" w:eastAsia="仿宋" w:cs="Times New Roman"/>
          <w:color w:val="000000"/>
          <w:sz w:val="32"/>
          <w:szCs w:val="32"/>
        </w:rPr>
        <w:t>13</w:t>
      </w:r>
      <w:r>
        <w:rPr>
          <w:rFonts w:hint="eastAsia" w:ascii="Times New Roman" w:hAnsi="Times New Roman" w:eastAsia="仿宋" w:cs="Times New Roman"/>
          <w:color w:val="000000"/>
          <w:sz w:val="32"/>
          <w:szCs w:val="32"/>
          <w:lang w:val="en-US" w:eastAsia="zh-CN"/>
        </w:rPr>
        <w:t>.</w:t>
      </w:r>
      <w:r>
        <w:rPr>
          <w:rFonts w:ascii="Times New Roman" w:hAnsi="Times New Roman" w:eastAsia="仿宋" w:cs="Times New Roman"/>
          <w:color w:val="000000"/>
          <w:sz w:val="32"/>
          <w:szCs w:val="32"/>
        </w:rPr>
        <w:t>812022万元（详见下表），本年度单位拟购置固定资产</w:t>
      </w:r>
      <w:r>
        <w:rPr>
          <w:rFonts w:hint="eastAsia" w:ascii="Times New Roman" w:hAnsi="Times New Roman" w:eastAsia="仿宋" w:cs="Times New Roman"/>
          <w:color w:val="000000"/>
          <w:sz w:val="32"/>
          <w:szCs w:val="32"/>
        </w:rPr>
        <w:t>总额为</w:t>
      </w:r>
      <w:r>
        <w:rPr>
          <w:rFonts w:ascii="Times New Roman" w:hAnsi="Times New Roman" w:eastAsia="仿宋" w:cs="Times New Roman"/>
          <w:color w:val="000000"/>
          <w:sz w:val="32"/>
          <w:szCs w:val="32"/>
        </w:rPr>
        <w:t>2万元，主要为计算机、空调、打印机、</w:t>
      </w:r>
      <w:r>
        <w:rPr>
          <w:rFonts w:hint="eastAsia" w:ascii="Times New Roman" w:hAnsi="Times New Roman" w:eastAsia="仿宋" w:cs="Times New Roman"/>
          <w:color w:val="000000"/>
          <w:sz w:val="32"/>
          <w:szCs w:val="32"/>
        </w:rPr>
        <w:t>办公家具</w:t>
      </w:r>
      <w:r>
        <w:rPr>
          <w:rFonts w:ascii="Times New Roman" w:hAnsi="Times New Roman" w:eastAsia="仿宋" w:cs="Times New Roman"/>
          <w:color w:val="000000"/>
          <w:sz w:val="32"/>
          <w:szCs w:val="32"/>
        </w:rPr>
        <w:t>等</w:t>
      </w:r>
      <w:r>
        <w:rPr>
          <w:rFonts w:hint="eastAsia" w:ascii="Times New Roman" w:hAnsi="Times New Roman" w:eastAsia="仿宋" w:cs="Times New Roman"/>
          <w:color w:val="000000"/>
          <w:sz w:val="32"/>
          <w:szCs w:val="32"/>
        </w:rPr>
        <w:t>。</w:t>
      </w:r>
    </w:p>
    <w:tbl>
      <w:tblPr>
        <w:tblStyle w:val="7"/>
        <w:tblW w:w="13482" w:type="dxa"/>
        <w:tblInd w:w="93" w:type="dxa"/>
        <w:tblLayout w:type="fixed"/>
        <w:tblCellMar>
          <w:top w:w="0" w:type="dxa"/>
          <w:left w:w="108" w:type="dxa"/>
          <w:bottom w:w="0" w:type="dxa"/>
          <w:right w:w="108" w:type="dxa"/>
        </w:tblCellMar>
      </w:tblPr>
      <w:tblGrid>
        <w:gridCol w:w="5224"/>
        <w:gridCol w:w="3155"/>
        <w:gridCol w:w="5103"/>
      </w:tblGrid>
      <w:tr>
        <w:tblPrEx>
          <w:tblCellMar>
            <w:top w:w="0" w:type="dxa"/>
            <w:left w:w="108" w:type="dxa"/>
            <w:bottom w:w="0" w:type="dxa"/>
            <w:right w:w="108" w:type="dxa"/>
          </w:tblCellMar>
        </w:tblPrEx>
        <w:trPr>
          <w:trHeight w:val="705" w:hRule="atLeast"/>
        </w:trPr>
        <w:tc>
          <w:tcPr>
            <w:tcW w:w="13482" w:type="dxa"/>
            <w:gridSpan w:val="3"/>
            <w:tcBorders>
              <w:top w:val="nil"/>
              <w:left w:val="nil"/>
              <w:bottom w:val="nil"/>
              <w:right w:val="nil"/>
            </w:tcBorders>
            <w:vAlign w:val="center"/>
          </w:tcPr>
          <w:p>
            <w:pPr>
              <w:widowControl/>
              <w:jc w:val="center"/>
              <w:rPr>
                <w:rFonts w:ascii="宋体" w:hAnsi="宋体" w:cs="宋体"/>
                <w:b/>
                <w:bCs/>
                <w:kern w:val="0"/>
                <w:sz w:val="32"/>
                <w:szCs w:val="32"/>
              </w:rPr>
            </w:pPr>
            <w:r>
              <w:rPr>
                <w:rFonts w:hint="eastAsia" w:ascii="宋体" w:hAnsi="宋体" w:cs="宋体"/>
                <w:b/>
                <w:bCs/>
                <w:kern w:val="0"/>
                <w:sz w:val="32"/>
                <w:szCs w:val="32"/>
              </w:rPr>
              <w:t>石家庄市鹿泉区广播电视台固定资产占用情况表</w:t>
            </w:r>
          </w:p>
        </w:tc>
      </w:tr>
      <w:tr>
        <w:tblPrEx>
          <w:tblCellMar>
            <w:top w:w="0" w:type="dxa"/>
            <w:left w:w="108" w:type="dxa"/>
            <w:bottom w:w="0" w:type="dxa"/>
            <w:right w:w="108" w:type="dxa"/>
          </w:tblCellMar>
        </w:tblPrEx>
        <w:trPr>
          <w:trHeight w:val="510" w:hRule="atLeast"/>
        </w:trPr>
        <w:tc>
          <w:tcPr>
            <w:tcW w:w="8379" w:type="dxa"/>
            <w:gridSpan w:val="2"/>
            <w:tcBorders>
              <w:top w:val="nil"/>
              <w:left w:val="nil"/>
              <w:bottom w:val="nil"/>
              <w:right w:val="nil"/>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编制部门：</w:t>
            </w:r>
            <w:r>
              <w:rPr>
                <w:rFonts w:hint="eastAsia" w:ascii="Times New Roman" w:hAnsi="Times New Roman" w:eastAsia="仿宋" w:cs="Times New Roman"/>
                <w:kern w:val="0"/>
                <w:sz w:val="22"/>
              </w:rPr>
              <w:t>石家庄市鹿泉区广播电视台</w:t>
            </w:r>
          </w:p>
        </w:tc>
        <w:tc>
          <w:tcPr>
            <w:tcW w:w="5103" w:type="dxa"/>
            <w:tcBorders>
              <w:top w:val="nil"/>
              <w:left w:val="nil"/>
              <w:bottom w:val="nil"/>
              <w:right w:val="nil"/>
            </w:tcBorders>
            <w:vAlign w:val="center"/>
          </w:tcPr>
          <w:p>
            <w:pPr>
              <w:widowControl/>
              <w:ind w:firstLine="1320" w:firstLineChars="600"/>
              <w:jc w:val="left"/>
              <w:rPr>
                <w:rFonts w:ascii="Times New Roman" w:hAnsi="Times New Roman" w:eastAsia="仿宋" w:cs="Times New Roman"/>
                <w:kern w:val="0"/>
                <w:sz w:val="22"/>
              </w:rPr>
            </w:pPr>
            <w:r>
              <w:rPr>
                <w:rFonts w:ascii="Times New Roman" w:hAnsi="Times New Roman" w:eastAsia="仿宋" w:cs="Times New Roman"/>
                <w:kern w:val="0"/>
                <w:sz w:val="22"/>
              </w:rPr>
              <w:t>截止时间：201</w:t>
            </w:r>
            <w:r>
              <w:rPr>
                <w:rFonts w:hint="eastAsia" w:ascii="Times New Roman" w:hAnsi="Times New Roman" w:eastAsia="仿宋" w:cs="Times New Roman"/>
                <w:kern w:val="0"/>
                <w:sz w:val="22"/>
              </w:rPr>
              <w:t>9</w:t>
            </w:r>
            <w:r>
              <w:rPr>
                <w:rFonts w:ascii="Times New Roman" w:hAnsi="Times New Roman" w:eastAsia="仿宋" w:cs="Times New Roman"/>
                <w:kern w:val="0"/>
                <w:sz w:val="22"/>
              </w:rPr>
              <w:t>年12月31日</w:t>
            </w:r>
          </w:p>
        </w:tc>
      </w:tr>
      <w:tr>
        <w:tblPrEx>
          <w:tblCellMar>
            <w:top w:w="0" w:type="dxa"/>
            <w:left w:w="108" w:type="dxa"/>
            <w:bottom w:w="0" w:type="dxa"/>
            <w:right w:w="108" w:type="dxa"/>
          </w:tblCellMar>
        </w:tblPrEx>
        <w:trPr>
          <w:trHeight w:val="645" w:hRule="atLeast"/>
        </w:trPr>
        <w:tc>
          <w:tcPr>
            <w:tcW w:w="5224" w:type="dxa"/>
            <w:tcBorders>
              <w:top w:val="single" w:color="auto" w:sz="4" w:space="0"/>
              <w:left w:val="single" w:color="auto" w:sz="4" w:space="0"/>
              <w:bottom w:val="single" w:color="auto" w:sz="4" w:space="0"/>
              <w:right w:val="single" w:color="auto" w:sz="4" w:space="0"/>
            </w:tcBorders>
            <w:vAlign w:val="center"/>
          </w:tcPr>
          <w:p>
            <w:pPr>
              <w:widowControl/>
              <w:jc w:val="center"/>
              <w:rPr>
                <w:rFonts w:ascii="宋体" w:hAnsi="宋体" w:cs="宋体"/>
                <w:b/>
                <w:bCs/>
                <w:kern w:val="0"/>
                <w:sz w:val="22"/>
              </w:rPr>
            </w:pPr>
            <w:r>
              <w:rPr>
                <w:rFonts w:hint="eastAsia" w:ascii="宋体" w:hAnsi="宋体" w:cs="宋体"/>
                <w:b/>
                <w:bCs/>
                <w:kern w:val="0"/>
                <w:sz w:val="22"/>
              </w:rPr>
              <w:t>项目</w:t>
            </w:r>
          </w:p>
        </w:tc>
        <w:tc>
          <w:tcPr>
            <w:tcW w:w="3155" w:type="dxa"/>
            <w:tcBorders>
              <w:top w:val="single" w:color="auto" w:sz="4" w:space="0"/>
              <w:left w:val="nil"/>
              <w:bottom w:val="single" w:color="auto" w:sz="4" w:space="0"/>
              <w:right w:val="single" w:color="auto" w:sz="4" w:space="0"/>
            </w:tcBorders>
            <w:vAlign w:val="center"/>
          </w:tcPr>
          <w:p>
            <w:pPr>
              <w:widowControl/>
              <w:jc w:val="center"/>
              <w:rPr>
                <w:rFonts w:ascii="宋体" w:hAnsi="宋体" w:cs="宋体"/>
                <w:b/>
                <w:bCs/>
                <w:kern w:val="0"/>
                <w:sz w:val="22"/>
              </w:rPr>
            </w:pPr>
            <w:r>
              <w:rPr>
                <w:rFonts w:hint="eastAsia" w:ascii="宋体" w:hAnsi="宋体" w:cs="宋体"/>
                <w:b/>
                <w:bCs/>
                <w:kern w:val="0"/>
                <w:sz w:val="22"/>
              </w:rPr>
              <w:t>数量</w:t>
            </w:r>
          </w:p>
        </w:tc>
        <w:tc>
          <w:tcPr>
            <w:tcW w:w="5103" w:type="dxa"/>
            <w:tcBorders>
              <w:top w:val="single" w:color="auto" w:sz="4" w:space="0"/>
              <w:left w:val="nil"/>
              <w:bottom w:val="single" w:color="auto" w:sz="4" w:space="0"/>
              <w:right w:val="single" w:color="auto" w:sz="4" w:space="0"/>
            </w:tcBorders>
            <w:vAlign w:val="center"/>
          </w:tcPr>
          <w:p>
            <w:pPr>
              <w:widowControl/>
              <w:jc w:val="center"/>
              <w:rPr>
                <w:rFonts w:ascii="宋体" w:hAnsi="宋体" w:cs="宋体"/>
                <w:b/>
                <w:bCs/>
                <w:kern w:val="0"/>
                <w:sz w:val="22"/>
              </w:rPr>
            </w:pPr>
            <w:r>
              <w:rPr>
                <w:rFonts w:hint="eastAsia" w:ascii="宋体" w:hAnsi="宋体" w:cs="宋体"/>
                <w:b/>
                <w:bCs/>
                <w:kern w:val="0"/>
                <w:sz w:val="22"/>
              </w:rPr>
              <w:t>价值（金额单位：万元）</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资产总额</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w:t>
            </w: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color w:val="FF0000"/>
                <w:kern w:val="0"/>
                <w:sz w:val="22"/>
              </w:rPr>
            </w:pPr>
            <w:r>
              <w:rPr>
                <w:rFonts w:ascii="Times New Roman" w:hAnsi="Times New Roman" w:eastAsia="仿宋" w:cs="Times New Roman"/>
                <w:color w:val="000000"/>
                <w:kern w:val="0"/>
                <w:sz w:val="22"/>
              </w:rPr>
              <w:t>213</w:t>
            </w:r>
            <w:r>
              <w:rPr>
                <w:rFonts w:hint="eastAsia" w:ascii="Times New Roman" w:hAnsi="Times New Roman" w:eastAsia="仿宋" w:cs="Times New Roman"/>
                <w:color w:val="000000"/>
                <w:kern w:val="0"/>
                <w:sz w:val="22"/>
                <w:lang w:val="en-US" w:eastAsia="zh-CN"/>
              </w:rPr>
              <w:t>.</w:t>
            </w:r>
            <w:r>
              <w:rPr>
                <w:rFonts w:ascii="Times New Roman" w:hAnsi="Times New Roman" w:eastAsia="仿宋" w:cs="Times New Roman"/>
                <w:color w:val="000000"/>
                <w:kern w:val="0"/>
                <w:sz w:val="22"/>
              </w:rPr>
              <w:t>812022</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1、房屋（平方米）</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3553</w:t>
            </w: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47</w:t>
            </w:r>
            <w:r>
              <w:rPr>
                <w:rFonts w:hint="eastAsia" w:ascii="Times New Roman" w:hAnsi="Times New Roman" w:eastAsia="仿宋" w:cs="Times New Roman"/>
                <w:kern w:val="0"/>
                <w:sz w:val="22"/>
                <w:lang w:val="en-US" w:eastAsia="zh-CN"/>
              </w:rPr>
              <w:t>.</w:t>
            </w:r>
            <w:r>
              <w:rPr>
                <w:rFonts w:ascii="Times New Roman" w:hAnsi="Times New Roman" w:eastAsia="仿宋" w:cs="Times New Roman"/>
                <w:kern w:val="0"/>
                <w:sz w:val="22"/>
              </w:rPr>
              <w:t>943284</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其中：办公用房（平方米）</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3090</w:t>
            </w: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40</w:t>
            </w:r>
            <w:r>
              <w:rPr>
                <w:rFonts w:hint="eastAsia" w:ascii="Times New Roman" w:hAnsi="Times New Roman" w:eastAsia="仿宋" w:cs="Times New Roman"/>
                <w:kern w:val="0"/>
                <w:sz w:val="22"/>
                <w:lang w:val="en-US" w:eastAsia="zh-CN"/>
              </w:rPr>
              <w:t>.</w:t>
            </w:r>
            <w:r>
              <w:rPr>
                <w:rFonts w:ascii="Times New Roman" w:hAnsi="Times New Roman" w:eastAsia="仿宋" w:cs="Times New Roman"/>
                <w:kern w:val="0"/>
                <w:sz w:val="22"/>
              </w:rPr>
              <w:t>293780</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2、车辆（台、辆）</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2</w:t>
            </w: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9</w:t>
            </w:r>
            <w:r>
              <w:rPr>
                <w:rFonts w:hint="eastAsia" w:ascii="Times New Roman" w:hAnsi="Times New Roman" w:eastAsia="仿宋" w:cs="Times New Roman"/>
                <w:kern w:val="0"/>
                <w:sz w:val="22"/>
                <w:lang w:val="en-US" w:eastAsia="zh-CN"/>
              </w:rPr>
              <w:t>.</w:t>
            </w:r>
            <w:r>
              <w:rPr>
                <w:rFonts w:ascii="Times New Roman" w:hAnsi="Times New Roman" w:eastAsia="仿宋" w:cs="Times New Roman"/>
                <w:kern w:val="0"/>
                <w:sz w:val="22"/>
              </w:rPr>
              <w:t>140443</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3、单价在20万元以上设备</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w:t>
            </w: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0</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4、其他固定资产</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w:t>
            </w:r>
          </w:p>
        </w:tc>
        <w:tc>
          <w:tcPr>
            <w:tcW w:w="5103" w:type="dxa"/>
            <w:tcBorders>
              <w:top w:val="nil"/>
              <w:left w:val="nil"/>
              <w:bottom w:val="single" w:color="auto" w:sz="4" w:space="0"/>
              <w:right w:val="single" w:color="auto" w:sz="4" w:space="0"/>
            </w:tcBorders>
            <w:vAlign w:val="center"/>
          </w:tcPr>
          <w:p>
            <w:pPr>
              <w:widowControl/>
              <w:jc w:val="center"/>
              <w:rPr>
                <w:rFonts w:hint="default" w:ascii="Times New Roman" w:hAnsi="Times New Roman" w:eastAsia="仿宋" w:cs="Times New Roman"/>
                <w:kern w:val="0"/>
                <w:sz w:val="22"/>
                <w:lang w:val="en-US"/>
              </w:rPr>
            </w:pPr>
            <w:r>
              <w:rPr>
                <w:rFonts w:hint="eastAsia" w:ascii="Times New Roman" w:hAnsi="Times New Roman" w:eastAsia="仿宋" w:cs="Times New Roman"/>
                <w:kern w:val="0"/>
                <w:sz w:val="22"/>
                <w:lang w:val="en-US" w:eastAsia="zh-CN"/>
              </w:rPr>
              <w:t>116.434515</w:t>
            </w:r>
          </w:p>
        </w:tc>
      </w:tr>
    </w:tbl>
    <w:p>
      <w:p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Times New Roman"/>
          <w:sz w:val="32"/>
          <w:szCs w:val="32"/>
        </w:rPr>
        <w:t>八、名词解释</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1、一般公共预算拨款收入：指区级财政当年拨付的资金。</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2、事业收入：指事业单位开展专业业务活动及辅助活动所取得的收入。</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3、其他收入：指除“一般公共预算拨款收入”、“事业收入”等以外的收入。主要是按规定动用的租房收入、存款利息收入等。</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4、基本支出：指为保障机构正常运转、完成日常工作任务而发生的人员支出和公用支出。</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5、项目支出：指在基本支出之外为完成特定行政任务和事业发展目标所发生的支出。</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6、上缴上级支出：指下级单位上缴上级的支出。</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7、“三公”经费：纳入区级财政预算管理的“三公”经费，是指区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8、机关运行费：是指各部门的公用经费，包括办公及印刷费、邮电费、差旅费、会议费、福利费、日常维修费、专用材料及一般设备购置费、办公用房水电费、办公用房取暖费、办公用房物业管理费、公务用车运行维护费以及其他费用。</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9、上年结转：指以前年度尚未完成、结转到本年仍按原规定用途继续使用的资金。</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10、事业单位经营支出：指事业单位在专业业务活动及其辅助活动之外开展非独立核算经营活动发生的支出。</w:t>
      </w:r>
    </w:p>
    <w:p>
      <w:pPr>
        <w:ind w:firstLine="643" w:firstLineChars="200"/>
        <w:rPr>
          <w:rFonts w:ascii="宋体-方正超大字符集" w:hAnsi="宋体-方正超大字符集" w:eastAsia="宋体-方正超大字符集" w:cs="宋体-方正超大字符集"/>
          <w:b/>
          <w:bCs/>
          <w:sz w:val="32"/>
          <w:szCs w:val="32"/>
        </w:rPr>
      </w:pPr>
      <w:r>
        <w:rPr>
          <w:rFonts w:hint="eastAsia" w:ascii="宋体-方正超大字符集" w:hAnsi="宋体-方正超大字符集" w:eastAsia="宋体-方正超大字符集" w:cs="宋体-方正超大字符集"/>
          <w:b/>
          <w:bCs/>
          <w:sz w:val="32"/>
          <w:szCs w:val="32"/>
        </w:rPr>
        <w:t>九、其他需要说明的事项</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我部门无其他需要说明的事项。</w:t>
      </w:r>
    </w:p>
    <w:sectPr>
      <w:footerReference r:id="rId3" w:type="default"/>
      <w:pgSz w:w="16838" w:h="11906" w:orient="landscape"/>
      <w:pgMar w:top="1800" w:right="1440" w:bottom="1800" w:left="144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panose1 w:val="02000000000000000000"/>
    <w:charset w:val="86"/>
    <w:family w:val="script"/>
    <w:pitch w:val="default"/>
    <w:sig w:usb0="A00002BF" w:usb1="38CF7CFA" w:usb2="00082016" w:usb3="00000000" w:csb0="00040001" w:csb1="00000000"/>
  </w:font>
  <w:font w:name="仿宋">
    <w:panose1 w:val="02010609060101010101"/>
    <w:charset w:val="86"/>
    <w:family w:val="modern"/>
    <w:pitch w:val="default"/>
    <w:sig w:usb0="800002BF" w:usb1="38CF7CFA" w:usb2="00000016" w:usb3="00000000" w:csb0="00040001" w:csb1="00000000"/>
  </w:font>
  <w:font w:name="方正书宋_GBK">
    <w:altName w:val="宋体"/>
    <w:panose1 w:val="00000000000000000000"/>
    <w:charset w:val="86"/>
    <w:family w:val="script"/>
    <w:pitch w:val="default"/>
    <w:sig w:usb0="00000000" w:usb1="00000000" w:usb2="00000010" w:usb3="00000000" w:csb0="00040000" w:csb1="00000000"/>
  </w:font>
  <w:font w:name="方正仿宋_GBK">
    <w:altName w:val="宋体"/>
    <w:panose1 w:val="00000000000000000000"/>
    <w:charset w:val="86"/>
    <w:family w:val="script"/>
    <w:pitch w:val="default"/>
    <w:sig w:usb0="00000000" w:usb1="00000000" w:usb2="00000010" w:usb3="00000000" w:csb0="00040000" w:csb1="00000000"/>
  </w:font>
  <w:font w:name="宋体-方正超大字符集">
    <w:altName w:val="宋体"/>
    <w:panose1 w:val="00000000000000000000"/>
    <w:charset w:val="86"/>
    <w:family w:val="auto"/>
    <w:pitch w:val="default"/>
    <w:sig w:usb0="00000000" w:usb1="00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framePr w:wrap="around" w:vAnchor="text" w:hAnchor="margin" w:xAlign="outside" w:y="1"/>
      <w:rPr>
        <w:rStyle w:val="11"/>
      </w:rPr>
    </w:pPr>
    <w:r>
      <w:fldChar w:fldCharType="begin"/>
    </w:r>
    <w:r>
      <w:rPr>
        <w:rStyle w:val="11"/>
      </w:rPr>
      <w:instrText xml:space="preserve">PAGE  </w:instrText>
    </w:r>
    <w:r>
      <w:fldChar w:fldCharType="separate"/>
    </w:r>
    <w:r>
      <w:rPr>
        <w:rStyle w:val="11"/>
      </w:rPr>
      <w:t>12</w:t>
    </w:r>
    <w:r>
      <w:fldChar w:fldCharType="end"/>
    </w:r>
  </w:p>
  <w:p>
    <w:pPr>
      <w:pStyle w:val="2"/>
      <w:ind w:right="360" w:firstLine="360"/>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ZjgxNmMyMWJlNGMxMmU4ZGY0Y2NkZGI5ZjQ4ODE4OTQifQ=="/>
  </w:docVars>
  <w:rsids>
    <w:rsidRoot w:val="00EE71BA"/>
    <w:rsid w:val="00031932"/>
    <w:rsid w:val="000959B7"/>
    <w:rsid w:val="000C7140"/>
    <w:rsid w:val="001067F9"/>
    <w:rsid w:val="00147DD7"/>
    <w:rsid w:val="001B77DC"/>
    <w:rsid w:val="001C3BA8"/>
    <w:rsid w:val="00323B29"/>
    <w:rsid w:val="0039059E"/>
    <w:rsid w:val="003B3E15"/>
    <w:rsid w:val="00600851"/>
    <w:rsid w:val="00606BAA"/>
    <w:rsid w:val="007F0341"/>
    <w:rsid w:val="00910C2A"/>
    <w:rsid w:val="00916930"/>
    <w:rsid w:val="00923B48"/>
    <w:rsid w:val="00953450"/>
    <w:rsid w:val="009A521C"/>
    <w:rsid w:val="009D2998"/>
    <w:rsid w:val="00AD03C0"/>
    <w:rsid w:val="00AD189A"/>
    <w:rsid w:val="00BA6C47"/>
    <w:rsid w:val="00BE7AD7"/>
    <w:rsid w:val="00C22E9D"/>
    <w:rsid w:val="00C4356D"/>
    <w:rsid w:val="00D159F1"/>
    <w:rsid w:val="00D2159B"/>
    <w:rsid w:val="00D2729A"/>
    <w:rsid w:val="00D607DA"/>
    <w:rsid w:val="00DC3198"/>
    <w:rsid w:val="00DC6EE5"/>
    <w:rsid w:val="00E649FE"/>
    <w:rsid w:val="00EC7323"/>
    <w:rsid w:val="00EE71BA"/>
    <w:rsid w:val="00F13E71"/>
    <w:rsid w:val="00F867E4"/>
    <w:rsid w:val="056D17C0"/>
    <w:rsid w:val="07080D63"/>
    <w:rsid w:val="0C997C02"/>
    <w:rsid w:val="0C9E18F3"/>
    <w:rsid w:val="119B6E4F"/>
    <w:rsid w:val="16BD7A88"/>
    <w:rsid w:val="33DC1DA7"/>
    <w:rsid w:val="3709658E"/>
    <w:rsid w:val="3A7D510E"/>
    <w:rsid w:val="47917D7F"/>
    <w:rsid w:val="5D50257A"/>
    <w:rsid w:val="60C83F5B"/>
    <w:rsid w:val="72D3415B"/>
    <w:rsid w:val="7F2B394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nhideWhenUsed="0" w:uiPriority="0" w:semiHidden="0" w:name="footnote text"/>
    <w:lsdException w:uiPriority="99" w:name="annotation text"/>
    <w:lsdException w:qFormat="1" w:unhideWhenUsed="0" w:uiPriority="0" w:semiHidden="0" w:name="header"/>
    <w:lsdException w:qFormat="1" w:unhideWhenUsed="0" w:uiPriority="0"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nhideWhenUsed="0" w:uiPriority="0" w:semiHidden="0"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uiPriority w:val="0"/>
    <w:pPr>
      <w:widowControl w:val="0"/>
      <w:jc w:val="both"/>
    </w:pPr>
    <w:rPr>
      <w:rFonts w:ascii="Calibri" w:hAnsi="Calibri" w:eastAsia="宋体" w:cs="黑体"/>
      <w:kern w:val="2"/>
      <w:sz w:val="21"/>
      <w:szCs w:val="22"/>
      <w:lang w:val="en-US" w:eastAsia="zh-CN" w:bidi="ar-SA"/>
    </w:rPr>
  </w:style>
  <w:style w:type="character" w:default="1" w:styleId="8">
    <w:name w:val="Default Paragraph Font"/>
    <w:semiHidden/>
    <w:unhideWhenUsed/>
    <w:uiPriority w:val="1"/>
  </w:style>
  <w:style w:type="table" w:default="1" w:styleId="7">
    <w:name w:val="Normal Table"/>
    <w:autoRedefine/>
    <w:semiHidden/>
    <w:unhideWhenUsed/>
    <w:qFormat/>
    <w:uiPriority w:val="99"/>
    <w:tblPr>
      <w:tblCellMar>
        <w:top w:w="0" w:type="dxa"/>
        <w:left w:w="108" w:type="dxa"/>
        <w:bottom w:w="0" w:type="dxa"/>
        <w:right w:w="108" w:type="dxa"/>
      </w:tblCellMar>
    </w:tblPr>
  </w:style>
  <w:style w:type="paragraph" w:styleId="2">
    <w:name w:val="footer"/>
    <w:basedOn w:val="1"/>
    <w:link w:val="12"/>
    <w:autoRedefine/>
    <w:qFormat/>
    <w:uiPriority w:val="0"/>
    <w:pPr>
      <w:tabs>
        <w:tab w:val="center" w:pos="4153"/>
        <w:tab w:val="right" w:pos="8306"/>
      </w:tabs>
      <w:snapToGrid w:val="0"/>
      <w:jc w:val="left"/>
    </w:pPr>
    <w:rPr>
      <w:rFonts w:ascii="Times New Roman" w:hAnsi="Times New Roman" w:cs="Times New Roman"/>
      <w:sz w:val="18"/>
      <w:szCs w:val="18"/>
    </w:rPr>
  </w:style>
  <w:style w:type="paragraph" w:styleId="3">
    <w:name w:val="header"/>
    <w:basedOn w:val="1"/>
    <w:link w:val="13"/>
    <w:autoRedefine/>
    <w:qFormat/>
    <w:uiPriority w:val="0"/>
    <w:pPr>
      <w:pBdr>
        <w:bottom w:val="single" w:color="auto" w:sz="6" w:space="1"/>
      </w:pBdr>
      <w:tabs>
        <w:tab w:val="center" w:pos="4153"/>
        <w:tab w:val="right" w:pos="8306"/>
      </w:tabs>
      <w:snapToGrid w:val="0"/>
      <w:jc w:val="center"/>
    </w:pPr>
    <w:rPr>
      <w:rFonts w:ascii="Times New Roman" w:hAnsi="Times New Roman" w:cs="Times New Roman"/>
      <w:sz w:val="18"/>
      <w:szCs w:val="18"/>
    </w:rPr>
  </w:style>
  <w:style w:type="paragraph" w:styleId="4">
    <w:name w:val="toc 1"/>
    <w:basedOn w:val="1"/>
    <w:next w:val="1"/>
    <w:autoRedefine/>
    <w:qFormat/>
    <w:uiPriority w:val="0"/>
    <w:rPr>
      <w:rFonts w:ascii="Times New Roman" w:hAnsi="Times New Roman" w:cs="Times New Roman"/>
      <w:szCs w:val="24"/>
    </w:rPr>
  </w:style>
  <w:style w:type="paragraph" w:styleId="5">
    <w:name w:val="footnote text"/>
    <w:basedOn w:val="1"/>
    <w:autoRedefine/>
    <w:qFormat/>
    <w:uiPriority w:val="0"/>
    <w:pPr>
      <w:snapToGrid w:val="0"/>
      <w:jc w:val="left"/>
    </w:pPr>
    <w:rPr>
      <w:sz w:val="18"/>
      <w:szCs w:val="18"/>
    </w:rPr>
  </w:style>
  <w:style w:type="paragraph" w:styleId="6">
    <w:name w:val="toc 2"/>
    <w:basedOn w:val="1"/>
    <w:next w:val="1"/>
    <w:autoRedefine/>
    <w:qFormat/>
    <w:uiPriority w:val="0"/>
    <w:pPr>
      <w:ind w:left="420" w:leftChars="200"/>
    </w:pPr>
    <w:rPr>
      <w:rFonts w:ascii="Times New Roman" w:hAnsi="Times New Roman" w:cs="Times New Roman"/>
      <w:szCs w:val="24"/>
    </w:rPr>
  </w:style>
  <w:style w:type="character" w:styleId="9">
    <w:name w:val="footnote reference"/>
    <w:autoRedefine/>
    <w:qFormat/>
    <w:uiPriority w:val="0"/>
    <w:rPr>
      <w:vertAlign w:val="superscript"/>
    </w:rPr>
  </w:style>
  <w:style w:type="paragraph" w:customStyle="1" w:styleId="10">
    <w:name w:val="Char"/>
    <w:basedOn w:val="1"/>
    <w:autoRedefine/>
    <w:qFormat/>
    <w:uiPriority w:val="0"/>
    <w:rPr>
      <w:rFonts w:ascii="Times New Roman" w:hAnsi="Times New Roman" w:cs="Times New Roman"/>
      <w:szCs w:val="24"/>
    </w:rPr>
  </w:style>
  <w:style w:type="character" w:customStyle="1" w:styleId="11">
    <w:name w:val="页码1"/>
    <w:autoRedefine/>
    <w:qFormat/>
    <w:uiPriority w:val="0"/>
  </w:style>
  <w:style w:type="character" w:customStyle="1" w:styleId="12">
    <w:name w:val="页脚 字符"/>
    <w:link w:val="2"/>
    <w:autoRedefine/>
    <w:semiHidden/>
    <w:qFormat/>
    <w:uiPriority w:val="0"/>
    <w:rPr>
      <w:rFonts w:ascii="Times New Roman" w:hAnsi="Times New Roman" w:eastAsia="宋体" w:cs="Times New Roman"/>
      <w:sz w:val="18"/>
      <w:szCs w:val="18"/>
    </w:rPr>
  </w:style>
  <w:style w:type="character" w:customStyle="1" w:styleId="13">
    <w:name w:val="页眉 字符"/>
    <w:link w:val="3"/>
    <w:autoRedefine/>
    <w:semiHidden/>
    <w:qFormat/>
    <w:uiPriority w:val="0"/>
    <w:rPr>
      <w:rFonts w:ascii="Times New Roman" w:hAnsi="Times New Roman" w:eastAsia="宋体" w:cs="Times New Roman"/>
      <w:sz w:val="18"/>
      <w:szCs w:val="18"/>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Company>Microsoft</Company>
  <Pages>15</Pages>
  <Words>1020</Words>
  <Characters>5820</Characters>
  <Lines>48</Lines>
  <Paragraphs>13</Paragraphs>
  <TotalTime>20</TotalTime>
  <ScaleCrop>false</ScaleCrop>
  <LinksUpToDate>false</LinksUpToDate>
  <CharactersWithSpaces>6827</CharactersWithSpaces>
  <Application>WPS Office_12.1.0.16120_F1E327BC-269C-435d-A152-05C5408002CA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2021-05-20T06:11:00Z</dcterms:created>
  <dc:creator>guest</dc:creator>
  <cp:lastModifiedBy>东子</cp:lastModifiedBy>
  <cp:lastPrinted>2020-01-10T15:53:00Z</cp:lastPrinted>
  <dcterms:modified xsi:type="dcterms:W3CDTF">2024-01-12T09:12:15Z</dcterms:modified>
  <dc:title>o</dc:title>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2052-12.1.0.16120</vt:lpwstr>
  </property>
  <property fmtid="{D5CDD505-2E9C-101B-9397-08002B2CF9AE}" pid="3" name="ICV">
    <vt:lpwstr>338BD60E1EED40F7A28D42080538CC71_12</vt:lpwstr>
  </property>
</Properties>
</file>