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2023年部门预算信息公开目录</w:t>
      </w:r>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2"/>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17</w:t>
      </w:r>
      <w:r>
        <w:fldChar w:fldCharType="end"/>
      </w:r>
      <w:r>
        <w:fldChar w:fldCharType="end"/>
      </w:r>
    </w:p>
    <w:p>
      <w:pPr>
        <w:pStyle w:val="3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29</w:t>
      </w:r>
      <w:r>
        <w:fldChar w:fldCharType="end"/>
      </w:r>
      <w:r>
        <w:fldChar w:fldCharType="end"/>
      </w:r>
    </w:p>
    <w:p>
      <w:pPr>
        <w:pStyle w:val="3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29</w:t>
      </w:r>
      <w:r>
        <w:fldChar w:fldCharType="end"/>
      </w:r>
      <w:r>
        <w:fldChar w:fldCharType="end"/>
      </w:r>
    </w:p>
    <w:p>
      <w:pPr>
        <w:pStyle w:val="3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30</w:t>
      </w:r>
      <w:r>
        <w:fldChar w:fldCharType="end"/>
      </w:r>
      <w:r>
        <w:fldChar w:fldCharType="end"/>
      </w:r>
    </w:p>
    <w:p>
      <w:pPr>
        <w:pStyle w:val="3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30</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359石家庄市鹿泉区融媒体中心</w:t>
            </w:r>
          </w:p>
        </w:tc>
        <w:tc>
          <w:tcPr>
            <w:tcW w:w="2126" w:type="dxa"/>
            <w:tcBorders>
              <w:top w:val="single" w:color="FFFFFF" w:sz="6" w:space="0"/>
              <w:left w:val="single" w:color="FFFFFF" w:sz="6" w:space="0"/>
              <w:right w:val="single" w:color="FFFFFF" w:sz="6" w:space="0"/>
            </w:tcBorders>
            <w:vAlign w:val="center"/>
          </w:tcPr>
          <w:p>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2359.46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1721.71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421.60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94.57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121.58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2359.46</w:t>
            </w:r>
          </w:p>
        </w:tc>
        <w:tc>
          <w:tcPr>
            <w:tcW w:w="4535" w:type="dxa"/>
            <w:vAlign w:val="center"/>
          </w:tcPr>
          <w:p>
            <w:pPr>
              <w:pStyle w:val="14"/>
            </w:pPr>
            <w:r>
              <w:t>本年支出合计</w:t>
            </w:r>
          </w:p>
        </w:tc>
        <w:tc>
          <w:tcPr>
            <w:tcW w:w="2126" w:type="dxa"/>
            <w:vAlign w:val="center"/>
          </w:tcPr>
          <w:p>
            <w:pPr>
              <w:pStyle w:val="15"/>
            </w:pPr>
            <w:r>
              <w:t>2359.46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2359.46</w:t>
            </w:r>
          </w:p>
        </w:tc>
        <w:tc>
          <w:tcPr>
            <w:tcW w:w="4535" w:type="dxa"/>
            <w:vAlign w:val="center"/>
          </w:tcPr>
          <w:p>
            <w:pPr>
              <w:pStyle w:val="14"/>
            </w:pPr>
            <w:r>
              <w:t>支出总计</w:t>
            </w:r>
          </w:p>
        </w:tc>
        <w:tc>
          <w:tcPr>
            <w:tcW w:w="2126" w:type="dxa"/>
            <w:vAlign w:val="center"/>
          </w:tcPr>
          <w:p>
            <w:pPr>
              <w:pStyle w:val="15"/>
            </w:pPr>
            <w:r>
              <w:t>2359.46</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359石家庄市鹿泉区融媒体中心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2359.46</w:t>
            </w:r>
          </w:p>
        </w:tc>
        <w:tc>
          <w:tcPr>
            <w:tcW w:w="1134" w:type="dxa"/>
            <w:vAlign w:val="center"/>
          </w:tcPr>
          <w:p>
            <w:pPr>
              <w:pStyle w:val="15"/>
            </w:pPr>
            <w:r>
              <w:t>2359.46</w:t>
            </w:r>
          </w:p>
        </w:tc>
        <w:tc>
          <w:tcPr>
            <w:tcW w:w="1134" w:type="dxa"/>
            <w:vAlign w:val="center"/>
          </w:tcPr>
          <w:p>
            <w:pPr>
              <w:pStyle w:val="15"/>
            </w:pPr>
            <w:r>
              <w:t>2359.46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1721.71</w:t>
            </w:r>
          </w:p>
        </w:tc>
        <w:tc>
          <w:tcPr>
            <w:tcW w:w="1134" w:type="dxa"/>
            <w:vAlign w:val="center"/>
          </w:tcPr>
          <w:p>
            <w:pPr>
              <w:pStyle w:val="11"/>
            </w:pPr>
            <w:r>
              <w:t>1721.71</w:t>
            </w:r>
          </w:p>
        </w:tc>
        <w:tc>
          <w:tcPr>
            <w:tcW w:w="1134" w:type="dxa"/>
            <w:vAlign w:val="center"/>
          </w:tcPr>
          <w:p>
            <w:pPr>
              <w:pStyle w:val="11"/>
            </w:pPr>
            <w:r>
              <w:t>1721.71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20708</w:t>
            </w:r>
          </w:p>
        </w:tc>
        <w:tc>
          <w:tcPr>
            <w:tcW w:w="1559" w:type="dxa"/>
            <w:vAlign w:val="center"/>
          </w:tcPr>
          <w:p>
            <w:pPr>
              <w:pStyle w:val="12"/>
            </w:pPr>
            <w:r>
              <w:t>广播电视</w:t>
            </w:r>
          </w:p>
        </w:tc>
        <w:tc>
          <w:tcPr>
            <w:tcW w:w="1134" w:type="dxa"/>
            <w:vAlign w:val="center"/>
          </w:tcPr>
          <w:p>
            <w:pPr>
              <w:pStyle w:val="11"/>
            </w:pPr>
            <w:r>
              <w:t>1709.71</w:t>
            </w:r>
          </w:p>
        </w:tc>
        <w:tc>
          <w:tcPr>
            <w:tcW w:w="1134" w:type="dxa"/>
            <w:vAlign w:val="center"/>
          </w:tcPr>
          <w:p>
            <w:pPr>
              <w:pStyle w:val="11"/>
            </w:pPr>
            <w:r>
              <w:t>1709.71</w:t>
            </w:r>
          </w:p>
        </w:tc>
        <w:tc>
          <w:tcPr>
            <w:tcW w:w="1134" w:type="dxa"/>
            <w:vAlign w:val="center"/>
          </w:tcPr>
          <w:p>
            <w:pPr>
              <w:pStyle w:val="11"/>
            </w:pPr>
            <w:r>
              <w:t>1709.71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2070801</w:t>
            </w:r>
          </w:p>
        </w:tc>
        <w:tc>
          <w:tcPr>
            <w:tcW w:w="1559" w:type="dxa"/>
            <w:vAlign w:val="center"/>
          </w:tcPr>
          <w:p>
            <w:pPr>
              <w:pStyle w:val="12"/>
            </w:pPr>
            <w:r>
              <w:t>行政运行</w:t>
            </w:r>
          </w:p>
        </w:tc>
        <w:tc>
          <w:tcPr>
            <w:tcW w:w="1134" w:type="dxa"/>
            <w:vAlign w:val="center"/>
          </w:tcPr>
          <w:p>
            <w:pPr>
              <w:pStyle w:val="11"/>
            </w:pPr>
            <w:r>
              <w:t>1709.71</w:t>
            </w:r>
          </w:p>
        </w:tc>
        <w:tc>
          <w:tcPr>
            <w:tcW w:w="1134" w:type="dxa"/>
            <w:vAlign w:val="center"/>
          </w:tcPr>
          <w:p>
            <w:pPr>
              <w:pStyle w:val="11"/>
            </w:pPr>
            <w:r>
              <w:t>1709.71</w:t>
            </w:r>
          </w:p>
        </w:tc>
        <w:tc>
          <w:tcPr>
            <w:tcW w:w="1134" w:type="dxa"/>
            <w:vAlign w:val="center"/>
          </w:tcPr>
          <w:p>
            <w:pPr>
              <w:pStyle w:val="11"/>
            </w:pPr>
            <w:r>
              <w:t>1709.71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20799</w:t>
            </w:r>
          </w:p>
        </w:tc>
        <w:tc>
          <w:tcPr>
            <w:tcW w:w="1559" w:type="dxa"/>
            <w:vAlign w:val="center"/>
          </w:tcPr>
          <w:p>
            <w:pPr>
              <w:pStyle w:val="12"/>
            </w:pPr>
            <w:r>
              <w:t>其他文化旅游体育与传媒支出</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2079999</w:t>
            </w:r>
          </w:p>
        </w:tc>
        <w:tc>
          <w:tcPr>
            <w:tcW w:w="1559" w:type="dxa"/>
            <w:vAlign w:val="center"/>
          </w:tcPr>
          <w:p>
            <w:pPr>
              <w:pStyle w:val="12"/>
            </w:pPr>
            <w:r>
              <w:t>其他文化旅游体育与传媒支出</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421.60</w:t>
            </w:r>
          </w:p>
        </w:tc>
        <w:tc>
          <w:tcPr>
            <w:tcW w:w="1134" w:type="dxa"/>
            <w:vAlign w:val="center"/>
          </w:tcPr>
          <w:p>
            <w:pPr>
              <w:pStyle w:val="11"/>
            </w:pPr>
            <w:r>
              <w:t>421.60</w:t>
            </w:r>
          </w:p>
        </w:tc>
        <w:tc>
          <w:tcPr>
            <w:tcW w:w="1134" w:type="dxa"/>
            <w:vAlign w:val="center"/>
          </w:tcPr>
          <w:p>
            <w:pPr>
              <w:pStyle w:val="11"/>
            </w:pPr>
            <w:r>
              <w:t>421.60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421.60</w:t>
            </w:r>
          </w:p>
        </w:tc>
        <w:tc>
          <w:tcPr>
            <w:tcW w:w="1134" w:type="dxa"/>
            <w:vAlign w:val="center"/>
          </w:tcPr>
          <w:p>
            <w:pPr>
              <w:pStyle w:val="11"/>
            </w:pPr>
            <w:r>
              <w:t>421.60</w:t>
            </w:r>
          </w:p>
        </w:tc>
        <w:tc>
          <w:tcPr>
            <w:tcW w:w="1134" w:type="dxa"/>
            <w:vAlign w:val="center"/>
          </w:tcPr>
          <w:p>
            <w:pPr>
              <w:pStyle w:val="11"/>
            </w:pPr>
            <w:r>
              <w:t>421.60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253.14</w:t>
            </w:r>
          </w:p>
        </w:tc>
        <w:tc>
          <w:tcPr>
            <w:tcW w:w="1134" w:type="dxa"/>
            <w:vAlign w:val="center"/>
          </w:tcPr>
          <w:p>
            <w:pPr>
              <w:pStyle w:val="11"/>
            </w:pPr>
            <w:r>
              <w:t>253.14</w:t>
            </w:r>
          </w:p>
        </w:tc>
        <w:tc>
          <w:tcPr>
            <w:tcW w:w="1134" w:type="dxa"/>
            <w:vAlign w:val="center"/>
          </w:tcPr>
          <w:p>
            <w:pPr>
              <w:pStyle w:val="11"/>
            </w:pPr>
            <w:r>
              <w:t>253.14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132.30</w:t>
            </w:r>
          </w:p>
        </w:tc>
        <w:tc>
          <w:tcPr>
            <w:tcW w:w="1134" w:type="dxa"/>
            <w:vAlign w:val="center"/>
          </w:tcPr>
          <w:p>
            <w:pPr>
              <w:pStyle w:val="11"/>
            </w:pPr>
            <w:r>
              <w:t>132.30</w:t>
            </w:r>
          </w:p>
        </w:tc>
        <w:tc>
          <w:tcPr>
            <w:tcW w:w="1134" w:type="dxa"/>
            <w:vAlign w:val="center"/>
          </w:tcPr>
          <w:p>
            <w:pPr>
              <w:pStyle w:val="11"/>
            </w:pPr>
            <w:r>
              <w:t>132.30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36.16</w:t>
            </w:r>
          </w:p>
        </w:tc>
        <w:tc>
          <w:tcPr>
            <w:tcW w:w="1134" w:type="dxa"/>
            <w:vAlign w:val="center"/>
          </w:tcPr>
          <w:p>
            <w:pPr>
              <w:pStyle w:val="11"/>
            </w:pPr>
            <w:r>
              <w:t>36.16</w:t>
            </w:r>
          </w:p>
        </w:tc>
        <w:tc>
          <w:tcPr>
            <w:tcW w:w="1134" w:type="dxa"/>
            <w:vAlign w:val="center"/>
          </w:tcPr>
          <w:p>
            <w:pPr>
              <w:pStyle w:val="11"/>
            </w:pPr>
            <w:r>
              <w:t>36.16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94.57</w:t>
            </w:r>
          </w:p>
        </w:tc>
        <w:tc>
          <w:tcPr>
            <w:tcW w:w="1134" w:type="dxa"/>
            <w:vAlign w:val="center"/>
          </w:tcPr>
          <w:p>
            <w:pPr>
              <w:pStyle w:val="11"/>
            </w:pPr>
            <w:r>
              <w:t>94.57</w:t>
            </w:r>
          </w:p>
        </w:tc>
        <w:tc>
          <w:tcPr>
            <w:tcW w:w="1134" w:type="dxa"/>
            <w:vAlign w:val="center"/>
          </w:tcPr>
          <w:p>
            <w:pPr>
              <w:pStyle w:val="11"/>
            </w:pPr>
            <w:r>
              <w:t>94.57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94.57</w:t>
            </w:r>
          </w:p>
        </w:tc>
        <w:tc>
          <w:tcPr>
            <w:tcW w:w="1134" w:type="dxa"/>
            <w:vAlign w:val="center"/>
          </w:tcPr>
          <w:p>
            <w:pPr>
              <w:pStyle w:val="11"/>
            </w:pPr>
            <w:r>
              <w:t>94.57</w:t>
            </w:r>
          </w:p>
        </w:tc>
        <w:tc>
          <w:tcPr>
            <w:tcW w:w="1134" w:type="dxa"/>
            <w:vAlign w:val="center"/>
          </w:tcPr>
          <w:p>
            <w:pPr>
              <w:pStyle w:val="11"/>
            </w:pPr>
            <w:r>
              <w:t>94.57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94.57</w:t>
            </w:r>
          </w:p>
        </w:tc>
        <w:tc>
          <w:tcPr>
            <w:tcW w:w="1134" w:type="dxa"/>
            <w:vAlign w:val="center"/>
          </w:tcPr>
          <w:p>
            <w:pPr>
              <w:pStyle w:val="11"/>
            </w:pPr>
            <w:r>
              <w:t>94.57</w:t>
            </w:r>
          </w:p>
        </w:tc>
        <w:tc>
          <w:tcPr>
            <w:tcW w:w="1134" w:type="dxa"/>
            <w:vAlign w:val="center"/>
          </w:tcPr>
          <w:p>
            <w:pPr>
              <w:pStyle w:val="11"/>
            </w:pPr>
            <w:r>
              <w:t>94.57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121.58</w:t>
            </w:r>
          </w:p>
        </w:tc>
        <w:tc>
          <w:tcPr>
            <w:tcW w:w="1134" w:type="dxa"/>
            <w:vAlign w:val="center"/>
          </w:tcPr>
          <w:p>
            <w:pPr>
              <w:pStyle w:val="11"/>
            </w:pPr>
            <w:r>
              <w:t>121.58</w:t>
            </w:r>
          </w:p>
        </w:tc>
        <w:tc>
          <w:tcPr>
            <w:tcW w:w="1134" w:type="dxa"/>
            <w:vAlign w:val="center"/>
          </w:tcPr>
          <w:p>
            <w:pPr>
              <w:pStyle w:val="11"/>
            </w:pPr>
            <w:r>
              <w:t>121.58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121.58</w:t>
            </w:r>
          </w:p>
        </w:tc>
        <w:tc>
          <w:tcPr>
            <w:tcW w:w="1134" w:type="dxa"/>
            <w:vAlign w:val="center"/>
          </w:tcPr>
          <w:p>
            <w:pPr>
              <w:pStyle w:val="11"/>
            </w:pPr>
            <w:r>
              <w:t>121.58</w:t>
            </w:r>
          </w:p>
        </w:tc>
        <w:tc>
          <w:tcPr>
            <w:tcW w:w="1134" w:type="dxa"/>
            <w:vAlign w:val="center"/>
          </w:tcPr>
          <w:p>
            <w:pPr>
              <w:pStyle w:val="11"/>
            </w:pPr>
            <w:r>
              <w:t>121.58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121.58</w:t>
            </w:r>
          </w:p>
        </w:tc>
        <w:tc>
          <w:tcPr>
            <w:tcW w:w="1134" w:type="dxa"/>
            <w:vAlign w:val="center"/>
          </w:tcPr>
          <w:p>
            <w:pPr>
              <w:pStyle w:val="11"/>
            </w:pPr>
            <w:r>
              <w:t>121.58</w:t>
            </w:r>
          </w:p>
        </w:tc>
        <w:tc>
          <w:tcPr>
            <w:tcW w:w="1134" w:type="dxa"/>
            <w:vAlign w:val="center"/>
          </w:tcPr>
          <w:p>
            <w:pPr>
              <w:pStyle w:val="11"/>
            </w:pPr>
            <w:r>
              <w:t>121.58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359石家庄市鹿泉区融媒体中心</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2359.46</w:t>
            </w:r>
          </w:p>
        </w:tc>
        <w:tc>
          <w:tcPr>
            <w:tcW w:w="1361" w:type="dxa"/>
            <w:vAlign w:val="center"/>
          </w:tcPr>
          <w:p>
            <w:pPr>
              <w:pStyle w:val="15"/>
            </w:pPr>
            <w:r>
              <w:t>2011.80</w:t>
            </w:r>
          </w:p>
        </w:tc>
        <w:tc>
          <w:tcPr>
            <w:tcW w:w="1361" w:type="dxa"/>
            <w:vAlign w:val="center"/>
          </w:tcPr>
          <w:p>
            <w:pPr>
              <w:pStyle w:val="15"/>
            </w:pPr>
            <w:r>
              <w:t>347.66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1721.71</w:t>
            </w:r>
          </w:p>
        </w:tc>
        <w:tc>
          <w:tcPr>
            <w:tcW w:w="1361" w:type="dxa"/>
            <w:vAlign w:val="center"/>
          </w:tcPr>
          <w:p>
            <w:pPr>
              <w:pStyle w:val="11"/>
            </w:pPr>
            <w:r>
              <w:t>1374.05</w:t>
            </w:r>
          </w:p>
        </w:tc>
        <w:tc>
          <w:tcPr>
            <w:tcW w:w="1361" w:type="dxa"/>
            <w:vAlign w:val="center"/>
          </w:tcPr>
          <w:p>
            <w:pPr>
              <w:pStyle w:val="11"/>
            </w:pPr>
            <w:r>
              <w:t>347.66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20708</w:t>
            </w:r>
          </w:p>
        </w:tc>
        <w:tc>
          <w:tcPr>
            <w:tcW w:w="4535" w:type="dxa"/>
            <w:vAlign w:val="center"/>
          </w:tcPr>
          <w:p>
            <w:pPr>
              <w:pStyle w:val="12"/>
            </w:pPr>
            <w:r>
              <w:t>广播电视</w:t>
            </w:r>
          </w:p>
        </w:tc>
        <w:tc>
          <w:tcPr>
            <w:tcW w:w="1361" w:type="dxa"/>
            <w:vAlign w:val="center"/>
          </w:tcPr>
          <w:p>
            <w:pPr>
              <w:pStyle w:val="11"/>
            </w:pPr>
            <w:r>
              <w:t>1709.71</w:t>
            </w:r>
          </w:p>
        </w:tc>
        <w:tc>
          <w:tcPr>
            <w:tcW w:w="1361" w:type="dxa"/>
            <w:vAlign w:val="center"/>
          </w:tcPr>
          <w:p>
            <w:pPr>
              <w:pStyle w:val="11"/>
            </w:pPr>
            <w:r>
              <w:t>1374.05</w:t>
            </w:r>
          </w:p>
        </w:tc>
        <w:tc>
          <w:tcPr>
            <w:tcW w:w="1361" w:type="dxa"/>
            <w:vAlign w:val="center"/>
          </w:tcPr>
          <w:p>
            <w:pPr>
              <w:pStyle w:val="11"/>
            </w:pPr>
            <w:r>
              <w:t>335.66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2070801</w:t>
            </w:r>
          </w:p>
        </w:tc>
        <w:tc>
          <w:tcPr>
            <w:tcW w:w="4535" w:type="dxa"/>
            <w:vAlign w:val="center"/>
          </w:tcPr>
          <w:p>
            <w:pPr>
              <w:pStyle w:val="12"/>
            </w:pPr>
            <w:r>
              <w:t>行政运行</w:t>
            </w:r>
          </w:p>
        </w:tc>
        <w:tc>
          <w:tcPr>
            <w:tcW w:w="1361" w:type="dxa"/>
            <w:vAlign w:val="center"/>
          </w:tcPr>
          <w:p>
            <w:pPr>
              <w:pStyle w:val="11"/>
            </w:pPr>
            <w:r>
              <w:t>1709.71</w:t>
            </w:r>
          </w:p>
        </w:tc>
        <w:tc>
          <w:tcPr>
            <w:tcW w:w="1361" w:type="dxa"/>
            <w:vAlign w:val="center"/>
          </w:tcPr>
          <w:p>
            <w:pPr>
              <w:pStyle w:val="11"/>
            </w:pPr>
            <w:r>
              <w:t>1374.05</w:t>
            </w:r>
          </w:p>
        </w:tc>
        <w:tc>
          <w:tcPr>
            <w:tcW w:w="1361" w:type="dxa"/>
            <w:vAlign w:val="center"/>
          </w:tcPr>
          <w:p>
            <w:pPr>
              <w:pStyle w:val="11"/>
            </w:pPr>
            <w:r>
              <w:t>335.66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20799</w:t>
            </w:r>
          </w:p>
        </w:tc>
        <w:tc>
          <w:tcPr>
            <w:tcW w:w="4535" w:type="dxa"/>
            <w:vAlign w:val="center"/>
          </w:tcPr>
          <w:p>
            <w:pPr>
              <w:pStyle w:val="12"/>
            </w:pPr>
            <w:r>
              <w:t>其他文化旅游体育与传媒支出</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2079999</w:t>
            </w:r>
          </w:p>
        </w:tc>
        <w:tc>
          <w:tcPr>
            <w:tcW w:w="4535" w:type="dxa"/>
            <w:vAlign w:val="center"/>
          </w:tcPr>
          <w:p>
            <w:pPr>
              <w:pStyle w:val="12"/>
            </w:pPr>
            <w:r>
              <w:t>其他文化旅游体育与传媒支出</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421.60</w:t>
            </w:r>
          </w:p>
        </w:tc>
        <w:tc>
          <w:tcPr>
            <w:tcW w:w="1361" w:type="dxa"/>
            <w:vAlign w:val="center"/>
          </w:tcPr>
          <w:p>
            <w:pPr>
              <w:pStyle w:val="11"/>
            </w:pPr>
            <w:r>
              <w:t>421.60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421.60</w:t>
            </w:r>
          </w:p>
        </w:tc>
        <w:tc>
          <w:tcPr>
            <w:tcW w:w="1361" w:type="dxa"/>
            <w:vAlign w:val="center"/>
          </w:tcPr>
          <w:p>
            <w:pPr>
              <w:pStyle w:val="11"/>
            </w:pPr>
            <w:r>
              <w:t>421.60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253.14</w:t>
            </w:r>
          </w:p>
        </w:tc>
        <w:tc>
          <w:tcPr>
            <w:tcW w:w="1361" w:type="dxa"/>
            <w:vAlign w:val="center"/>
          </w:tcPr>
          <w:p>
            <w:pPr>
              <w:pStyle w:val="11"/>
            </w:pPr>
            <w:r>
              <w:t>253.14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132.30</w:t>
            </w:r>
          </w:p>
        </w:tc>
        <w:tc>
          <w:tcPr>
            <w:tcW w:w="1361" w:type="dxa"/>
            <w:vAlign w:val="center"/>
          </w:tcPr>
          <w:p>
            <w:pPr>
              <w:pStyle w:val="11"/>
            </w:pPr>
            <w:r>
              <w:t>132.30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36.16</w:t>
            </w:r>
          </w:p>
        </w:tc>
        <w:tc>
          <w:tcPr>
            <w:tcW w:w="1361" w:type="dxa"/>
            <w:vAlign w:val="center"/>
          </w:tcPr>
          <w:p>
            <w:pPr>
              <w:pStyle w:val="11"/>
            </w:pPr>
            <w:r>
              <w:t>36.16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94.57</w:t>
            </w:r>
          </w:p>
        </w:tc>
        <w:tc>
          <w:tcPr>
            <w:tcW w:w="1361" w:type="dxa"/>
            <w:vAlign w:val="center"/>
          </w:tcPr>
          <w:p>
            <w:pPr>
              <w:pStyle w:val="11"/>
            </w:pPr>
            <w:r>
              <w:t>94.57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94.57</w:t>
            </w:r>
          </w:p>
        </w:tc>
        <w:tc>
          <w:tcPr>
            <w:tcW w:w="1361" w:type="dxa"/>
            <w:vAlign w:val="center"/>
          </w:tcPr>
          <w:p>
            <w:pPr>
              <w:pStyle w:val="11"/>
            </w:pPr>
            <w:r>
              <w:t>94.57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94.57</w:t>
            </w:r>
          </w:p>
        </w:tc>
        <w:tc>
          <w:tcPr>
            <w:tcW w:w="1361" w:type="dxa"/>
            <w:vAlign w:val="center"/>
          </w:tcPr>
          <w:p>
            <w:pPr>
              <w:pStyle w:val="11"/>
            </w:pPr>
            <w:r>
              <w:t>94.57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121.58</w:t>
            </w:r>
          </w:p>
        </w:tc>
        <w:tc>
          <w:tcPr>
            <w:tcW w:w="1361" w:type="dxa"/>
            <w:vAlign w:val="center"/>
          </w:tcPr>
          <w:p>
            <w:pPr>
              <w:pStyle w:val="11"/>
            </w:pPr>
            <w:r>
              <w:t>121.58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121.58</w:t>
            </w:r>
          </w:p>
        </w:tc>
        <w:tc>
          <w:tcPr>
            <w:tcW w:w="1361" w:type="dxa"/>
            <w:vAlign w:val="center"/>
          </w:tcPr>
          <w:p>
            <w:pPr>
              <w:pStyle w:val="11"/>
            </w:pPr>
            <w:r>
              <w:t>121.58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121.58</w:t>
            </w:r>
          </w:p>
        </w:tc>
        <w:tc>
          <w:tcPr>
            <w:tcW w:w="1361" w:type="dxa"/>
            <w:vAlign w:val="center"/>
          </w:tcPr>
          <w:p>
            <w:pPr>
              <w:pStyle w:val="11"/>
            </w:pPr>
            <w:r>
              <w:t>121.58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359石家庄市鹿泉区融媒体中心</w:t>
            </w:r>
          </w:p>
        </w:tc>
        <w:tc>
          <w:tcPr>
            <w:tcW w:w="3402" w:type="dxa"/>
            <w:tcBorders>
              <w:top w:val="single" w:color="FFFFFF" w:sz="6" w:space="0"/>
              <w:left w:val="single" w:color="FFFFFF" w:sz="6" w:space="0"/>
              <w:right w:val="single" w:color="FFFFFF" w:sz="6" w:space="0"/>
            </w:tcBorders>
            <w:vAlign w:val="center"/>
          </w:tcPr>
          <w:p>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2359.46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1721.71</w:t>
            </w:r>
          </w:p>
        </w:tc>
        <w:tc>
          <w:tcPr>
            <w:tcW w:w="1474" w:type="dxa"/>
            <w:vAlign w:val="center"/>
          </w:tcPr>
          <w:p>
            <w:pPr>
              <w:pStyle w:val="11"/>
            </w:pPr>
            <w:r>
              <w:t>1721.71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421.60</w:t>
            </w:r>
          </w:p>
        </w:tc>
        <w:tc>
          <w:tcPr>
            <w:tcW w:w="1474" w:type="dxa"/>
            <w:vAlign w:val="center"/>
          </w:tcPr>
          <w:p>
            <w:pPr>
              <w:pStyle w:val="11"/>
            </w:pPr>
            <w:r>
              <w:t>421.60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94.57</w:t>
            </w:r>
          </w:p>
        </w:tc>
        <w:tc>
          <w:tcPr>
            <w:tcW w:w="1474" w:type="dxa"/>
            <w:vAlign w:val="center"/>
          </w:tcPr>
          <w:p>
            <w:pPr>
              <w:pStyle w:val="11"/>
            </w:pPr>
            <w:r>
              <w:t>94.57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121.58</w:t>
            </w:r>
          </w:p>
        </w:tc>
        <w:tc>
          <w:tcPr>
            <w:tcW w:w="1474" w:type="dxa"/>
            <w:vAlign w:val="center"/>
          </w:tcPr>
          <w:p>
            <w:pPr>
              <w:pStyle w:val="11"/>
            </w:pPr>
            <w:r>
              <w:t>121.58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2359.46</w:t>
            </w:r>
          </w:p>
        </w:tc>
        <w:tc>
          <w:tcPr>
            <w:tcW w:w="3402" w:type="dxa"/>
            <w:vAlign w:val="center"/>
          </w:tcPr>
          <w:p>
            <w:pPr>
              <w:pStyle w:val="14"/>
            </w:pPr>
            <w:r>
              <w:t>本年支出合计</w:t>
            </w:r>
          </w:p>
        </w:tc>
        <w:tc>
          <w:tcPr>
            <w:tcW w:w="1474" w:type="dxa"/>
            <w:vAlign w:val="center"/>
          </w:tcPr>
          <w:p>
            <w:pPr>
              <w:pStyle w:val="15"/>
            </w:pPr>
            <w:r>
              <w:t>2359.46</w:t>
            </w:r>
          </w:p>
        </w:tc>
        <w:tc>
          <w:tcPr>
            <w:tcW w:w="1474" w:type="dxa"/>
            <w:vAlign w:val="center"/>
          </w:tcPr>
          <w:p>
            <w:pPr>
              <w:pStyle w:val="15"/>
            </w:pPr>
            <w:r>
              <w:t>2359.46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2359.46</w:t>
            </w:r>
          </w:p>
        </w:tc>
        <w:tc>
          <w:tcPr>
            <w:tcW w:w="3402" w:type="dxa"/>
            <w:vAlign w:val="center"/>
          </w:tcPr>
          <w:p>
            <w:pPr>
              <w:pStyle w:val="14"/>
            </w:pPr>
            <w:r>
              <w:t>支出总计</w:t>
            </w:r>
          </w:p>
        </w:tc>
        <w:tc>
          <w:tcPr>
            <w:tcW w:w="1474" w:type="dxa"/>
            <w:vAlign w:val="center"/>
          </w:tcPr>
          <w:p>
            <w:pPr>
              <w:pStyle w:val="15"/>
            </w:pPr>
            <w:r>
              <w:t>2359.46</w:t>
            </w:r>
          </w:p>
        </w:tc>
        <w:tc>
          <w:tcPr>
            <w:tcW w:w="1474" w:type="dxa"/>
            <w:vAlign w:val="center"/>
          </w:tcPr>
          <w:p>
            <w:pPr>
              <w:pStyle w:val="15"/>
            </w:pPr>
            <w:r>
              <w:t>2359.46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359石家庄市鹿泉区融媒体中心</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2359.46</w:t>
            </w:r>
          </w:p>
        </w:tc>
        <w:tc>
          <w:tcPr>
            <w:tcW w:w="2551" w:type="dxa"/>
            <w:vAlign w:val="center"/>
          </w:tcPr>
          <w:p>
            <w:pPr>
              <w:pStyle w:val="15"/>
            </w:pPr>
            <w:r>
              <w:t>2011.80</w:t>
            </w:r>
          </w:p>
        </w:tc>
        <w:tc>
          <w:tcPr>
            <w:tcW w:w="2551" w:type="dxa"/>
            <w:vAlign w:val="center"/>
          </w:tcPr>
          <w:p>
            <w:pPr>
              <w:pStyle w:val="15"/>
            </w:pPr>
            <w:r>
              <w:t>347.66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1721.71</w:t>
            </w:r>
          </w:p>
        </w:tc>
        <w:tc>
          <w:tcPr>
            <w:tcW w:w="2551" w:type="dxa"/>
            <w:vAlign w:val="center"/>
          </w:tcPr>
          <w:p>
            <w:pPr>
              <w:pStyle w:val="11"/>
            </w:pPr>
            <w:r>
              <w:t>1374.05</w:t>
            </w:r>
          </w:p>
        </w:tc>
        <w:tc>
          <w:tcPr>
            <w:tcW w:w="2551" w:type="dxa"/>
            <w:vAlign w:val="center"/>
          </w:tcPr>
          <w:p>
            <w:pPr>
              <w:pStyle w:val="11"/>
            </w:pPr>
            <w:r>
              <w:t>347.66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20708</w:t>
            </w:r>
          </w:p>
        </w:tc>
        <w:tc>
          <w:tcPr>
            <w:tcW w:w="4535" w:type="dxa"/>
            <w:vAlign w:val="center"/>
          </w:tcPr>
          <w:p>
            <w:pPr>
              <w:pStyle w:val="12"/>
            </w:pPr>
            <w:r>
              <w:t>广播电视</w:t>
            </w:r>
          </w:p>
        </w:tc>
        <w:tc>
          <w:tcPr>
            <w:tcW w:w="2551" w:type="dxa"/>
            <w:vAlign w:val="center"/>
          </w:tcPr>
          <w:p>
            <w:pPr>
              <w:pStyle w:val="11"/>
            </w:pPr>
            <w:r>
              <w:t>1709.71</w:t>
            </w:r>
          </w:p>
        </w:tc>
        <w:tc>
          <w:tcPr>
            <w:tcW w:w="2551" w:type="dxa"/>
            <w:vAlign w:val="center"/>
          </w:tcPr>
          <w:p>
            <w:pPr>
              <w:pStyle w:val="11"/>
            </w:pPr>
            <w:r>
              <w:t>1374.05</w:t>
            </w:r>
          </w:p>
        </w:tc>
        <w:tc>
          <w:tcPr>
            <w:tcW w:w="2551" w:type="dxa"/>
            <w:vAlign w:val="center"/>
          </w:tcPr>
          <w:p>
            <w:pPr>
              <w:pStyle w:val="11"/>
            </w:pPr>
            <w:r>
              <w:t>335.66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2070801</w:t>
            </w:r>
          </w:p>
        </w:tc>
        <w:tc>
          <w:tcPr>
            <w:tcW w:w="4535" w:type="dxa"/>
            <w:vAlign w:val="center"/>
          </w:tcPr>
          <w:p>
            <w:pPr>
              <w:pStyle w:val="12"/>
            </w:pPr>
            <w:r>
              <w:t>行政运行</w:t>
            </w:r>
          </w:p>
        </w:tc>
        <w:tc>
          <w:tcPr>
            <w:tcW w:w="2551" w:type="dxa"/>
            <w:vAlign w:val="center"/>
          </w:tcPr>
          <w:p>
            <w:pPr>
              <w:pStyle w:val="11"/>
            </w:pPr>
            <w:r>
              <w:t>1709.71</w:t>
            </w:r>
          </w:p>
        </w:tc>
        <w:tc>
          <w:tcPr>
            <w:tcW w:w="2551" w:type="dxa"/>
            <w:vAlign w:val="center"/>
          </w:tcPr>
          <w:p>
            <w:pPr>
              <w:pStyle w:val="11"/>
            </w:pPr>
            <w:r>
              <w:t>1374.05</w:t>
            </w:r>
          </w:p>
        </w:tc>
        <w:tc>
          <w:tcPr>
            <w:tcW w:w="2551" w:type="dxa"/>
            <w:vAlign w:val="center"/>
          </w:tcPr>
          <w:p>
            <w:pPr>
              <w:pStyle w:val="11"/>
            </w:pPr>
            <w:r>
              <w:t>335.66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20799</w:t>
            </w:r>
          </w:p>
        </w:tc>
        <w:tc>
          <w:tcPr>
            <w:tcW w:w="4535" w:type="dxa"/>
            <w:vAlign w:val="center"/>
          </w:tcPr>
          <w:p>
            <w:pPr>
              <w:pStyle w:val="12"/>
            </w:pPr>
            <w:r>
              <w:t>其他文化旅游体育与传媒支出</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2079999</w:t>
            </w:r>
          </w:p>
        </w:tc>
        <w:tc>
          <w:tcPr>
            <w:tcW w:w="4535" w:type="dxa"/>
            <w:vAlign w:val="center"/>
          </w:tcPr>
          <w:p>
            <w:pPr>
              <w:pStyle w:val="12"/>
            </w:pPr>
            <w:r>
              <w:t>其他文化旅游体育与传媒支出</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421.60</w:t>
            </w:r>
          </w:p>
        </w:tc>
        <w:tc>
          <w:tcPr>
            <w:tcW w:w="2551" w:type="dxa"/>
            <w:vAlign w:val="center"/>
          </w:tcPr>
          <w:p>
            <w:pPr>
              <w:pStyle w:val="11"/>
            </w:pPr>
            <w:r>
              <w:t>421.60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421.60</w:t>
            </w:r>
          </w:p>
        </w:tc>
        <w:tc>
          <w:tcPr>
            <w:tcW w:w="2551" w:type="dxa"/>
            <w:vAlign w:val="center"/>
          </w:tcPr>
          <w:p>
            <w:pPr>
              <w:pStyle w:val="11"/>
            </w:pPr>
            <w:r>
              <w:t>421.60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253.14</w:t>
            </w:r>
          </w:p>
        </w:tc>
        <w:tc>
          <w:tcPr>
            <w:tcW w:w="2551" w:type="dxa"/>
            <w:vAlign w:val="center"/>
          </w:tcPr>
          <w:p>
            <w:pPr>
              <w:pStyle w:val="11"/>
            </w:pPr>
            <w:r>
              <w:t>253.14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132.30</w:t>
            </w:r>
          </w:p>
        </w:tc>
        <w:tc>
          <w:tcPr>
            <w:tcW w:w="2551" w:type="dxa"/>
            <w:vAlign w:val="center"/>
          </w:tcPr>
          <w:p>
            <w:pPr>
              <w:pStyle w:val="11"/>
            </w:pPr>
            <w:r>
              <w:t>132.30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36.16</w:t>
            </w:r>
          </w:p>
        </w:tc>
        <w:tc>
          <w:tcPr>
            <w:tcW w:w="2551" w:type="dxa"/>
            <w:vAlign w:val="center"/>
          </w:tcPr>
          <w:p>
            <w:pPr>
              <w:pStyle w:val="11"/>
            </w:pPr>
            <w:r>
              <w:t>36.16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94.57</w:t>
            </w:r>
          </w:p>
        </w:tc>
        <w:tc>
          <w:tcPr>
            <w:tcW w:w="2551" w:type="dxa"/>
            <w:vAlign w:val="center"/>
          </w:tcPr>
          <w:p>
            <w:pPr>
              <w:pStyle w:val="11"/>
            </w:pPr>
            <w:r>
              <w:t>94.57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94.57</w:t>
            </w:r>
          </w:p>
        </w:tc>
        <w:tc>
          <w:tcPr>
            <w:tcW w:w="2551" w:type="dxa"/>
            <w:vAlign w:val="center"/>
          </w:tcPr>
          <w:p>
            <w:pPr>
              <w:pStyle w:val="11"/>
            </w:pPr>
            <w:r>
              <w:t>94.57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94.57</w:t>
            </w:r>
          </w:p>
        </w:tc>
        <w:tc>
          <w:tcPr>
            <w:tcW w:w="2551" w:type="dxa"/>
            <w:vAlign w:val="center"/>
          </w:tcPr>
          <w:p>
            <w:pPr>
              <w:pStyle w:val="11"/>
            </w:pPr>
            <w:r>
              <w:t>94.57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121.58</w:t>
            </w:r>
          </w:p>
        </w:tc>
        <w:tc>
          <w:tcPr>
            <w:tcW w:w="2551" w:type="dxa"/>
            <w:vAlign w:val="center"/>
          </w:tcPr>
          <w:p>
            <w:pPr>
              <w:pStyle w:val="11"/>
            </w:pPr>
            <w:r>
              <w:t>121.58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121.58</w:t>
            </w:r>
          </w:p>
        </w:tc>
        <w:tc>
          <w:tcPr>
            <w:tcW w:w="2551" w:type="dxa"/>
            <w:vAlign w:val="center"/>
          </w:tcPr>
          <w:p>
            <w:pPr>
              <w:pStyle w:val="11"/>
            </w:pPr>
            <w:r>
              <w:t>121.58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121.58</w:t>
            </w:r>
          </w:p>
        </w:tc>
        <w:tc>
          <w:tcPr>
            <w:tcW w:w="2551" w:type="dxa"/>
            <w:vAlign w:val="center"/>
          </w:tcPr>
          <w:p>
            <w:pPr>
              <w:pStyle w:val="11"/>
            </w:pPr>
            <w:r>
              <w:t>121.58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359石家庄市鹿泉区融媒体中心</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2011.80</w:t>
            </w:r>
          </w:p>
        </w:tc>
        <w:tc>
          <w:tcPr>
            <w:tcW w:w="2551" w:type="dxa"/>
            <w:vAlign w:val="center"/>
          </w:tcPr>
          <w:p>
            <w:pPr>
              <w:pStyle w:val="15"/>
            </w:pPr>
            <w:r>
              <w:t>1763.77</w:t>
            </w:r>
          </w:p>
        </w:tc>
        <w:tc>
          <w:tcPr>
            <w:tcW w:w="2551" w:type="dxa"/>
            <w:vAlign w:val="center"/>
          </w:tcPr>
          <w:p>
            <w:pPr>
              <w:pStyle w:val="15"/>
            </w:pPr>
            <w:r>
              <w:t>248.03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1510.53</w:t>
            </w:r>
          </w:p>
        </w:tc>
        <w:tc>
          <w:tcPr>
            <w:tcW w:w="2551" w:type="dxa"/>
            <w:vAlign w:val="center"/>
          </w:tcPr>
          <w:p>
            <w:pPr>
              <w:pStyle w:val="11"/>
            </w:pPr>
            <w:r>
              <w:t>1510.53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351.12</w:t>
            </w:r>
          </w:p>
        </w:tc>
        <w:tc>
          <w:tcPr>
            <w:tcW w:w="2551" w:type="dxa"/>
            <w:vAlign w:val="center"/>
          </w:tcPr>
          <w:p>
            <w:pPr>
              <w:pStyle w:val="11"/>
            </w:pPr>
            <w:r>
              <w:t>351.12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69.00</w:t>
            </w:r>
          </w:p>
        </w:tc>
        <w:tc>
          <w:tcPr>
            <w:tcW w:w="2551" w:type="dxa"/>
            <w:vAlign w:val="center"/>
          </w:tcPr>
          <w:p>
            <w:pPr>
              <w:pStyle w:val="11"/>
            </w:pPr>
            <w:r>
              <w:t>69.00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428.18</w:t>
            </w:r>
          </w:p>
        </w:tc>
        <w:tc>
          <w:tcPr>
            <w:tcW w:w="2551" w:type="dxa"/>
            <w:vAlign w:val="center"/>
          </w:tcPr>
          <w:p>
            <w:pPr>
              <w:pStyle w:val="11"/>
            </w:pPr>
            <w:r>
              <w:t>428.18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270.17</w:t>
            </w:r>
          </w:p>
        </w:tc>
        <w:tc>
          <w:tcPr>
            <w:tcW w:w="2551" w:type="dxa"/>
            <w:vAlign w:val="center"/>
          </w:tcPr>
          <w:p>
            <w:pPr>
              <w:pStyle w:val="11"/>
            </w:pPr>
            <w:r>
              <w:t>270.17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132.30</w:t>
            </w:r>
          </w:p>
        </w:tc>
        <w:tc>
          <w:tcPr>
            <w:tcW w:w="2551" w:type="dxa"/>
            <w:vAlign w:val="center"/>
          </w:tcPr>
          <w:p>
            <w:pPr>
              <w:pStyle w:val="11"/>
            </w:pPr>
            <w:r>
              <w:t>132.30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36.16</w:t>
            </w:r>
          </w:p>
        </w:tc>
        <w:tc>
          <w:tcPr>
            <w:tcW w:w="2551" w:type="dxa"/>
            <w:vAlign w:val="center"/>
          </w:tcPr>
          <w:p>
            <w:pPr>
              <w:pStyle w:val="11"/>
            </w:pPr>
            <w:r>
              <w:t>36.16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53.31</w:t>
            </w:r>
          </w:p>
        </w:tc>
        <w:tc>
          <w:tcPr>
            <w:tcW w:w="2551" w:type="dxa"/>
            <w:vAlign w:val="center"/>
          </w:tcPr>
          <w:p>
            <w:pPr>
              <w:pStyle w:val="11"/>
            </w:pPr>
            <w:r>
              <w:t>53.31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41.25</w:t>
            </w:r>
          </w:p>
        </w:tc>
        <w:tc>
          <w:tcPr>
            <w:tcW w:w="2551" w:type="dxa"/>
            <w:vAlign w:val="center"/>
          </w:tcPr>
          <w:p>
            <w:pPr>
              <w:pStyle w:val="11"/>
            </w:pPr>
            <w:r>
              <w:t>41.25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7.45</w:t>
            </w:r>
          </w:p>
        </w:tc>
        <w:tc>
          <w:tcPr>
            <w:tcW w:w="2551" w:type="dxa"/>
            <w:vAlign w:val="center"/>
          </w:tcPr>
          <w:p>
            <w:pPr>
              <w:pStyle w:val="11"/>
            </w:pPr>
            <w:r>
              <w:t>7.45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121.58</w:t>
            </w:r>
          </w:p>
        </w:tc>
        <w:tc>
          <w:tcPr>
            <w:tcW w:w="2551" w:type="dxa"/>
            <w:vAlign w:val="center"/>
          </w:tcPr>
          <w:p>
            <w:pPr>
              <w:pStyle w:val="11"/>
            </w:pPr>
            <w:r>
              <w:t>121.58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246.03</w:t>
            </w:r>
          </w:p>
        </w:tc>
        <w:tc>
          <w:tcPr>
            <w:tcW w:w="2551" w:type="dxa"/>
            <w:vAlign w:val="center"/>
          </w:tcPr>
          <w:p>
            <w:pPr>
              <w:pStyle w:val="11"/>
            </w:pPr>
          </w:p>
        </w:tc>
        <w:tc>
          <w:tcPr>
            <w:tcW w:w="2551" w:type="dxa"/>
            <w:vAlign w:val="center"/>
          </w:tcPr>
          <w:p>
            <w:pPr>
              <w:pStyle w:val="11"/>
            </w:pPr>
            <w:r>
              <w:t>246.03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46.00</w:t>
            </w:r>
          </w:p>
        </w:tc>
        <w:tc>
          <w:tcPr>
            <w:tcW w:w="2551" w:type="dxa"/>
            <w:vAlign w:val="center"/>
          </w:tcPr>
          <w:p>
            <w:pPr>
              <w:pStyle w:val="11"/>
            </w:pPr>
          </w:p>
        </w:tc>
        <w:tc>
          <w:tcPr>
            <w:tcW w:w="2551" w:type="dxa"/>
            <w:vAlign w:val="center"/>
          </w:tcPr>
          <w:p>
            <w:pPr>
              <w:pStyle w:val="11"/>
            </w:pPr>
            <w:r>
              <w:t>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25.77</w:t>
            </w:r>
          </w:p>
        </w:tc>
        <w:tc>
          <w:tcPr>
            <w:tcW w:w="2551" w:type="dxa"/>
            <w:vAlign w:val="center"/>
          </w:tcPr>
          <w:p>
            <w:pPr>
              <w:pStyle w:val="11"/>
            </w:pPr>
          </w:p>
        </w:tc>
        <w:tc>
          <w:tcPr>
            <w:tcW w:w="2551" w:type="dxa"/>
            <w:vAlign w:val="center"/>
          </w:tcPr>
          <w:p>
            <w:pPr>
              <w:pStyle w:val="11"/>
            </w:pPr>
            <w:r>
              <w:t>25.77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30227</w:t>
            </w:r>
          </w:p>
        </w:tc>
        <w:tc>
          <w:tcPr>
            <w:tcW w:w="4535" w:type="dxa"/>
            <w:vAlign w:val="center"/>
          </w:tcPr>
          <w:p>
            <w:pPr>
              <w:pStyle w:val="12"/>
            </w:pPr>
            <w:r>
              <w:t>委托业务费</w:t>
            </w:r>
          </w:p>
        </w:tc>
        <w:tc>
          <w:tcPr>
            <w:tcW w:w="2551" w:type="dxa"/>
            <w:vAlign w:val="center"/>
          </w:tcPr>
          <w:p>
            <w:pPr>
              <w:pStyle w:val="11"/>
            </w:pPr>
            <w:r>
              <w:t>141.71</w:t>
            </w:r>
          </w:p>
        </w:tc>
        <w:tc>
          <w:tcPr>
            <w:tcW w:w="2551" w:type="dxa"/>
            <w:vAlign w:val="center"/>
          </w:tcPr>
          <w:p>
            <w:pPr>
              <w:pStyle w:val="11"/>
            </w:pPr>
          </w:p>
        </w:tc>
        <w:tc>
          <w:tcPr>
            <w:tcW w:w="2551" w:type="dxa"/>
            <w:vAlign w:val="center"/>
          </w:tcPr>
          <w:p>
            <w:pPr>
              <w:pStyle w:val="11"/>
            </w:pPr>
            <w:r>
              <w:t>141.71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7.45</w:t>
            </w:r>
          </w:p>
        </w:tc>
        <w:tc>
          <w:tcPr>
            <w:tcW w:w="2551" w:type="dxa"/>
            <w:vAlign w:val="center"/>
          </w:tcPr>
          <w:p>
            <w:pPr>
              <w:pStyle w:val="11"/>
            </w:pPr>
          </w:p>
        </w:tc>
        <w:tc>
          <w:tcPr>
            <w:tcW w:w="2551" w:type="dxa"/>
            <w:vAlign w:val="center"/>
          </w:tcPr>
          <w:p>
            <w:pPr>
              <w:pStyle w:val="11"/>
            </w:pPr>
            <w:r>
              <w:t>7.45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8.77</w:t>
            </w:r>
          </w:p>
        </w:tc>
        <w:tc>
          <w:tcPr>
            <w:tcW w:w="2551" w:type="dxa"/>
            <w:vAlign w:val="center"/>
          </w:tcPr>
          <w:p>
            <w:pPr>
              <w:pStyle w:val="11"/>
            </w:pPr>
          </w:p>
        </w:tc>
        <w:tc>
          <w:tcPr>
            <w:tcW w:w="2551" w:type="dxa"/>
            <w:vAlign w:val="center"/>
          </w:tcPr>
          <w:p>
            <w:pPr>
              <w:pStyle w:val="11"/>
            </w:pPr>
            <w:r>
              <w:t>8.77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5.40</w:t>
            </w:r>
          </w:p>
        </w:tc>
        <w:tc>
          <w:tcPr>
            <w:tcW w:w="2551" w:type="dxa"/>
            <w:vAlign w:val="center"/>
          </w:tcPr>
          <w:p>
            <w:pPr>
              <w:pStyle w:val="11"/>
            </w:pPr>
          </w:p>
        </w:tc>
        <w:tc>
          <w:tcPr>
            <w:tcW w:w="2551" w:type="dxa"/>
            <w:vAlign w:val="center"/>
          </w:tcPr>
          <w:p>
            <w:pPr>
              <w:pStyle w:val="11"/>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4.56</w:t>
            </w:r>
          </w:p>
        </w:tc>
        <w:tc>
          <w:tcPr>
            <w:tcW w:w="2551" w:type="dxa"/>
            <w:vAlign w:val="center"/>
          </w:tcPr>
          <w:p>
            <w:pPr>
              <w:pStyle w:val="11"/>
            </w:pPr>
          </w:p>
        </w:tc>
        <w:tc>
          <w:tcPr>
            <w:tcW w:w="2551" w:type="dxa"/>
            <w:vAlign w:val="center"/>
          </w:tcPr>
          <w:p>
            <w:pPr>
              <w:pStyle w:val="11"/>
            </w:pPr>
            <w:r>
              <w:t>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6.36</w:t>
            </w:r>
          </w:p>
        </w:tc>
        <w:tc>
          <w:tcPr>
            <w:tcW w:w="2551" w:type="dxa"/>
            <w:vAlign w:val="center"/>
          </w:tcPr>
          <w:p>
            <w:pPr>
              <w:pStyle w:val="11"/>
            </w:pPr>
          </w:p>
        </w:tc>
        <w:tc>
          <w:tcPr>
            <w:tcW w:w="2551" w:type="dxa"/>
            <w:vAlign w:val="center"/>
          </w:tcPr>
          <w:p>
            <w:pPr>
              <w:pStyle w:val="11"/>
            </w:pPr>
            <w:r>
              <w:t>6.36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253.24</w:t>
            </w:r>
          </w:p>
        </w:tc>
        <w:tc>
          <w:tcPr>
            <w:tcW w:w="2551" w:type="dxa"/>
            <w:vAlign w:val="center"/>
          </w:tcPr>
          <w:p>
            <w:pPr>
              <w:pStyle w:val="11"/>
            </w:pPr>
            <w:r>
              <w:t>253.24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247.64</w:t>
            </w:r>
          </w:p>
        </w:tc>
        <w:tc>
          <w:tcPr>
            <w:tcW w:w="2551" w:type="dxa"/>
            <w:vAlign w:val="center"/>
          </w:tcPr>
          <w:p>
            <w:pPr>
              <w:pStyle w:val="11"/>
            </w:pPr>
            <w:r>
              <w:t>247.64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5.52</w:t>
            </w:r>
          </w:p>
        </w:tc>
        <w:tc>
          <w:tcPr>
            <w:tcW w:w="2551" w:type="dxa"/>
            <w:vAlign w:val="center"/>
          </w:tcPr>
          <w:p>
            <w:pPr>
              <w:pStyle w:val="11"/>
            </w:pPr>
            <w:r>
              <w:t>5.52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0.08</w:t>
            </w:r>
          </w:p>
        </w:tc>
        <w:tc>
          <w:tcPr>
            <w:tcW w:w="2551" w:type="dxa"/>
            <w:vAlign w:val="center"/>
          </w:tcPr>
          <w:p>
            <w:pPr>
              <w:pStyle w:val="11"/>
            </w:pPr>
            <w:r>
              <w:t>0.08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359石家庄市鹿泉区融媒体中心</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359石家庄市鹿泉区融媒体中心</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359石家庄市鹿泉区融媒体中心</w:t>
            </w:r>
          </w:p>
        </w:tc>
        <w:tc>
          <w:tcPr>
            <w:tcW w:w="2381" w:type="dxa"/>
            <w:tcBorders>
              <w:top w:val="single" w:color="FFFFFF" w:sz="6" w:space="0"/>
              <w:left w:val="single" w:color="FFFFFF" w:sz="6" w:space="0"/>
              <w:right w:val="single" w:color="FFFFFF" w:sz="6" w:space="0"/>
            </w:tcBorders>
            <w:vAlign w:val="center"/>
          </w:tcPr>
          <w:p>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5.40</w:t>
            </w:r>
          </w:p>
        </w:tc>
        <w:tc>
          <w:tcPr>
            <w:tcW w:w="2381" w:type="dxa"/>
            <w:vAlign w:val="center"/>
          </w:tcPr>
          <w:p>
            <w:pPr>
              <w:pStyle w:val="15"/>
            </w:pPr>
            <w:r>
              <w:t>5.40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石家庄市鹿泉区融媒体中心2023年部门预算信息公开情况说明</w:t>
      </w:r>
    </w:p>
    <w:p>
      <w:pPr>
        <w:jc w:val="center"/>
      </w:pPr>
      <w:r>
        <w:rPr>
          <w:rFonts w:ascii="方正小标宋_GBK" w:hAnsi="方正小标宋_GBK" w:eastAsia="方正小标宋_GBK" w:cs="方正小标宋_GBK"/>
          <w:color w:val="000000"/>
          <w:sz w:val="44"/>
        </w:rPr>
        <w:t>石家庄市鹿泉区融媒体中心2023年部门预算信息公开情况说明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w:t>
      </w:r>
      <w:r>
        <w:rPr>
          <w:rFonts w:eastAsia="方正仿宋_GBK"/>
          <w:color w:val="000000"/>
          <w:sz w:val="28"/>
        </w:rPr>
        <w:t>预算法》、《地方预决算公开操作规程》和《关于进一步推进预算公开工作的实施意见》规定，现将石家庄市鹿泉区融媒体中心2023年部门预算公开如下：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bookmarkStart w:id="18" w:name="_GoBack"/>
      <w:bookmarkEnd w:id="18"/>
    </w:p>
    <w:p>
      <w:pPr>
        <w:ind w:firstLine="640"/>
      </w:pPr>
      <w:r>
        <w:rPr>
          <w:rFonts w:ascii="方正楷体_GBK" w:hAnsi="方正楷体_GBK" w:eastAsia="方正楷体_GBK" w:cs="方正楷体_GBK"/>
          <w:b/>
          <w:color w:val="000000"/>
          <w:sz w:val="32"/>
        </w:rPr>
        <w:t>部门职责：</w:t>
      </w:r>
    </w:p>
    <w:p>
      <w:pPr>
        <w:pStyle w:val="17"/>
      </w:pPr>
      <w:r>
        <w:t>（一）负责全区各类新闻资讯的采集和编辑。</w:t>
      </w:r>
    </w:p>
    <w:p>
      <w:pPr>
        <w:pStyle w:val="17"/>
      </w:pPr>
      <w:r>
        <w:t>（二）宣传上级党委、政府的决策部署、中心工作及重点工作，宣传本地党委和政府的工作安排，传播本地政经资讯。</w:t>
      </w:r>
    </w:p>
    <w:p>
      <w:pPr>
        <w:pStyle w:val="17"/>
      </w:pPr>
      <w:r>
        <w:t>（三）向基层干部群众提供政务服务、生活服务、社会传播、教育培训等综合服务等。</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石家庄市鹿泉区融媒体中心本级</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石家庄市鹿泉区全媒体服务保障中心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财政性资金零补助</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按照预算管理有关规定，目前我省部门预算的编制实行综合预算管理，即全部收入和支出都反映在预算中。石家庄市鹿泉区融媒体中心</w:t>
      </w:r>
      <w:r>
        <w:rPr>
          <w:rFonts w:hint="eastAsia" w:eastAsia="方正仿宋_GBK"/>
          <w:color w:val="000000"/>
          <w:sz w:val="28"/>
          <w:lang w:eastAsia="zh-CN"/>
        </w:rPr>
        <w:t>本级</w:t>
      </w:r>
      <w:r>
        <w:rPr>
          <w:rFonts w:eastAsia="方正仿宋_GBK"/>
          <w:color w:val="000000"/>
          <w:sz w:val="28"/>
        </w:rPr>
        <w:t>及所属事业单位的收支包含在部门预算中。</w:t>
      </w:r>
    </w:p>
    <w:p>
      <w:pPr>
        <w:pStyle w:val="18"/>
      </w:pPr>
      <w:r>
        <w:t>1、收入说明</w:t>
      </w:r>
    </w:p>
    <w:p>
      <w:pPr>
        <w:pStyle w:val="18"/>
      </w:pPr>
      <w:r>
        <w:t>反映本部门当年全部收入。2023年预算收入2359.46万元，其中：公共预算收入2359.4</w:t>
      </w:r>
      <w:r>
        <w:rPr>
          <w:rFonts w:hint="eastAsia"/>
          <w:lang w:eastAsia="zh-CN"/>
        </w:rPr>
        <w:t>6</w:t>
      </w:r>
      <w:r>
        <w:t>万元，基金预算收入0万元。</w:t>
      </w:r>
    </w:p>
    <w:p>
      <w:pPr>
        <w:pStyle w:val="18"/>
      </w:pPr>
      <w:r>
        <w:t>2、支出说明</w:t>
      </w:r>
    </w:p>
    <w:p>
      <w:pPr>
        <w:pStyle w:val="18"/>
      </w:pPr>
      <w:r>
        <w:t>收支预算总表支出栏、基本支出表、项目支出表按经济分类和支出功能分类科目编制，反映本单位年度预算中支出预算的总体情况。2023年部门支出预算为2359.4</w:t>
      </w:r>
      <w:r>
        <w:rPr>
          <w:rFonts w:hint="eastAsia"/>
          <w:lang w:eastAsia="zh-CN"/>
        </w:rPr>
        <w:t>6</w:t>
      </w:r>
      <w:r>
        <w:t>万元，其中基本支出2011.80万元，包括人员经费1763.77万元和日常公用经费248.0</w:t>
      </w:r>
      <w:r>
        <w:rPr>
          <w:rFonts w:hint="eastAsia"/>
          <w:lang w:eastAsia="zh-CN"/>
        </w:rPr>
        <w:t>3</w:t>
      </w:r>
      <w:r>
        <w:t>万元；项目支出347.66万元，主要为电力物业宽带保障经费、原乡镇机线员生活补贴、融媒体专项业务经费、军队退役人员劳务派遣工资、融媒体中心场地租赁费、演播厅装修费、发射台铁塔、省级地面电视传输设施设备运行维护。</w:t>
      </w:r>
    </w:p>
    <w:p>
      <w:pPr>
        <w:pStyle w:val="18"/>
      </w:pPr>
      <w:r>
        <w:t>3、比上年增减情况</w:t>
      </w:r>
    </w:p>
    <w:p>
      <w:pPr>
        <w:pStyle w:val="18"/>
      </w:pPr>
      <w:r>
        <w:t>2023年预算收支安排2359.4</w:t>
      </w:r>
      <w:r>
        <w:rPr>
          <w:rFonts w:hint="eastAsia"/>
          <w:lang w:eastAsia="zh-CN"/>
        </w:rPr>
        <w:t>6</w:t>
      </w:r>
      <w:r>
        <w:t>万元，较2022年增加534.67万元，其中：基本支出增加1015.24万元，主要为人员经费支出增加；项目支出减少480.57万元，主要为</w:t>
      </w:r>
      <w:r>
        <w:rPr>
          <w:rFonts w:hint="eastAsia"/>
          <w:lang w:eastAsia="zh-CN"/>
        </w:rPr>
        <w:t>有线台和发行站人员工资及办公经费</w:t>
      </w:r>
      <w:r>
        <w:t>项目减少。</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pPr>
      <w:r>
        <w:t>2023年，我部门机关运行经费共计安排248.0</w:t>
      </w:r>
      <w:r>
        <w:rPr>
          <w:rFonts w:hint="eastAsia"/>
          <w:lang w:eastAsia="zh-CN"/>
        </w:rPr>
        <w:t>3</w:t>
      </w:r>
      <w:r>
        <w:t>万元，主要用于日常维修、办公用房水电费、办公用房取暖费、物业费管理费等日常运行支出。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r>
        <w:t>2023年，我部门财政拨款“三公”经费预算安排5.4万元，其中：因公出国（境）费0万元；公务用车购置及运维费5.4万元（其中：公务用车购置费0万元，公务用车运行维护费5.4万元)；公务接待费0万元。“三公”经费与上年相比没有增减变化。</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1"/>
      </w:pPr>
      <w:r>
        <w:t>融媒体中心以习近平新时代中国特色社会主义思想为指导，按照“引导群众、服务群众”的总要求，推动我区媒体转型升级，加快实现各种媒介资源、生产要素有效融合，推动信息内容、技术应用、平台终端和管理服务共享融通，重构采编发体系，优化采编发流程，提高信息供给质量和针对性，发挥好教育引导群众、服务生产生活的积极作用。</w:t>
      </w:r>
    </w:p>
    <w:p>
      <w:pPr>
        <w:pStyle w:val="21"/>
      </w:pPr>
      <w:r>
        <w:t>宣传工作将始终围绕党和政府各个时期的工作重点，牢牢地把握正确的舆论导向，弘扬时代主旋律，努力在宣传内容上求“深”，在宣传手段上求“新”，在宣传质量上求“精”，在对外宣传上求“强”。增强媒体宣传的吸引力，营造我市经济和社会全面发展的良好氛围。按照“政治强、业务精、纪律严、作风正”的要求，通过引进、培养、提高等方式，培养一批优秀编辑、记者、主持人、工程技术人员。在产业发展上进一步扩大业务范围，实现从“受众”思维向“用户”思维的转变，建成鹿泉本土化媒体平台，通过线上线下经营，提高效益；要引进、培养一批理念新、技术精、会管理、懂经营，能拓展增强业务的专门人才，努力提高队伍的思想水平，政治素质和业务能力，为扎实推进广播电视新一轮改革创业打造一支过硬的队伍。</w:t>
      </w:r>
    </w:p>
    <w:p>
      <w:pPr>
        <w:spacing w:line="500" w:lineRule="exact"/>
        <w:ind w:firstLine="560"/>
      </w:pPr>
      <w:r>
        <w:rPr>
          <w:rFonts w:eastAsia="方正仿宋_GBK"/>
          <w:color w:val="000000"/>
          <w:sz w:val="28"/>
        </w:rPr>
        <w:t>（二）分项绩效目标</w:t>
      </w:r>
    </w:p>
    <w:p>
      <w:pPr>
        <w:pStyle w:val="22"/>
      </w:pPr>
      <w:r>
        <w:t>一、广播电视事业建设</w:t>
      </w:r>
    </w:p>
    <w:p>
      <w:pPr>
        <w:pStyle w:val="22"/>
      </w:pPr>
      <w:r>
        <w:t>1、广播电视节目制作播出</w:t>
      </w:r>
    </w:p>
    <w:p>
      <w:pPr>
        <w:pStyle w:val="22"/>
      </w:pPr>
      <w:r>
        <w:t>绩效目标：宣传党的路线、方针、政策和区委、区政府的工作部署，坚持正确舆论导向，发挥主流媒体作用；开展新闻宣传，办好各类广播电视节目；配合上级台完成我区的采访报道工作并提供各类节目；承担区委、区政府形象宣传片及专题片的创作生产；完成电台、电视台自播新闻、专题、文艺节目的采、编、播工作。研发新节目，打造品牌活动；媒体识别度和影响力进一步提升，收听收看群体扩大；广告创收任务完成。</w:t>
      </w:r>
    </w:p>
    <w:p>
      <w:pPr>
        <w:pStyle w:val="22"/>
      </w:pPr>
      <w:r>
        <w:t>绩效指标：对上宣传报道量394条、本台自播新闻2489条、专题量234期。</w:t>
      </w:r>
    </w:p>
    <w:p>
      <w:pPr>
        <w:pStyle w:val="22"/>
      </w:pPr>
      <w:r>
        <w:t>2、广播电视节目制作能力建设</w:t>
      </w:r>
    </w:p>
    <w:p>
      <w:pPr>
        <w:pStyle w:val="22"/>
      </w:pPr>
      <w:r>
        <w:t>绩效目标：通过技术升级，实现台内资源互通互享，提高节目制力和传播能力；拓展新媒体传播途径，开拓新型业务。</w:t>
      </w:r>
    </w:p>
    <w:p>
      <w:pPr>
        <w:pStyle w:val="22"/>
      </w:pPr>
      <w:r>
        <w:t>绩效指标：新媒体的融合度90%以上、新媒体设备利用率90%以上、数字化设备更新率90%以上。</w:t>
      </w:r>
    </w:p>
    <w:p>
      <w:pPr>
        <w:pStyle w:val="22"/>
      </w:pPr>
      <w:r>
        <w:t>3、安全播出管理</w:t>
      </w:r>
    </w:p>
    <w:p>
      <w:pPr>
        <w:pStyle w:val="22"/>
      </w:pPr>
      <w:r>
        <w:t>绩效目标：建立起完备的广播电视安全播出保障体系，加强维护和演练。</w:t>
      </w:r>
    </w:p>
    <w:p>
      <w:pPr>
        <w:pStyle w:val="22"/>
      </w:pPr>
      <w:r>
        <w:t>绩效指标：广播电视节目停播率小于20秒。</w:t>
      </w:r>
    </w:p>
    <w:p>
      <w:pPr>
        <w:pStyle w:val="22"/>
      </w:pPr>
      <w:r>
        <w:t>二、政务管理</w:t>
      </w:r>
    </w:p>
    <w:p>
      <w:pPr>
        <w:pStyle w:val="22"/>
      </w:pPr>
      <w:r>
        <w:t>1、综合业务管理</w:t>
      </w:r>
    </w:p>
    <w:p>
      <w:pPr>
        <w:pStyle w:val="22"/>
      </w:pPr>
      <w:r>
        <w:t>绩效目标：确保各项业务工作谋划到位、顺利开展；保障中心工作正常高效运转。</w:t>
      </w:r>
    </w:p>
    <w:p>
      <w:pPr>
        <w:pStyle w:val="22"/>
      </w:pPr>
      <w:r>
        <w:t>绩效指标：综合业务管理工作完成率95%以上。</w:t>
      </w:r>
    </w:p>
    <w:p>
      <w:pPr>
        <w:spacing w:line="500" w:lineRule="exact"/>
        <w:ind w:firstLine="560"/>
      </w:pPr>
      <w:r>
        <w:rPr>
          <w:rFonts w:eastAsia="方正仿宋_GBK"/>
          <w:color w:val="000000"/>
          <w:sz w:val="28"/>
        </w:rPr>
        <w:t>（三）工作保障措施</w:t>
      </w:r>
    </w:p>
    <w:p>
      <w:pPr>
        <w:pStyle w:val="23"/>
      </w:pPr>
      <w:r>
        <w:t>1、完善制度建设。中心将通过制定完善预算绩效管理制度，资金管理办法、工作保障制度等，为全年预算绩效目标的实现奠定制度基础。</w:t>
      </w:r>
    </w:p>
    <w:p>
      <w:pPr>
        <w:pStyle w:val="23"/>
      </w:pPr>
      <w:r>
        <w:t>2、加强支出管理。中心将通过优化支出结构、编细编实预算、及时支付资金、按规定及时下达资金等多种措施，确保支出进度达标。</w:t>
      </w:r>
    </w:p>
    <w:p>
      <w:pPr>
        <w:pStyle w:val="23"/>
      </w:pPr>
      <w:r>
        <w:t>3、加强绩效运行监控。中心将按要求开展绩效运行监控，发现问题及时采取措施，确保绩效目标如期保质实现。</w:t>
      </w:r>
    </w:p>
    <w:p>
      <w:pPr>
        <w:pStyle w:val="23"/>
      </w:pPr>
      <w:r>
        <w:t>4、做好绩效自评。中心将按要求开展上年度部门预算绩效自评和重点评价工作，对评价中发现的问题及时整改，调整财政资金使用效益。</w:t>
      </w:r>
    </w:p>
    <w:p>
      <w:pPr>
        <w:pStyle w:val="23"/>
      </w:pPr>
      <w:r>
        <w:t>5、规范财务资产管理。中心将不断完善财务管理制度，严格审批程序，加强固定资产登记、使用和报废处置管理，做到支出合理，物尽其用。</w:t>
      </w:r>
    </w:p>
    <w:p>
      <w:pPr>
        <w:pStyle w:val="23"/>
      </w:pPr>
      <w:r>
        <w:t>6、加强内部监督。中心将不断加强内部监督制度建设，对绩效运行情况、重大支出决策、资产处置及其他重要经济业务事项的决策和执行进行督导，对会计资料进行内部审计，并配合做好审计、财政监督等外部监督工作，确保财政资金安全有效。</w:t>
      </w:r>
    </w:p>
    <w:p>
      <w:pPr>
        <w:pStyle w:val="23"/>
        <w:rPr>
          <w:rFonts w:hint="eastAsia"/>
          <w:lang w:eastAsia="zh-CN"/>
        </w:rPr>
      </w:pPr>
      <w:r>
        <w:t>7、加强宣传培训调研等。中心将不断加强人员培训，提高本部门职工业务素质；加强调研，提出优化财政资金配置、提高资金使用效益的意见建议；加大宣传力度，强化预算绩效管理意识，促进预算绩效管理水平进一步提升。</w:t>
      </w:r>
    </w:p>
    <w:p>
      <w:pPr>
        <w:pStyle w:val="23"/>
        <w:rPr>
          <w:rFonts w:hint="eastAsia"/>
          <w:lang w:eastAsia="zh-CN"/>
        </w:rPr>
      </w:pPr>
    </w:p>
    <w:p>
      <w:pPr>
        <w:pStyle w:val="23"/>
        <w:rPr>
          <w:rFonts w:hint="eastAsia"/>
          <w:lang w:eastAsia="zh-CN"/>
        </w:rPr>
      </w:pPr>
    </w:p>
    <w:p>
      <w:pPr>
        <w:pStyle w:val="23"/>
        <w:rPr>
          <w:rFonts w:hint="eastAsia"/>
          <w:lang w:eastAsia="zh-CN"/>
        </w:rPr>
      </w:pPr>
    </w:p>
    <w:p>
      <w:pPr>
        <w:pStyle w:val="23"/>
        <w:rPr>
          <w:rFonts w:hint="eastAsia"/>
          <w:lang w:eastAsia="zh-CN"/>
        </w:rPr>
      </w:pPr>
    </w:p>
    <w:p>
      <w:pPr>
        <w:pStyle w:val="23"/>
        <w:rPr>
          <w:rFonts w:hint="eastAsia"/>
          <w:lang w:eastAsia="zh-CN"/>
        </w:rPr>
        <w:sectPr>
          <w:pgSz w:w="16840" w:h="11900" w:orient="landscape"/>
          <w:pgMar w:top="1361" w:right="1020" w:bottom="1361" w:left="1020" w:header="720" w:footer="720" w:gutter="0"/>
          <w:cols w:space="720" w:num="1"/>
        </w:sectPr>
      </w:pP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pPr>
        <w:ind w:firstLine="560"/>
      </w:pPr>
      <w:r>
        <w:rPr>
          <w:rFonts w:ascii="方正仿宋_GBK" w:hAnsi="方正仿宋_GBK" w:eastAsia="方正仿宋_GBK" w:cs="方正仿宋_GBK"/>
          <w:b/>
          <w:color w:val="000000"/>
          <w:sz w:val="28"/>
        </w:rPr>
        <w:t>1、电力物业宽带保障经费绩效目标表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1.通过缴纳物业费、网络宽带费、电费等，保障办公楼正常运行。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电视播控机房运转时间</w:t>
            </w:r>
          </w:p>
        </w:tc>
        <w:tc>
          <w:tcPr>
            <w:tcW w:w="2835" w:type="dxa"/>
            <w:vAlign w:val="center"/>
          </w:tcPr>
          <w:p>
            <w:pPr>
              <w:pStyle w:val="12"/>
            </w:pPr>
            <w:r>
              <w:t>电视播控机房运转时间</w:t>
            </w:r>
          </w:p>
        </w:tc>
        <w:tc>
          <w:tcPr>
            <w:tcW w:w="2551" w:type="dxa"/>
            <w:vAlign w:val="center"/>
          </w:tcPr>
          <w:p>
            <w:pPr>
              <w:pStyle w:val="12"/>
            </w:pPr>
            <w:r>
              <w:t>365天</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物业服务面积</w:t>
            </w:r>
          </w:p>
        </w:tc>
        <w:tc>
          <w:tcPr>
            <w:tcW w:w="2835" w:type="dxa"/>
            <w:vAlign w:val="center"/>
          </w:tcPr>
          <w:p>
            <w:pPr>
              <w:pStyle w:val="12"/>
            </w:pPr>
            <w:r>
              <w:t>物业服务面积</w:t>
            </w:r>
          </w:p>
        </w:tc>
        <w:tc>
          <w:tcPr>
            <w:tcW w:w="2551" w:type="dxa"/>
            <w:vAlign w:val="center"/>
          </w:tcPr>
          <w:p>
            <w:pPr>
              <w:pStyle w:val="12"/>
            </w:pPr>
            <w:r>
              <w:t>5500平方米</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租用网络数量</w:t>
            </w:r>
          </w:p>
        </w:tc>
        <w:tc>
          <w:tcPr>
            <w:tcW w:w="2835" w:type="dxa"/>
            <w:vAlign w:val="center"/>
          </w:tcPr>
          <w:p>
            <w:pPr>
              <w:pStyle w:val="12"/>
            </w:pPr>
            <w:r>
              <w:t>租用网络数量</w:t>
            </w:r>
          </w:p>
        </w:tc>
        <w:tc>
          <w:tcPr>
            <w:tcW w:w="2551" w:type="dxa"/>
            <w:vAlign w:val="center"/>
          </w:tcPr>
          <w:p>
            <w:pPr>
              <w:pStyle w:val="12"/>
            </w:pPr>
            <w:r>
              <w:t>4条</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IPTV专用电路带宽</w:t>
            </w:r>
          </w:p>
        </w:tc>
        <w:tc>
          <w:tcPr>
            <w:tcW w:w="2835" w:type="dxa"/>
            <w:vAlign w:val="center"/>
          </w:tcPr>
          <w:p>
            <w:pPr>
              <w:pStyle w:val="12"/>
            </w:pPr>
            <w:r>
              <w:t>IPTV专用电路带宽</w:t>
            </w:r>
          </w:p>
        </w:tc>
        <w:tc>
          <w:tcPr>
            <w:tcW w:w="2551" w:type="dxa"/>
            <w:vAlign w:val="center"/>
          </w:tcPr>
          <w:p>
            <w:pPr>
              <w:pStyle w:val="12"/>
            </w:pPr>
            <w:r>
              <w:t>10兆</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租用网络带宽</w:t>
            </w:r>
          </w:p>
        </w:tc>
        <w:tc>
          <w:tcPr>
            <w:tcW w:w="2835" w:type="dxa"/>
            <w:vAlign w:val="center"/>
          </w:tcPr>
          <w:p>
            <w:pPr>
              <w:pStyle w:val="12"/>
            </w:pPr>
            <w:r>
              <w:t>租用网络带宽</w:t>
            </w:r>
          </w:p>
        </w:tc>
        <w:tc>
          <w:tcPr>
            <w:tcW w:w="2551" w:type="dxa"/>
            <w:vAlign w:val="center"/>
          </w:tcPr>
          <w:p>
            <w:pPr>
              <w:pStyle w:val="12"/>
            </w:pPr>
            <w:r>
              <w:t>200兆</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发射台运转时间</w:t>
            </w:r>
          </w:p>
        </w:tc>
        <w:tc>
          <w:tcPr>
            <w:tcW w:w="2835" w:type="dxa"/>
            <w:vAlign w:val="center"/>
          </w:tcPr>
          <w:p>
            <w:pPr>
              <w:pStyle w:val="12"/>
            </w:pPr>
            <w:r>
              <w:t>发射台运转时间</w:t>
            </w:r>
          </w:p>
        </w:tc>
        <w:tc>
          <w:tcPr>
            <w:tcW w:w="2551" w:type="dxa"/>
            <w:vAlign w:val="center"/>
          </w:tcPr>
          <w:p>
            <w:pPr>
              <w:pStyle w:val="12"/>
            </w:pPr>
            <w:r>
              <w:t>365天</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设备运行优良率</w:t>
            </w:r>
          </w:p>
        </w:tc>
        <w:tc>
          <w:tcPr>
            <w:tcW w:w="2835" w:type="dxa"/>
            <w:vAlign w:val="center"/>
          </w:tcPr>
          <w:p>
            <w:pPr>
              <w:pStyle w:val="12"/>
            </w:pPr>
            <w:r>
              <w:t>稳定运行设备数量占运行设备总数量的比例</w:t>
            </w:r>
          </w:p>
        </w:tc>
        <w:tc>
          <w:tcPr>
            <w:tcW w:w="2551" w:type="dxa"/>
            <w:vAlign w:val="center"/>
          </w:tcPr>
          <w:p>
            <w:pPr>
              <w:pStyle w:val="12"/>
            </w:pPr>
            <w:r>
              <w:t>≥95%</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物业服务成本</w:t>
            </w:r>
          </w:p>
        </w:tc>
        <w:tc>
          <w:tcPr>
            <w:tcW w:w="2835" w:type="dxa"/>
            <w:vAlign w:val="center"/>
          </w:tcPr>
          <w:p>
            <w:pPr>
              <w:pStyle w:val="12"/>
            </w:pPr>
            <w:r>
              <w:t>物业服务成本</w:t>
            </w:r>
          </w:p>
        </w:tc>
        <w:tc>
          <w:tcPr>
            <w:tcW w:w="2551" w:type="dxa"/>
            <w:vAlign w:val="center"/>
          </w:tcPr>
          <w:p>
            <w:pPr>
              <w:pStyle w:val="12"/>
            </w:pPr>
            <w:r>
              <w:t>1.7元/月/平方米</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电信宽带成本</w:t>
            </w:r>
          </w:p>
        </w:tc>
        <w:tc>
          <w:tcPr>
            <w:tcW w:w="2835" w:type="dxa"/>
            <w:vAlign w:val="center"/>
          </w:tcPr>
          <w:p>
            <w:pPr>
              <w:pStyle w:val="12"/>
            </w:pPr>
            <w:r>
              <w:t>电信宽带成本</w:t>
            </w:r>
          </w:p>
        </w:tc>
        <w:tc>
          <w:tcPr>
            <w:tcW w:w="2551" w:type="dxa"/>
            <w:vAlign w:val="center"/>
          </w:tcPr>
          <w:p>
            <w:pPr>
              <w:pStyle w:val="12"/>
            </w:pPr>
            <w:r>
              <w:t>28800元/年</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IPTV专网宽带成本</w:t>
            </w:r>
          </w:p>
        </w:tc>
        <w:tc>
          <w:tcPr>
            <w:tcW w:w="2835" w:type="dxa"/>
            <w:vAlign w:val="center"/>
          </w:tcPr>
          <w:p>
            <w:pPr>
              <w:pStyle w:val="12"/>
            </w:pPr>
            <w:r>
              <w:t>IPTV专网宽带成本</w:t>
            </w:r>
          </w:p>
        </w:tc>
        <w:tc>
          <w:tcPr>
            <w:tcW w:w="2551" w:type="dxa"/>
            <w:vAlign w:val="center"/>
          </w:tcPr>
          <w:p>
            <w:pPr>
              <w:pStyle w:val="12"/>
            </w:pPr>
            <w:r>
              <w:t>9600元/年</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联通宽带成本</w:t>
            </w:r>
          </w:p>
        </w:tc>
        <w:tc>
          <w:tcPr>
            <w:tcW w:w="2835" w:type="dxa"/>
            <w:vAlign w:val="center"/>
          </w:tcPr>
          <w:p>
            <w:pPr>
              <w:pStyle w:val="12"/>
            </w:pPr>
            <w:r>
              <w:t>联通宽带成本</w:t>
            </w:r>
          </w:p>
        </w:tc>
        <w:tc>
          <w:tcPr>
            <w:tcW w:w="2551" w:type="dxa"/>
            <w:vAlign w:val="center"/>
          </w:tcPr>
          <w:p>
            <w:pPr>
              <w:pStyle w:val="12"/>
            </w:pPr>
            <w:r>
              <w:t>36000元/年</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联通专网通讯成本</w:t>
            </w:r>
          </w:p>
        </w:tc>
        <w:tc>
          <w:tcPr>
            <w:tcW w:w="2835" w:type="dxa"/>
            <w:vAlign w:val="center"/>
          </w:tcPr>
          <w:p>
            <w:pPr>
              <w:pStyle w:val="12"/>
            </w:pPr>
            <w:r>
              <w:t>联通专网通讯成本</w:t>
            </w:r>
          </w:p>
        </w:tc>
        <w:tc>
          <w:tcPr>
            <w:tcW w:w="2551" w:type="dxa"/>
            <w:vAlign w:val="center"/>
          </w:tcPr>
          <w:p>
            <w:pPr>
              <w:pStyle w:val="12"/>
            </w:pPr>
            <w:r>
              <w:t>14400元/年</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物业费支出成本</w:t>
            </w:r>
          </w:p>
        </w:tc>
        <w:tc>
          <w:tcPr>
            <w:tcW w:w="2835" w:type="dxa"/>
            <w:vAlign w:val="center"/>
          </w:tcPr>
          <w:p>
            <w:pPr>
              <w:pStyle w:val="12"/>
            </w:pPr>
            <w:r>
              <w:t>物业费支出成本</w:t>
            </w:r>
          </w:p>
        </w:tc>
        <w:tc>
          <w:tcPr>
            <w:tcW w:w="2551" w:type="dxa"/>
            <w:vAlign w:val="center"/>
          </w:tcPr>
          <w:p>
            <w:pPr>
              <w:pStyle w:val="12"/>
            </w:pPr>
            <w:r>
              <w:t>28050元/季度</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物业费缴纳季度</w:t>
            </w:r>
          </w:p>
        </w:tc>
        <w:tc>
          <w:tcPr>
            <w:tcW w:w="2835" w:type="dxa"/>
            <w:vAlign w:val="center"/>
          </w:tcPr>
          <w:p>
            <w:pPr>
              <w:pStyle w:val="12"/>
            </w:pPr>
            <w:r>
              <w:t>物业费缴纳季度</w:t>
            </w:r>
          </w:p>
        </w:tc>
        <w:tc>
          <w:tcPr>
            <w:tcW w:w="2551" w:type="dxa"/>
            <w:vAlign w:val="center"/>
          </w:tcPr>
          <w:p>
            <w:pPr>
              <w:pStyle w:val="12"/>
            </w:pPr>
            <w:r>
              <w:t>4季度</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设备长期使用性</w:t>
            </w:r>
          </w:p>
        </w:tc>
        <w:tc>
          <w:tcPr>
            <w:tcW w:w="2835" w:type="dxa"/>
            <w:vAlign w:val="center"/>
          </w:tcPr>
          <w:p>
            <w:pPr>
              <w:pStyle w:val="12"/>
            </w:pPr>
            <w:r>
              <w:t>设备长期使用性</w:t>
            </w:r>
          </w:p>
        </w:tc>
        <w:tc>
          <w:tcPr>
            <w:tcW w:w="2551" w:type="dxa"/>
            <w:vAlign w:val="center"/>
          </w:tcPr>
          <w:p>
            <w:pPr>
              <w:pStyle w:val="12"/>
            </w:pPr>
            <w:r>
              <w:t>长期使用</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2835" w:type="dxa"/>
            <w:vAlign w:val="center"/>
          </w:tcPr>
          <w:p>
            <w:pPr>
              <w:pStyle w:val="12"/>
            </w:pPr>
            <w:r>
              <w:t>使用人员满意度</w:t>
            </w:r>
          </w:p>
        </w:tc>
        <w:tc>
          <w:tcPr>
            <w:tcW w:w="2551" w:type="dxa"/>
            <w:vAlign w:val="center"/>
          </w:tcPr>
          <w:p>
            <w:pPr>
              <w:pStyle w:val="12"/>
            </w:pPr>
            <w:r>
              <w:t>≥95%</w:t>
            </w:r>
          </w:p>
        </w:tc>
        <w:tc>
          <w:tcPr>
            <w:tcW w:w="2268" w:type="dxa"/>
            <w:vAlign w:val="center"/>
          </w:tcPr>
          <w:p>
            <w:pPr>
              <w:pStyle w:val="12"/>
            </w:pPr>
            <w:r>
              <w:t>工作标准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2、发射台铁塔维护费绩效目标表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1.通过对发射台铁塔的全面维护，消除安全隐患，保障电台、电视台信号的正常发射。</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信号发射塔数量</w:t>
            </w:r>
          </w:p>
        </w:tc>
        <w:tc>
          <w:tcPr>
            <w:tcW w:w="2835" w:type="dxa"/>
            <w:vAlign w:val="center"/>
          </w:tcPr>
          <w:p>
            <w:pPr>
              <w:pStyle w:val="12"/>
            </w:pPr>
            <w:r>
              <w:t>信号发射塔数量</w:t>
            </w:r>
          </w:p>
        </w:tc>
        <w:tc>
          <w:tcPr>
            <w:tcW w:w="2551" w:type="dxa"/>
            <w:vAlign w:val="center"/>
          </w:tcPr>
          <w:p>
            <w:pPr>
              <w:pStyle w:val="12"/>
            </w:pPr>
            <w:r>
              <w:t>1座</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发射台信号覆盖率</w:t>
            </w:r>
          </w:p>
        </w:tc>
        <w:tc>
          <w:tcPr>
            <w:tcW w:w="2835" w:type="dxa"/>
            <w:vAlign w:val="center"/>
          </w:tcPr>
          <w:p>
            <w:pPr>
              <w:pStyle w:val="12"/>
            </w:pPr>
            <w:r>
              <w:t>发射台信号覆盖率</w:t>
            </w:r>
          </w:p>
        </w:tc>
        <w:tc>
          <w:tcPr>
            <w:tcW w:w="2551" w:type="dxa"/>
            <w:vAlign w:val="center"/>
          </w:tcPr>
          <w:p>
            <w:pPr>
              <w:pStyle w:val="12"/>
            </w:pPr>
            <w:r>
              <w:t>≥95%</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发射台运行维护及时率</w:t>
            </w:r>
          </w:p>
        </w:tc>
        <w:tc>
          <w:tcPr>
            <w:tcW w:w="2835" w:type="dxa"/>
            <w:vAlign w:val="center"/>
          </w:tcPr>
          <w:p>
            <w:pPr>
              <w:pStyle w:val="12"/>
            </w:pPr>
            <w:r>
              <w:t>发射台运行维护及时率</w:t>
            </w:r>
          </w:p>
        </w:tc>
        <w:tc>
          <w:tcPr>
            <w:tcW w:w="2551" w:type="dxa"/>
            <w:vAlign w:val="center"/>
          </w:tcPr>
          <w:p>
            <w:pPr>
              <w:pStyle w:val="12"/>
            </w:pPr>
            <w:r>
              <w:t>≥95%</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发射台信号塔维护成本</w:t>
            </w:r>
          </w:p>
        </w:tc>
        <w:tc>
          <w:tcPr>
            <w:tcW w:w="2835" w:type="dxa"/>
            <w:vAlign w:val="center"/>
          </w:tcPr>
          <w:p>
            <w:pPr>
              <w:pStyle w:val="12"/>
            </w:pPr>
            <w:r>
              <w:t>发射台信号塔维护成本</w:t>
            </w:r>
          </w:p>
        </w:tc>
        <w:tc>
          <w:tcPr>
            <w:tcW w:w="2551" w:type="dxa"/>
            <w:vAlign w:val="center"/>
          </w:tcPr>
          <w:p>
            <w:pPr>
              <w:pStyle w:val="12"/>
            </w:pPr>
            <w:r>
              <w:t>5万元</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发射台铁塔长期使用性</w:t>
            </w:r>
          </w:p>
        </w:tc>
        <w:tc>
          <w:tcPr>
            <w:tcW w:w="2835" w:type="dxa"/>
            <w:vAlign w:val="center"/>
          </w:tcPr>
          <w:p>
            <w:pPr>
              <w:pStyle w:val="12"/>
            </w:pPr>
            <w:r>
              <w:t>发射台铁塔长期使用性</w:t>
            </w:r>
          </w:p>
        </w:tc>
        <w:tc>
          <w:tcPr>
            <w:tcW w:w="2551" w:type="dxa"/>
            <w:vAlign w:val="center"/>
          </w:tcPr>
          <w:p>
            <w:pPr>
              <w:pStyle w:val="12"/>
            </w:pPr>
            <w:r>
              <w:t>长期使用</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3、军队退役人员劳务派遣工资绩效目标表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1.为1名军队退役人员发放工资及缴纳社会保险，提高生活保障，确保军队退役人员劳务派遣工资按时发放。</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军队退役人员人数</w:t>
            </w:r>
          </w:p>
        </w:tc>
        <w:tc>
          <w:tcPr>
            <w:tcW w:w="2835" w:type="dxa"/>
            <w:vAlign w:val="center"/>
          </w:tcPr>
          <w:p>
            <w:pPr>
              <w:pStyle w:val="12"/>
            </w:pPr>
            <w:r>
              <w:t>军队退役人员人数</w:t>
            </w:r>
          </w:p>
        </w:tc>
        <w:tc>
          <w:tcPr>
            <w:tcW w:w="2551" w:type="dxa"/>
            <w:vAlign w:val="center"/>
          </w:tcPr>
          <w:p>
            <w:pPr>
              <w:pStyle w:val="12"/>
            </w:pPr>
            <w:r>
              <w:t>1人</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军队退役人员工资补贴发放率</w:t>
            </w:r>
          </w:p>
        </w:tc>
        <w:tc>
          <w:tcPr>
            <w:tcW w:w="2835" w:type="dxa"/>
            <w:vAlign w:val="center"/>
          </w:tcPr>
          <w:p>
            <w:pPr>
              <w:pStyle w:val="12"/>
            </w:pPr>
            <w:r>
              <w:t>军队退役人员工资补贴发放率</w:t>
            </w:r>
          </w:p>
        </w:tc>
        <w:tc>
          <w:tcPr>
            <w:tcW w:w="2551" w:type="dxa"/>
            <w:vAlign w:val="center"/>
          </w:tcPr>
          <w:p>
            <w:pPr>
              <w:pStyle w:val="12"/>
            </w:pPr>
            <w:r>
              <w:t>100%</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军队退役人员工资补贴及时率</w:t>
            </w:r>
          </w:p>
        </w:tc>
        <w:tc>
          <w:tcPr>
            <w:tcW w:w="2835" w:type="dxa"/>
            <w:vAlign w:val="center"/>
          </w:tcPr>
          <w:p>
            <w:pPr>
              <w:pStyle w:val="12"/>
            </w:pPr>
            <w:r>
              <w:t>军队退役人员工资补贴及时率</w:t>
            </w:r>
          </w:p>
        </w:tc>
        <w:tc>
          <w:tcPr>
            <w:tcW w:w="2551" w:type="dxa"/>
            <w:vAlign w:val="center"/>
          </w:tcPr>
          <w:p>
            <w:pPr>
              <w:pStyle w:val="12"/>
            </w:pPr>
            <w:r>
              <w:t>100%</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军队退役人员补贴人均标准</w:t>
            </w:r>
          </w:p>
        </w:tc>
        <w:tc>
          <w:tcPr>
            <w:tcW w:w="2835" w:type="dxa"/>
            <w:vAlign w:val="center"/>
          </w:tcPr>
          <w:p>
            <w:pPr>
              <w:pStyle w:val="12"/>
            </w:pPr>
            <w:r>
              <w:t>军队退役人员补贴人均标准</w:t>
            </w:r>
          </w:p>
        </w:tc>
        <w:tc>
          <w:tcPr>
            <w:tcW w:w="2551" w:type="dxa"/>
            <w:vAlign w:val="center"/>
          </w:tcPr>
          <w:p>
            <w:pPr>
              <w:pStyle w:val="12"/>
            </w:pPr>
            <w:r>
              <w:t>3100元/月</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补贴发放落实率</w:t>
            </w:r>
          </w:p>
        </w:tc>
        <w:tc>
          <w:tcPr>
            <w:tcW w:w="2835" w:type="dxa"/>
            <w:vAlign w:val="center"/>
          </w:tcPr>
          <w:p>
            <w:pPr>
              <w:pStyle w:val="12"/>
            </w:pPr>
            <w:r>
              <w:t>补贴发放落实率</w:t>
            </w:r>
          </w:p>
        </w:tc>
        <w:tc>
          <w:tcPr>
            <w:tcW w:w="2551" w:type="dxa"/>
            <w:vAlign w:val="center"/>
          </w:tcPr>
          <w:p>
            <w:pPr>
              <w:pStyle w:val="12"/>
            </w:pPr>
            <w:r>
              <w:t>100%</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军队退役人员满意度</w:t>
            </w:r>
          </w:p>
        </w:tc>
        <w:tc>
          <w:tcPr>
            <w:tcW w:w="2835" w:type="dxa"/>
            <w:vAlign w:val="center"/>
          </w:tcPr>
          <w:p>
            <w:pPr>
              <w:pStyle w:val="12"/>
            </w:pPr>
            <w:r>
              <w:t>军队退役人员满意度</w:t>
            </w:r>
          </w:p>
        </w:tc>
        <w:tc>
          <w:tcPr>
            <w:tcW w:w="2551" w:type="dxa"/>
            <w:vAlign w:val="center"/>
          </w:tcPr>
          <w:p>
            <w:pPr>
              <w:pStyle w:val="12"/>
            </w:pPr>
            <w:r>
              <w:t>100%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4、融媒体中心场地租赁费绩效目标表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1.通过租用融媒体中心办公场所，保障人员正常办公，电视、电台、新媒体宣传报道和电视机房正常运转。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租用场地面积</w:t>
            </w:r>
          </w:p>
        </w:tc>
        <w:tc>
          <w:tcPr>
            <w:tcW w:w="2835" w:type="dxa"/>
            <w:vAlign w:val="center"/>
          </w:tcPr>
          <w:p>
            <w:pPr>
              <w:pStyle w:val="12"/>
            </w:pPr>
            <w:r>
              <w:t>租用场地面积</w:t>
            </w:r>
          </w:p>
        </w:tc>
        <w:tc>
          <w:tcPr>
            <w:tcW w:w="2551" w:type="dxa"/>
            <w:vAlign w:val="center"/>
          </w:tcPr>
          <w:p>
            <w:pPr>
              <w:pStyle w:val="12"/>
            </w:pPr>
            <w:r>
              <w:t>≤5500平方米</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租用场地服务人次</w:t>
            </w:r>
          </w:p>
        </w:tc>
        <w:tc>
          <w:tcPr>
            <w:tcW w:w="2835" w:type="dxa"/>
            <w:vAlign w:val="center"/>
          </w:tcPr>
          <w:p>
            <w:pPr>
              <w:pStyle w:val="12"/>
            </w:pPr>
            <w:r>
              <w:t>租用场地服务人次</w:t>
            </w:r>
          </w:p>
        </w:tc>
        <w:tc>
          <w:tcPr>
            <w:tcW w:w="2551" w:type="dxa"/>
            <w:vAlign w:val="center"/>
          </w:tcPr>
          <w:p>
            <w:pPr>
              <w:pStyle w:val="12"/>
            </w:pPr>
            <w:r>
              <w:t>≥110人次</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租用费到位及时率</w:t>
            </w:r>
          </w:p>
        </w:tc>
        <w:tc>
          <w:tcPr>
            <w:tcW w:w="2835" w:type="dxa"/>
            <w:vAlign w:val="center"/>
          </w:tcPr>
          <w:p>
            <w:pPr>
              <w:pStyle w:val="12"/>
            </w:pPr>
            <w:r>
              <w:t>租用费到位及时率</w:t>
            </w:r>
          </w:p>
        </w:tc>
        <w:tc>
          <w:tcPr>
            <w:tcW w:w="2551" w:type="dxa"/>
            <w:vAlign w:val="center"/>
          </w:tcPr>
          <w:p>
            <w:pPr>
              <w:pStyle w:val="12"/>
            </w:pPr>
            <w:r>
              <w:t>≥95%</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租用办公场地所需经费</w:t>
            </w:r>
          </w:p>
        </w:tc>
        <w:tc>
          <w:tcPr>
            <w:tcW w:w="2835" w:type="dxa"/>
            <w:vAlign w:val="center"/>
          </w:tcPr>
          <w:p>
            <w:pPr>
              <w:pStyle w:val="12"/>
            </w:pPr>
            <w:r>
              <w:t>租用办公场地所需经费</w:t>
            </w:r>
          </w:p>
        </w:tc>
        <w:tc>
          <w:tcPr>
            <w:tcW w:w="2551" w:type="dxa"/>
            <w:vAlign w:val="center"/>
          </w:tcPr>
          <w:p>
            <w:pPr>
              <w:pStyle w:val="12"/>
            </w:pPr>
            <w:r>
              <w:t>≤157万元/年</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每季度支付金额</w:t>
            </w:r>
          </w:p>
        </w:tc>
        <w:tc>
          <w:tcPr>
            <w:tcW w:w="2835" w:type="dxa"/>
            <w:vAlign w:val="center"/>
          </w:tcPr>
          <w:p>
            <w:pPr>
              <w:pStyle w:val="12"/>
            </w:pPr>
            <w:r>
              <w:t>每季度支付金额</w:t>
            </w:r>
          </w:p>
        </w:tc>
        <w:tc>
          <w:tcPr>
            <w:tcW w:w="2551" w:type="dxa"/>
            <w:vAlign w:val="center"/>
          </w:tcPr>
          <w:p>
            <w:pPr>
              <w:pStyle w:val="12"/>
            </w:pPr>
            <w:r>
              <w:t>≤39.25万元/季度</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持续保障能力</w:t>
            </w:r>
          </w:p>
        </w:tc>
        <w:tc>
          <w:tcPr>
            <w:tcW w:w="2835" w:type="dxa"/>
            <w:vAlign w:val="center"/>
          </w:tcPr>
          <w:p>
            <w:pPr>
              <w:pStyle w:val="12"/>
            </w:pPr>
            <w:r>
              <w:t>持续保障能力</w:t>
            </w:r>
          </w:p>
        </w:tc>
        <w:tc>
          <w:tcPr>
            <w:tcW w:w="2551" w:type="dxa"/>
            <w:vAlign w:val="center"/>
          </w:tcPr>
          <w:p>
            <w:pPr>
              <w:pStyle w:val="12"/>
            </w:pPr>
            <w:r>
              <w:t>长期使用</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2835" w:type="dxa"/>
            <w:vAlign w:val="center"/>
          </w:tcPr>
          <w:p>
            <w:pPr>
              <w:pStyle w:val="12"/>
            </w:pPr>
            <w:r>
              <w:t>使用人员满意度</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5、融媒体专项业务经费绩效目标表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1.通过对100台专业设备维护、设备更新购置、派遣人员薪酬考核、承办各种活动等资金保障，提高设备运转效率和劳务派遣人员工作积极性，保障融媒体中心正常运转。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保障中心专业设备数</w:t>
            </w:r>
          </w:p>
        </w:tc>
        <w:tc>
          <w:tcPr>
            <w:tcW w:w="2835" w:type="dxa"/>
            <w:vAlign w:val="center"/>
          </w:tcPr>
          <w:p>
            <w:pPr>
              <w:pStyle w:val="12"/>
            </w:pPr>
            <w:r>
              <w:t>保障中心专业设备数</w:t>
            </w:r>
          </w:p>
        </w:tc>
        <w:tc>
          <w:tcPr>
            <w:tcW w:w="2551" w:type="dxa"/>
            <w:vAlign w:val="center"/>
          </w:tcPr>
          <w:p>
            <w:pPr>
              <w:pStyle w:val="12"/>
            </w:pPr>
            <w:r>
              <w:t>≥100台</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参与绩效考核劳务派遣人数</w:t>
            </w:r>
          </w:p>
        </w:tc>
        <w:tc>
          <w:tcPr>
            <w:tcW w:w="2835" w:type="dxa"/>
            <w:vAlign w:val="center"/>
          </w:tcPr>
          <w:p>
            <w:pPr>
              <w:pStyle w:val="12"/>
            </w:pPr>
            <w:r>
              <w:t>参与绩效考核劳务派遣人数</w:t>
            </w:r>
          </w:p>
        </w:tc>
        <w:tc>
          <w:tcPr>
            <w:tcW w:w="2551" w:type="dxa"/>
            <w:vAlign w:val="center"/>
          </w:tcPr>
          <w:p>
            <w:pPr>
              <w:pStyle w:val="12"/>
            </w:pPr>
            <w:r>
              <w:t>≤40人</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设备正常运转率</w:t>
            </w:r>
          </w:p>
        </w:tc>
        <w:tc>
          <w:tcPr>
            <w:tcW w:w="2835" w:type="dxa"/>
            <w:vAlign w:val="center"/>
          </w:tcPr>
          <w:p>
            <w:pPr>
              <w:pStyle w:val="12"/>
            </w:pPr>
            <w:r>
              <w:t>设备正常运转率</w:t>
            </w:r>
          </w:p>
        </w:tc>
        <w:tc>
          <w:tcPr>
            <w:tcW w:w="2551" w:type="dxa"/>
            <w:vAlign w:val="center"/>
          </w:tcPr>
          <w:p>
            <w:pPr>
              <w:pStyle w:val="12"/>
            </w:pPr>
            <w:r>
              <w:t>≥98%</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设备维修及时率</w:t>
            </w:r>
          </w:p>
        </w:tc>
        <w:tc>
          <w:tcPr>
            <w:tcW w:w="2835" w:type="dxa"/>
            <w:vAlign w:val="center"/>
          </w:tcPr>
          <w:p>
            <w:pPr>
              <w:pStyle w:val="12"/>
            </w:pPr>
            <w:r>
              <w:t>设备维修及时率</w:t>
            </w:r>
          </w:p>
        </w:tc>
        <w:tc>
          <w:tcPr>
            <w:tcW w:w="2551" w:type="dxa"/>
            <w:vAlign w:val="center"/>
          </w:tcPr>
          <w:p>
            <w:pPr>
              <w:pStyle w:val="12"/>
            </w:pPr>
            <w:r>
              <w:t>≥95%</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专业设备单位购置成本</w:t>
            </w:r>
          </w:p>
        </w:tc>
        <w:tc>
          <w:tcPr>
            <w:tcW w:w="2835" w:type="dxa"/>
            <w:vAlign w:val="center"/>
          </w:tcPr>
          <w:p>
            <w:pPr>
              <w:pStyle w:val="12"/>
            </w:pPr>
            <w:r>
              <w:t>每套设备购置成本</w:t>
            </w:r>
          </w:p>
        </w:tc>
        <w:tc>
          <w:tcPr>
            <w:tcW w:w="2551" w:type="dxa"/>
            <w:vAlign w:val="center"/>
          </w:tcPr>
          <w:p>
            <w:pPr>
              <w:pStyle w:val="12"/>
            </w:pPr>
            <w:r>
              <w:t>≤50万元</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设备正常使用的可持续性</w:t>
            </w:r>
          </w:p>
        </w:tc>
        <w:tc>
          <w:tcPr>
            <w:tcW w:w="2835" w:type="dxa"/>
            <w:vAlign w:val="center"/>
          </w:tcPr>
          <w:p>
            <w:pPr>
              <w:pStyle w:val="12"/>
            </w:pPr>
            <w:r>
              <w:t>设备正常使用的可持续性</w:t>
            </w:r>
          </w:p>
        </w:tc>
        <w:tc>
          <w:tcPr>
            <w:tcW w:w="2551" w:type="dxa"/>
            <w:vAlign w:val="center"/>
          </w:tcPr>
          <w:p>
            <w:pPr>
              <w:pStyle w:val="12"/>
            </w:pPr>
            <w:r>
              <w:t>长期可持续</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设备使用人满意度</w:t>
            </w:r>
          </w:p>
        </w:tc>
        <w:tc>
          <w:tcPr>
            <w:tcW w:w="2835" w:type="dxa"/>
            <w:vAlign w:val="center"/>
          </w:tcPr>
          <w:p>
            <w:pPr>
              <w:pStyle w:val="12"/>
            </w:pPr>
            <w:r>
              <w:t>设备使用人满意度</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6、省级地面电视传输设施设备运行维护绩效目标表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1.通过对省级地面电视传输设施设备运行维护，改善公共文化服务设施条件，促进基本公共文化服务标准化、均等化。</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台站运行补贴数量</w:t>
            </w:r>
          </w:p>
        </w:tc>
        <w:tc>
          <w:tcPr>
            <w:tcW w:w="2835" w:type="dxa"/>
            <w:vAlign w:val="center"/>
          </w:tcPr>
          <w:p>
            <w:pPr>
              <w:pStyle w:val="12"/>
            </w:pPr>
            <w:r>
              <w:t>台站运行补贴数量</w:t>
            </w:r>
          </w:p>
        </w:tc>
        <w:tc>
          <w:tcPr>
            <w:tcW w:w="2551" w:type="dxa"/>
            <w:vAlign w:val="center"/>
          </w:tcPr>
          <w:p>
            <w:pPr>
              <w:pStyle w:val="12"/>
            </w:pPr>
            <w:r>
              <w:t>1个</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台站运行正常率</w:t>
            </w:r>
          </w:p>
        </w:tc>
        <w:tc>
          <w:tcPr>
            <w:tcW w:w="2835" w:type="dxa"/>
            <w:vAlign w:val="center"/>
          </w:tcPr>
          <w:p>
            <w:pPr>
              <w:pStyle w:val="12"/>
            </w:pPr>
            <w:r>
              <w:t>台站运行正常率</w:t>
            </w:r>
          </w:p>
        </w:tc>
        <w:tc>
          <w:tcPr>
            <w:tcW w:w="2551" w:type="dxa"/>
            <w:vAlign w:val="center"/>
          </w:tcPr>
          <w:p>
            <w:pPr>
              <w:pStyle w:val="12"/>
            </w:pPr>
            <w:r>
              <w:t>≥95%</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台站运行维护及时率</w:t>
            </w:r>
          </w:p>
        </w:tc>
        <w:tc>
          <w:tcPr>
            <w:tcW w:w="2835" w:type="dxa"/>
            <w:vAlign w:val="center"/>
          </w:tcPr>
          <w:p>
            <w:pPr>
              <w:pStyle w:val="12"/>
            </w:pPr>
            <w:r>
              <w:t>台站运行维护及时率</w:t>
            </w:r>
          </w:p>
        </w:tc>
        <w:tc>
          <w:tcPr>
            <w:tcW w:w="2551" w:type="dxa"/>
            <w:vAlign w:val="center"/>
          </w:tcPr>
          <w:p>
            <w:pPr>
              <w:pStyle w:val="12"/>
            </w:pPr>
            <w:r>
              <w:t>≥95%</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地面电视传输设备运行维护成本</w:t>
            </w:r>
          </w:p>
        </w:tc>
        <w:tc>
          <w:tcPr>
            <w:tcW w:w="2835" w:type="dxa"/>
            <w:vAlign w:val="center"/>
          </w:tcPr>
          <w:p>
            <w:pPr>
              <w:pStyle w:val="12"/>
            </w:pPr>
            <w:r>
              <w:t>地面电视传输设备运行维护成本</w:t>
            </w:r>
          </w:p>
        </w:tc>
        <w:tc>
          <w:tcPr>
            <w:tcW w:w="2551" w:type="dxa"/>
            <w:vAlign w:val="center"/>
          </w:tcPr>
          <w:p>
            <w:pPr>
              <w:pStyle w:val="12"/>
            </w:pPr>
            <w:r>
              <w:t>≤12万元</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地面电视覆盖率</w:t>
            </w:r>
          </w:p>
        </w:tc>
        <w:tc>
          <w:tcPr>
            <w:tcW w:w="2835" w:type="dxa"/>
            <w:vAlign w:val="center"/>
          </w:tcPr>
          <w:p>
            <w:pPr>
              <w:pStyle w:val="12"/>
            </w:pPr>
            <w:r>
              <w:t>地面电视覆盖率</w:t>
            </w:r>
          </w:p>
        </w:tc>
        <w:tc>
          <w:tcPr>
            <w:tcW w:w="2551" w:type="dxa"/>
            <w:vAlign w:val="center"/>
          </w:tcPr>
          <w:p>
            <w:pPr>
              <w:pStyle w:val="12"/>
            </w:pPr>
            <w:r>
              <w:t>≥95%</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地面电视节目台站长期使用性</w:t>
            </w:r>
          </w:p>
        </w:tc>
        <w:tc>
          <w:tcPr>
            <w:tcW w:w="2835" w:type="dxa"/>
            <w:vAlign w:val="center"/>
          </w:tcPr>
          <w:p>
            <w:pPr>
              <w:pStyle w:val="12"/>
            </w:pPr>
            <w:r>
              <w:t>地面电视节目台站长期使用性</w:t>
            </w:r>
          </w:p>
        </w:tc>
        <w:tc>
          <w:tcPr>
            <w:tcW w:w="2551" w:type="dxa"/>
            <w:vAlign w:val="center"/>
          </w:tcPr>
          <w:p>
            <w:pPr>
              <w:pStyle w:val="12"/>
            </w:pPr>
            <w:r>
              <w:t>长期使用</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群众对公共文化服务满意度</w:t>
            </w:r>
          </w:p>
        </w:tc>
        <w:tc>
          <w:tcPr>
            <w:tcW w:w="2835" w:type="dxa"/>
            <w:vAlign w:val="center"/>
          </w:tcPr>
          <w:p>
            <w:pPr>
              <w:pStyle w:val="12"/>
            </w:pPr>
            <w:r>
              <w:t>群众对公共文化服务满意度</w:t>
            </w:r>
          </w:p>
        </w:tc>
        <w:tc>
          <w:tcPr>
            <w:tcW w:w="2551" w:type="dxa"/>
            <w:vAlign w:val="center"/>
          </w:tcPr>
          <w:p>
            <w:pPr>
              <w:pStyle w:val="12"/>
            </w:pPr>
            <w:r>
              <w:t>≥90%</w:t>
            </w:r>
          </w:p>
        </w:tc>
        <w:tc>
          <w:tcPr>
            <w:tcW w:w="2268" w:type="dxa"/>
            <w:vAlign w:val="center"/>
          </w:tcPr>
          <w:p>
            <w:pPr>
              <w:pStyle w:val="12"/>
            </w:pPr>
            <w:r>
              <w:t>工作标准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7、演播厅装修费绩效目标表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1.通过新演播厅的场地改造和设备购置，提升演播厅灯光、扩声、舞台机械等使用水平，增强鹿泉宣传美誉度。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新演播厅数量</w:t>
            </w:r>
          </w:p>
        </w:tc>
        <w:tc>
          <w:tcPr>
            <w:tcW w:w="2835" w:type="dxa"/>
            <w:vAlign w:val="center"/>
          </w:tcPr>
          <w:p>
            <w:pPr>
              <w:pStyle w:val="12"/>
            </w:pPr>
            <w:r>
              <w:t>新演播厅数量</w:t>
            </w:r>
          </w:p>
        </w:tc>
        <w:tc>
          <w:tcPr>
            <w:tcW w:w="2551" w:type="dxa"/>
            <w:vAlign w:val="center"/>
          </w:tcPr>
          <w:p>
            <w:pPr>
              <w:pStyle w:val="12"/>
            </w:pPr>
            <w:r>
              <w:t>1个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新演播厅建筑面积</w:t>
            </w:r>
          </w:p>
        </w:tc>
        <w:tc>
          <w:tcPr>
            <w:tcW w:w="2835" w:type="dxa"/>
            <w:vAlign w:val="center"/>
          </w:tcPr>
          <w:p>
            <w:pPr>
              <w:pStyle w:val="12"/>
            </w:pPr>
            <w:r>
              <w:t>新演播厅建筑面积</w:t>
            </w:r>
          </w:p>
        </w:tc>
        <w:tc>
          <w:tcPr>
            <w:tcW w:w="2551" w:type="dxa"/>
            <w:vAlign w:val="center"/>
          </w:tcPr>
          <w:p>
            <w:pPr>
              <w:pStyle w:val="12"/>
            </w:pPr>
            <w:r>
              <w:t>1645.22平方米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新演播厅建设完成率</w:t>
            </w:r>
          </w:p>
        </w:tc>
        <w:tc>
          <w:tcPr>
            <w:tcW w:w="2835" w:type="dxa"/>
            <w:vAlign w:val="center"/>
          </w:tcPr>
          <w:p>
            <w:pPr>
              <w:pStyle w:val="12"/>
            </w:pPr>
            <w:r>
              <w:t>新演播厅建设完成率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工期完工时间</w:t>
            </w:r>
          </w:p>
        </w:tc>
        <w:tc>
          <w:tcPr>
            <w:tcW w:w="2835" w:type="dxa"/>
            <w:vAlign w:val="center"/>
          </w:tcPr>
          <w:p>
            <w:pPr>
              <w:pStyle w:val="12"/>
            </w:pPr>
            <w:r>
              <w:t>工期完工时间</w:t>
            </w:r>
          </w:p>
        </w:tc>
        <w:tc>
          <w:tcPr>
            <w:tcW w:w="2551" w:type="dxa"/>
            <w:vAlign w:val="center"/>
          </w:tcPr>
          <w:p>
            <w:pPr>
              <w:pStyle w:val="12"/>
            </w:pPr>
            <w:r>
              <w:t>1年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新演播厅改造成本</w:t>
            </w:r>
          </w:p>
        </w:tc>
        <w:tc>
          <w:tcPr>
            <w:tcW w:w="2835" w:type="dxa"/>
            <w:vAlign w:val="center"/>
          </w:tcPr>
          <w:p>
            <w:pPr>
              <w:pStyle w:val="12"/>
            </w:pPr>
            <w:r>
              <w:t>新演播厅改造成本</w:t>
            </w:r>
          </w:p>
        </w:tc>
        <w:tc>
          <w:tcPr>
            <w:tcW w:w="2551" w:type="dxa"/>
            <w:vAlign w:val="center"/>
          </w:tcPr>
          <w:p>
            <w:pPr>
              <w:pStyle w:val="12"/>
            </w:pPr>
            <w:r>
              <w:t>≤40万元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新演播厅设备采购安装成本</w:t>
            </w:r>
          </w:p>
        </w:tc>
        <w:tc>
          <w:tcPr>
            <w:tcW w:w="2835" w:type="dxa"/>
            <w:vAlign w:val="center"/>
          </w:tcPr>
          <w:p>
            <w:pPr>
              <w:pStyle w:val="12"/>
            </w:pPr>
            <w:r>
              <w:t>新演播厅设备采购安装成本</w:t>
            </w:r>
          </w:p>
        </w:tc>
        <w:tc>
          <w:tcPr>
            <w:tcW w:w="2551" w:type="dxa"/>
            <w:vAlign w:val="center"/>
          </w:tcPr>
          <w:p>
            <w:pPr>
              <w:pStyle w:val="12"/>
            </w:pPr>
            <w:r>
              <w:t>≤40万元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新演播厅长期使用性</w:t>
            </w:r>
          </w:p>
        </w:tc>
        <w:tc>
          <w:tcPr>
            <w:tcW w:w="2835" w:type="dxa"/>
            <w:vAlign w:val="center"/>
          </w:tcPr>
          <w:p>
            <w:pPr>
              <w:pStyle w:val="12"/>
            </w:pPr>
            <w:r>
              <w:t>新演播厅长期使用性</w:t>
            </w:r>
          </w:p>
        </w:tc>
        <w:tc>
          <w:tcPr>
            <w:tcW w:w="2551" w:type="dxa"/>
            <w:vAlign w:val="center"/>
          </w:tcPr>
          <w:p>
            <w:pPr>
              <w:pStyle w:val="12"/>
            </w:pPr>
            <w:r>
              <w:t>长期使用</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2835" w:type="dxa"/>
            <w:vAlign w:val="center"/>
          </w:tcPr>
          <w:p>
            <w:pPr>
              <w:pStyle w:val="12"/>
            </w:pPr>
            <w:r>
              <w:t>使用人员满意度</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8、原乡镇机线员生活补贴绩效目标表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1.通过对8名原公社广播站机线员发放生活补贴，缓解机线员生活困难，提高机线员生活水平。</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机线员生活补贴人数</w:t>
            </w:r>
          </w:p>
        </w:tc>
        <w:tc>
          <w:tcPr>
            <w:tcW w:w="2835" w:type="dxa"/>
            <w:vAlign w:val="center"/>
          </w:tcPr>
          <w:p>
            <w:pPr>
              <w:pStyle w:val="12"/>
            </w:pPr>
            <w:r>
              <w:t>机线员生活补贴人数</w:t>
            </w:r>
          </w:p>
        </w:tc>
        <w:tc>
          <w:tcPr>
            <w:tcW w:w="2551" w:type="dxa"/>
            <w:vAlign w:val="center"/>
          </w:tcPr>
          <w:p>
            <w:pPr>
              <w:pStyle w:val="12"/>
            </w:pPr>
            <w:r>
              <w:t>8人</w:t>
            </w:r>
          </w:p>
        </w:tc>
        <w:tc>
          <w:tcPr>
            <w:tcW w:w="2268" w:type="dxa"/>
            <w:vAlign w:val="center"/>
          </w:tcPr>
          <w:p>
            <w:pPr>
              <w:pStyle w:val="12"/>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机线员生活补贴覆盖率</w:t>
            </w:r>
          </w:p>
        </w:tc>
        <w:tc>
          <w:tcPr>
            <w:tcW w:w="2835" w:type="dxa"/>
            <w:vAlign w:val="center"/>
          </w:tcPr>
          <w:p>
            <w:pPr>
              <w:pStyle w:val="12"/>
            </w:pPr>
            <w:r>
              <w:t>机线员生活补贴覆盖率</w:t>
            </w:r>
          </w:p>
        </w:tc>
        <w:tc>
          <w:tcPr>
            <w:tcW w:w="2551" w:type="dxa"/>
            <w:vAlign w:val="center"/>
          </w:tcPr>
          <w:p>
            <w:pPr>
              <w:pStyle w:val="12"/>
            </w:pPr>
            <w:r>
              <w:t>100%</w:t>
            </w:r>
          </w:p>
        </w:tc>
        <w:tc>
          <w:tcPr>
            <w:tcW w:w="2268" w:type="dxa"/>
            <w:vAlign w:val="center"/>
          </w:tcPr>
          <w:p>
            <w:pPr>
              <w:pStyle w:val="12"/>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机线员生活补贴发放时间</w:t>
            </w:r>
          </w:p>
        </w:tc>
        <w:tc>
          <w:tcPr>
            <w:tcW w:w="2835" w:type="dxa"/>
            <w:vAlign w:val="center"/>
          </w:tcPr>
          <w:p>
            <w:pPr>
              <w:pStyle w:val="12"/>
            </w:pPr>
            <w:r>
              <w:t>机线员生活补贴发放时间</w:t>
            </w:r>
          </w:p>
        </w:tc>
        <w:tc>
          <w:tcPr>
            <w:tcW w:w="2551" w:type="dxa"/>
            <w:vAlign w:val="center"/>
          </w:tcPr>
          <w:p>
            <w:pPr>
              <w:pStyle w:val="12"/>
            </w:pPr>
            <w:r>
              <w:t>按规定时间及时发放</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机线员人均补贴标准</w:t>
            </w:r>
          </w:p>
        </w:tc>
        <w:tc>
          <w:tcPr>
            <w:tcW w:w="2835" w:type="dxa"/>
            <w:vAlign w:val="center"/>
          </w:tcPr>
          <w:p>
            <w:pPr>
              <w:pStyle w:val="12"/>
            </w:pPr>
            <w:r>
              <w:t>机线员人均补贴标准</w:t>
            </w:r>
          </w:p>
        </w:tc>
        <w:tc>
          <w:tcPr>
            <w:tcW w:w="2551" w:type="dxa"/>
            <w:vAlign w:val="center"/>
          </w:tcPr>
          <w:p>
            <w:pPr>
              <w:pStyle w:val="12"/>
            </w:pPr>
            <w:r>
              <w:t>320元/人</w:t>
            </w:r>
          </w:p>
        </w:tc>
        <w:tc>
          <w:tcPr>
            <w:tcW w:w="2268" w:type="dxa"/>
            <w:vAlign w:val="center"/>
          </w:tcPr>
          <w:p>
            <w:pPr>
              <w:pStyle w:val="12"/>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受补贴人员生活水平提高程度</w:t>
            </w:r>
          </w:p>
        </w:tc>
        <w:tc>
          <w:tcPr>
            <w:tcW w:w="2835" w:type="dxa"/>
            <w:vAlign w:val="center"/>
          </w:tcPr>
          <w:p>
            <w:pPr>
              <w:pStyle w:val="12"/>
            </w:pPr>
            <w:r>
              <w:t>受补贴人员生活水平提高程度</w:t>
            </w:r>
          </w:p>
        </w:tc>
        <w:tc>
          <w:tcPr>
            <w:tcW w:w="2551" w:type="dxa"/>
            <w:vAlign w:val="center"/>
          </w:tcPr>
          <w:p>
            <w:pPr>
              <w:pStyle w:val="12"/>
            </w:pPr>
            <w:r>
              <w:t>生活水平提高</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补贴资金落实情况</w:t>
            </w:r>
          </w:p>
        </w:tc>
        <w:tc>
          <w:tcPr>
            <w:tcW w:w="2835" w:type="dxa"/>
            <w:vAlign w:val="center"/>
          </w:tcPr>
          <w:p>
            <w:pPr>
              <w:pStyle w:val="12"/>
            </w:pPr>
            <w:r>
              <w:t>补贴资金落实情况</w:t>
            </w:r>
          </w:p>
        </w:tc>
        <w:tc>
          <w:tcPr>
            <w:tcW w:w="2551" w:type="dxa"/>
            <w:vAlign w:val="center"/>
          </w:tcPr>
          <w:p>
            <w:pPr>
              <w:pStyle w:val="12"/>
            </w:pPr>
            <w:r>
              <w:t>100%</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被补贴人员满意度</w:t>
            </w:r>
          </w:p>
        </w:tc>
        <w:tc>
          <w:tcPr>
            <w:tcW w:w="2835" w:type="dxa"/>
            <w:vAlign w:val="center"/>
          </w:tcPr>
          <w:p>
            <w:pPr>
              <w:pStyle w:val="12"/>
            </w:pPr>
            <w:r>
              <w:t>被补贴人员满意度</w:t>
            </w:r>
          </w:p>
        </w:tc>
        <w:tc>
          <w:tcPr>
            <w:tcW w:w="2551" w:type="dxa"/>
            <w:vAlign w:val="center"/>
          </w:tcPr>
          <w:p>
            <w:pPr>
              <w:pStyle w:val="12"/>
            </w:pPr>
            <w:r>
              <w:t>≥95%</w:t>
            </w:r>
          </w:p>
        </w:tc>
        <w:tc>
          <w:tcPr>
            <w:tcW w:w="2268" w:type="dxa"/>
            <w:vAlign w:val="center"/>
          </w:tcPr>
          <w:p>
            <w:pPr>
              <w:pStyle w:val="12"/>
            </w:pPr>
            <w:r>
              <w:t>工作标准</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2023年，石家庄市鹿泉区融媒体中心安排政府采购预算8</w:t>
      </w:r>
      <w:r>
        <w:rPr>
          <w:rFonts w:hint="eastAsia" w:eastAsia="方正仿宋_GBK"/>
          <w:color w:val="000000"/>
          <w:sz w:val="28"/>
          <w:lang w:val="en-US" w:eastAsia="zh-CN"/>
        </w:rPr>
        <w:t>2</w:t>
      </w:r>
      <w:r>
        <w:rPr>
          <w:rFonts w:eastAsia="方正仿宋_GBK"/>
          <w:color w:val="000000"/>
          <w:sz w:val="28"/>
        </w:rPr>
        <w:t>万元。具体内容见下表。</w:t>
      </w:r>
    </w:p>
    <w:p>
      <w:pPr>
        <w:jc w:val="center"/>
      </w:pPr>
      <w:r>
        <w:rPr>
          <w:rFonts w:ascii="方正小标宋_GBK" w:hAnsi="方正小标宋_GBK" w:eastAsia="方正小标宋_GBK" w:cs="方正小标宋_GBK"/>
          <w:color w:val="000000"/>
          <w:sz w:val="36"/>
        </w:rPr>
        <w:t>部门政府采购预算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654"/>
        <w:gridCol w:w="1200"/>
        <w:gridCol w:w="660"/>
        <w:gridCol w:w="510"/>
        <w:gridCol w:w="855"/>
        <w:gridCol w:w="960"/>
        <w:gridCol w:w="1155"/>
        <w:gridCol w:w="575"/>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544" w:type="dxa"/>
            <w:gridSpan w:val="7"/>
            <w:tcBorders>
              <w:top w:val="single" w:color="FFFFFF" w:sz="6" w:space="0"/>
              <w:left w:val="single" w:color="FFFFFF" w:sz="6" w:space="0"/>
              <w:right w:val="single" w:color="FFFFFF" w:sz="6" w:space="0"/>
            </w:tcBorders>
            <w:vAlign w:val="center"/>
          </w:tcPr>
          <w:p>
            <w:pPr>
              <w:pStyle w:val="9"/>
            </w:pPr>
            <w:r>
              <w:t>359石家庄市鹿泉区融媒体中心</w:t>
            </w:r>
          </w:p>
        </w:tc>
        <w:tc>
          <w:tcPr>
            <w:tcW w:w="84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654" w:type="dxa"/>
            <w:vMerge w:val="restart"/>
            <w:vAlign w:val="center"/>
          </w:tcPr>
          <w:p>
            <w:pPr>
              <w:pStyle w:val="10"/>
            </w:pPr>
            <w:r>
              <w:t>采购物品名称</w:t>
            </w:r>
          </w:p>
        </w:tc>
        <w:tc>
          <w:tcPr>
            <w:tcW w:w="1200" w:type="dxa"/>
            <w:vMerge w:val="restart"/>
            <w:vAlign w:val="center"/>
          </w:tcPr>
          <w:p>
            <w:pPr>
              <w:pStyle w:val="10"/>
            </w:pPr>
            <w:r>
              <w:t>政府采购目录序号</w:t>
            </w:r>
          </w:p>
        </w:tc>
        <w:tc>
          <w:tcPr>
            <w:tcW w:w="660" w:type="dxa"/>
            <w:vMerge w:val="restart"/>
            <w:vAlign w:val="center"/>
          </w:tcPr>
          <w:p>
            <w:pPr>
              <w:pStyle w:val="10"/>
            </w:pPr>
            <w:r>
              <w:t>计量  单位</w:t>
            </w:r>
          </w:p>
        </w:tc>
        <w:tc>
          <w:tcPr>
            <w:tcW w:w="510" w:type="dxa"/>
            <w:vMerge w:val="restart"/>
            <w:vAlign w:val="center"/>
          </w:tcPr>
          <w:p>
            <w:pPr>
              <w:pStyle w:val="10"/>
            </w:pPr>
            <w:r>
              <w:t>数量</w:t>
            </w:r>
          </w:p>
        </w:tc>
        <w:tc>
          <w:tcPr>
            <w:tcW w:w="855" w:type="dxa"/>
            <w:vMerge w:val="restart"/>
            <w:vAlign w:val="center"/>
          </w:tcPr>
          <w:p>
            <w:pPr>
              <w:pStyle w:val="10"/>
            </w:pPr>
            <w:r>
              <w:t>单价</w:t>
            </w:r>
          </w:p>
        </w:tc>
        <w:tc>
          <w:tcPr>
            <w:tcW w:w="7510" w:type="dxa"/>
            <w:gridSpan w:val="8"/>
            <w:vAlign w:val="center"/>
          </w:tcPr>
          <w:p>
            <w:pPr>
              <w:pStyle w:val="10"/>
            </w:pPr>
            <w:r>
              <w:t>政府采购金额（当年部门预算安排资金）</w:t>
            </w:r>
          </w:p>
        </w:tc>
        <w:tc>
          <w:tcPr>
            <w:tcW w:w="96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654" w:type="dxa"/>
            <w:vMerge w:val="continue"/>
          </w:tcPr>
          <w:p/>
        </w:tc>
        <w:tc>
          <w:tcPr>
            <w:tcW w:w="1200" w:type="dxa"/>
            <w:vMerge w:val="continue"/>
          </w:tcPr>
          <w:p/>
        </w:tc>
        <w:tc>
          <w:tcPr>
            <w:tcW w:w="660" w:type="dxa"/>
            <w:vMerge w:val="continue"/>
          </w:tcPr>
          <w:p/>
        </w:tc>
        <w:tc>
          <w:tcPr>
            <w:tcW w:w="510" w:type="dxa"/>
            <w:vMerge w:val="continue"/>
          </w:tcPr>
          <w:p/>
        </w:tc>
        <w:tc>
          <w:tcPr>
            <w:tcW w:w="855" w:type="dxa"/>
            <w:vMerge w:val="continue"/>
          </w:tcPr>
          <w:p/>
        </w:tc>
        <w:tc>
          <w:tcPr>
            <w:tcW w:w="960" w:type="dxa"/>
            <w:vAlign w:val="center"/>
          </w:tcPr>
          <w:p>
            <w:pPr>
              <w:pStyle w:val="10"/>
            </w:pPr>
            <w:r>
              <w:t>合计</w:t>
            </w:r>
          </w:p>
        </w:tc>
        <w:tc>
          <w:tcPr>
            <w:tcW w:w="1155" w:type="dxa"/>
            <w:vAlign w:val="center"/>
          </w:tcPr>
          <w:p>
            <w:pPr>
              <w:pStyle w:val="10"/>
            </w:pPr>
            <w:r>
              <w:t>一般公共预算拨款</w:t>
            </w:r>
          </w:p>
        </w:tc>
        <w:tc>
          <w:tcPr>
            <w:tcW w:w="575"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rPr>
                <w:rFonts w:ascii="方正书宋_GBK" w:hAnsi="方正书宋_GBK" w:eastAsia="方正书宋_GBK" w:cs="方正书宋_GBK"/>
                <w:b/>
                <w:sz w:val="21"/>
                <w:szCs w:val="24"/>
                <w:lang w:val="en-US" w:eastAsia="uk-UA" w:bidi="ar-SA"/>
              </w:rPr>
            </w:pPr>
            <w:r>
              <w:t>合  计</w:t>
            </w:r>
          </w:p>
        </w:tc>
        <w:tc>
          <w:tcPr>
            <w:tcW w:w="964" w:type="dxa"/>
            <w:vAlign w:val="center"/>
          </w:tcPr>
          <w:p>
            <w:pPr>
              <w:pStyle w:val="15"/>
              <w:rPr>
                <w:rFonts w:ascii="方正书宋_GBK" w:hAnsi="方正书宋_GBK" w:eastAsia="方正书宋_GBK" w:cs="方正书宋_GBK"/>
                <w:b/>
                <w:sz w:val="21"/>
                <w:szCs w:val="24"/>
                <w:lang w:val="en-US" w:eastAsia="uk-UA" w:bidi="ar-SA"/>
              </w:rPr>
            </w:pPr>
          </w:p>
        </w:tc>
        <w:tc>
          <w:tcPr>
            <w:tcW w:w="1654" w:type="dxa"/>
            <w:vAlign w:val="center"/>
          </w:tcPr>
          <w:p>
            <w:pPr>
              <w:pStyle w:val="16"/>
              <w:rPr>
                <w:rFonts w:ascii="方正书宋_GBK" w:hAnsi="方正书宋_GBK" w:eastAsia="方正书宋_GBK" w:cs="方正书宋_GBK"/>
                <w:b/>
                <w:sz w:val="21"/>
                <w:szCs w:val="24"/>
                <w:lang w:val="en-US" w:eastAsia="uk-UA" w:bidi="ar-SA"/>
              </w:rPr>
            </w:pPr>
          </w:p>
        </w:tc>
        <w:tc>
          <w:tcPr>
            <w:tcW w:w="1200" w:type="dxa"/>
            <w:vAlign w:val="center"/>
          </w:tcPr>
          <w:p>
            <w:pPr>
              <w:pStyle w:val="16"/>
              <w:rPr>
                <w:rFonts w:ascii="方正书宋_GBK" w:hAnsi="方正书宋_GBK" w:eastAsia="方正书宋_GBK" w:cs="方正书宋_GBK"/>
                <w:b/>
                <w:sz w:val="21"/>
                <w:szCs w:val="24"/>
                <w:lang w:val="en-US" w:eastAsia="uk-UA" w:bidi="ar-SA"/>
              </w:rPr>
            </w:pPr>
          </w:p>
        </w:tc>
        <w:tc>
          <w:tcPr>
            <w:tcW w:w="660" w:type="dxa"/>
            <w:vAlign w:val="center"/>
          </w:tcPr>
          <w:p>
            <w:pPr>
              <w:pStyle w:val="14"/>
              <w:rPr>
                <w:rFonts w:ascii="方正书宋_GBK" w:hAnsi="方正书宋_GBK" w:eastAsia="方正书宋_GBK" w:cs="方正书宋_GBK"/>
                <w:b/>
                <w:sz w:val="21"/>
                <w:szCs w:val="24"/>
                <w:lang w:val="en-US" w:eastAsia="uk-UA" w:bidi="ar-SA"/>
              </w:rPr>
            </w:pPr>
          </w:p>
        </w:tc>
        <w:tc>
          <w:tcPr>
            <w:tcW w:w="510" w:type="dxa"/>
            <w:vAlign w:val="center"/>
          </w:tcPr>
          <w:p>
            <w:pPr>
              <w:pStyle w:val="15"/>
              <w:rPr>
                <w:rFonts w:ascii="方正书宋_GBK" w:hAnsi="方正书宋_GBK" w:eastAsia="方正书宋_GBK" w:cs="方正书宋_GBK"/>
                <w:b/>
                <w:sz w:val="21"/>
                <w:szCs w:val="24"/>
                <w:lang w:val="en-US" w:eastAsia="uk-UA" w:bidi="ar-SA"/>
              </w:rPr>
            </w:pPr>
          </w:p>
        </w:tc>
        <w:tc>
          <w:tcPr>
            <w:tcW w:w="855" w:type="dxa"/>
            <w:vAlign w:val="center"/>
          </w:tcPr>
          <w:p>
            <w:pPr>
              <w:pStyle w:val="15"/>
              <w:rPr>
                <w:rFonts w:ascii="方正书宋_GBK" w:hAnsi="方正书宋_GBK" w:eastAsia="方正书宋_GBK" w:cs="方正书宋_GBK"/>
                <w:b/>
                <w:sz w:val="21"/>
                <w:szCs w:val="24"/>
                <w:lang w:val="en-US" w:eastAsia="uk-UA" w:bidi="ar-SA"/>
              </w:rPr>
            </w:pPr>
          </w:p>
        </w:tc>
        <w:tc>
          <w:tcPr>
            <w:tcW w:w="960" w:type="dxa"/>
            <w:vAlign w:val="center"/>
          </w:tcPr>
          <w:p>
            <w:pPr>
              <w:pStyle w:val="15"/>
              <w:jc w:val="center"/>
              <w:rPr>
                <w:rFonts w:ascii="方正书宋_GBK" w:hAnsi="方正书宋_GBK" w:eastAsia="方正书宋_GBK" w:cs="方正书宋_GBK"/>
                <w:b/>
                <w:sz w:val="21"/>
                <w:szCs w:val="24"/>
                <w:lang w:val="en-US" w:eastAsia="uk-UA" w:bidi="ar-SA"/>
              </w:rPr>
            </w:pPr>
            <w:r>
              <w:rPr>
                <w:rFonts w:hint="eastAsia"/>
                <w:lang w:val="en-US" w:eastAsia="zh-CN"/>
              </w:rPr>
              <w:t>82.</w:t>
            </w:r>
            <w:r>
              <w:t>00</w:t>
            </w:r>
          </w:p>
        </w:tc>
        <w:tc>
          <w:tcPr>
            <w:tcW w:w="1155" w:type="dxa"/>
            <w:vAlign w:val="center"/>
          </w:tcPr>
          <w:p>
            <w:pPr>
              <w:pStyle w:val="15"/>
              <w:jc w:val="center"/>
              <w:rPr>
                <w:rFonts w:ascii="方正书宋_GBK" w:hAnsi="方正书宋_GBK" w:eastAsia="方正书宋_GBK" w:cs="方正书宋_GBK"/>
                <w:b/>
                <w:sz w:val="21"/>
                <w:szCs w:val="24"/>
                <w:lang w:val="en-US" w:eastAsia="uk-UA" w:bidi="ar-SA"/>
              </w:rPr>
            </w:pPr>
            <w:r>
              <w:rPr>
                <w:rFonts w:hint="eastAsia"/>
                <w:lang w:val="en-US" w:eastAsia="zh-CN"/>
              </w:rPr>
              <w:t>82.</w:t>
            </w:r>
            <w:r>
              <w:t>00</w:t>
            </w:r>
          </w:p>
        </w:tc>
        <w:tc>
          <w:tcPr>
            <w:tcW w:w="575" w:type="dxa"/>
            <w:vAlign w:val="center"/>
          </w:tcPr>
          <w:p>
            <w:pPr>
              <w:pStyle w:val="15"/>
              <w:rPr>
                <w:rFonts w:ascii="方正书宋_GBK" w:hAnsi="方正书宋_GBK" w:eastAsia="方正书宋_GBK" w:cs="方正书宋_GBK"/>
                <w:b/>
                <w:sz w:val="21"/>
                <w:szCs w:val="24"/>
                <w:lang w:val="en-US" w:eastAsia="uk-UA" w:bidi="ar-SA"/>
              </w:rPr>
            </w:pPr>
          </w:p>
        </w:tc>
        <w:tc>
          <w:tcPr>
            <w:tcW w:w="964" w:type="dxa"/>
            <w:vAlign w:val="center"/>
          </w:tcPr>
          <w:p>
            <w:pPr>
              <w:pStyle w:val="15"/>
              <w:rPr>
                <w:rFonts w:ascii="方正书宋_GBK" w:hAnsi="方正书宋_GBK" w:eastAsia="方正书宋_GBK" w:cs="方正书宋_GBK"/>
                <w:b/>
                <w:sz w:val="21"/>
                <w:szCs w:val="24"/>
                <w:lang w:val="en-US" w:eastAsia="uk-UA" w:bidi="ar-SA"/>
              </w:rPr>
            </w:pPr>
          </w:p>
        </w:tc>
        <w:tc>
          <w:tcPr>
            <w:tcW w:w="964" w:type="dxa"/>
            <w:vAlign w:val="center"/>
          </w:tcPr>
          <w:p>
            <w:pPr>
              <w:pStyle w:val="15"/>
              <w:rPr>
                <w:rFonts w:ascii="方正书宋_GBK" w:hAnsi="方正书宋_GBK" w:eastAsia="方正书宋_GBK" w:cs="方正书宋_GBK"/>
                <w:b/>
                <w:sz w:val="21"/>
                <w:szCs w:val="24"/>
                <w:lang w:val="en-US" w:eastAsia="uk-UA" w:bidi="ar-SA"/>
              </w:rPr>
            </w:pPr>
          </w:p>
        </w:tc>
        <w:tc>
          <w:tcPr>
            <w:tcW w:w="964" w:type="dxa"/>
            <w:vAlign w:val="center"/>
          </w:tcPr>
          <w:p>
            <w:pPr>
              <w:pStyle w:val="15"/>
              <w:rPr>
                <w:rFonts w:ascii="方正书宋_GBK" w:hAnsi="方正书宋_GBK" w:eastAsia="方正书宋_GBK" w:cs="方正书宋_GBK"/>
                <w:b/>
                <w:sz w:val="21"/>
                <w:szCs w:val="24"/>
                <w:lang w:val="en-US" w:eastAsia="uk-UA" w:bidi="ar-SA"/>
              </w:rPr>
            </w:pPr>
          </w:p>
        </w:tc>
        <w:tc>
          <w:tcPr>
            <w:tcW w:w="964" w:type="dxa"/>
            <w:vAlign w:val="center"/>
          </w:tcPr>
          <w:p>
            <w:pPr>
              <w:pStyle w:val="15"/>
              <w:rPr>
                <w:rFonts w:ascii="方正书宋_GBK" w:hAnsi="方正书宋_GBK" w:eastAsia="方正书宋_GBK" w:cs="方正书宋_GBK"/>
                <w:b/>
                <w:sz w:val="21"/>
                <w:szCs w:val="24"/>
                <w:lang w:val="en-US" w:eastAsia="uk-UA" w:bidi="ar-SA"/>
              </w:rPr>
            </w:pPr>
          </w:p>
        </w:tc>
        <w:tc>
          <w:tcPr>
            <w:tcW w:w="964" w:type="dxa"/>
            <w:vAlign w:val="center"/>
          </w:tcPr>
          <w:p>
            <w:pPr>
              <w:pStyle w:val="15"/>
              <w:rPr>
                <w:rFonts w:ascii="方正书宋_GBK" w:hAnsi="方正书宋_GBK" w:eastAsia="方正书宋_GBK" w:cs="方正书宋_GBK"/>
                <w:b/>
                <w:sz w:val="21"/>
                <w:szCs w:val="24"/>
                <w:lang w:val="en-US" w:eastAsia="uk-UA" w:bidi="ar-SA"/>
              </w:rPr>
            </w:pPr>
          </w:p>
        </w:tc>
        <w:tc>
          <w:tcPr>
            <w:tcW w:w="964" w:type="dxa"/>
            <w:vAlign w:val="center"/>
          </w:tcPr>
          <w:p>
            <w:pPr>
              <w:pStyle w:val="15"/>
              <w:rPr>
                <w:rFonts w:hint="default" w:ascii="方正书宋_GBK" w:hAnsi="方正书宋_GBK" w:eastAsia="方正书宋_GBK" w:cs="方正书宋_GBK"/>
                <w:b/>
                <w:sz w:val="21"/>
                <w:szCs w:val="24"/>
                <w:lang w:val="en-US" w:eastAsia="zh-CN" w:bidi="ar-SA"/>
              </w:rPr>
            </w:pPr>
            <w:r>
              <w:rPr>
                <w:rFonts w:hint="eastAsia"/>
                <w:lang w:val="en-US" w:eastAsia="zh-CN"/>
              </w:rP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rPr>
                <w:rFonts w:ascii="方正书宋_GBK" w:hAnsi="方正书宋_GBK" w:eastAsia="方正书宋_GBK" w:cs="方正书宋_GBK"/>
                <w:b/>
                <w:sz w:val="21"/>
                <w:szCs w:val="24"/>
                <w:lang w:val="en-US" w:eastAsia="uk-UA" w:bidi="ar-SA"/>
              </w:rPr>
            </w:pPr>
            <w:r>
              <w:t>石家庄市鹿泉区融媒体中心本级小计</w:t>
            </w:r>
          </w:p>
        </w:tc>
        <w:tc>
          <w:tcPr>
            <w:tcW w:w="964" w:type="dxa"/>
            <w:vAlign w:val="center"/>
          </w:tcPr>
          <w:p>
            <w:pPr>
              <w:pStyle w:val="15"/>
              <w:rPr>
                <w:rFonts w:ascii="方正书宋_GBK" w:hAnsi="方正书宋_GBK" w:eastAsia="方正书宋_GBK" w:cs="方正书宋_GBK"/>
                <w:b/>
                <w:sz w:val="21"/>
                <w:szCs w:val="24"/>
                <w:lang w:val="en-US" w:eastAsia="uk-UA" w:bidi="ar-SA"/>
              </w:rPr>
            </w:pPr>
          </w:p>
        </w:tc>
        <w:tc>
          <w:tcPr>
            <w:tcW w:w="1654" w:type="dxa"/>
            <w:vAlign w:val="center"/>
          </w:tcPr>
          <w:p>
            <w:pPr>
              <w:pStyle w:val="16"/>
              <w:rPr>
                <w:rFonts w:ascii="方正书宋_GBK" w:hAnsi="方正书宋_GBK" w:eastAsia="方正书宋_GBK" w:cs="方正书宋_GBK"/>
                <w:b/>
                <w:sz w:val="21"/>
                <w:szCs w:val="24"/>
                <w:lang w:val="en-US" w:eastAsia="uk-UA" w:bidi="ar-SA"/>
              </w:rPr>
            </w:pPr>
          </w:p>
        </w:tc>
        <w:tc>
          <w:tcPr>
            <w:tcW w:w="1200" w:type="dxa"/>
            <w:vAlign w:val="center"/>
          </w:tcPr>
          <w:p>
            <w:pPr>
              <w:pStyle w:val="16"/>
              <w:rPr>
                <w:rFonts w:ascii="方正书宋_GBK" w:hAnsi="方正书宋_GBK" w:eastAsia="方正书宋_GBK" w:cs="方正书宋_GBK"/>
                <w:b/>
                <w:sz w:val="21"/>
                <w:szCs w:val="24"/>
                <w:lang w:val="en-US" w:eastAsia="uk-UA" w:bidi="ar-SA"/>
              </w:rPr>
            </w:pPr>
          </w:p>
        </w:tc>
        <w:tc>
          <w:tcPr>
            <w:tcW w:w="660" w:type="dxa"/>
            <w:vAlign w:val="center"/>
          </w:tcPr>
          <w:p>
            <w:pPr>
              <w:pStyle w:val="14"/>
              <w:rPr>
                <w:rFonts w:ascii="方正书宋_GBK" w:hAnsi="方正书宋_GBK" w:eastAsia="方正书宋_GBK" w:cs="方正书宋_GBK"/>
                <w:b/>
                <w:sz w:val="21"/>
                <w:szCs w:val="24"/>
                <w:lang w:val="en-US" w:eastAsia="uk-UA" w:bidi="ar-SA"/>
              </w:rPr>
            </w:pPr>
          </w:p>
        </w:tc>
        <w:tc>
          <w:tcPr>
            <w:tcW w:w="510" w:type="dxa"/>
            <w:vAlign w:val="center"/>
          </w:tcPr>
          <w:p>
            <w:pPr>
              <w:pStyle w:val="15"/>
              <w:rPr>
                <w:rFonts w:ascii="方正书宋_GBK" w:hAnsi="方正书宋_GBK" w:eastAsia="方正书宋_GBK" w:cs="方正书宋_GBK"/>
                <w:b/>
                <w:sz w:val="21"/>
                <w:szCs w:val="24"/>
                <w:lang w:val="en-US" w:eastAsia="uk-UA" w:bidi="ar-SA"/>
              </w:rPr>
            </w:pPr>
          </w:p>
        </w:tc>
        <w:tc>
          <w:tcPr>
            <w:tcW w:w="855" w:type="dxa"/>
            <w:vAlign w:val="center"/>
          </w:tcPr>
          <w:p>
            <w:pPr>
              <w:pStyle w:val="15"/>
              <w:rPr>
                <w:rFonts w:ascii="方正书宋_GBK" w:hAnsi="方正书宋_GBK" w:eastAsia="方正书宋_GBK" w:cs="方正书宋_GBK"/>
                <w:b/>
                <w:sz w:val="21"/>
                <w:szCs w:val="24"/>
                <w:lang w:val="en-US" w:eastAsia="uk-UA" w:bidi="ar-SA"/>
              </w:rPr>
            </w:pPr>
          </w:p>
        </w:tc>
        <w:tc>
          <w:tcPr>
            <w:tcW w:w="960" w:type="dxa"/>
            <w:vAlign w:val="center"/>
          </w:tcPr>
          <w:p>
            <w:pPr>
              <w:pStyle w:val="15"/>
              <w:jc w:val="center"/>
              <w:rPr>
                <w:rFonts w:hint="eastAsia" w:ascii="方正书宋_GBK" w:hAnsi="方正书宋_GBK" w:eastAsia="方正书宋_GBK" w:cs="方正书宋_GBK"/>
                <w:b/>
                <w:sz w:val="21"/>
                <w:szCs w:val="24"/>
                <w:lang w:val="en-US" w:eastAsia="zh-CN" w:bidi="ar-SA"/>
              </w:rPr>
            </w:pPr>
            <w:r>
              <w:rPr>
                <w:rFonts w:hint="eastAsia"/>
                <w:lang w:val="en-US" w:eastAsia="zh-CN"/>
              </w:rPr>
              <w:t>82.</w:t>
            </w:r>
            <w:r>
              <w:t>00</w:t>
            </w:r>
          </w:p>
        </w:tc>
        <w:tc>
          <w:tcPr>
            <w:tcW w:w="1155" w:type="dxa"/>
            <w:vAlign w:val="center"/>
          </w:tcPr>
          <w:p>
            <w:pPr>
              <w:pStyle w:val="15"/>
              <w:jc w:val="center"/>
              <w:rPr>
                <w:rFonts w:ascii="方正书宋_GBK" w:hAnsi="方正书宋_GBK" w:eastAsia="方正书宋_GBK" w:cs="方正书宋_GBK"/>
                <w:b/>
                <w:sz w:val="21"/>
                <w:szCs w:val="24"/>
                <w:lang w:val="en-US" w:eastAsia="uk-UA" w:bidi="ar-SA"/>
              </w:rPr>
            </w:pPr>
            <w:r>
              <w:rPr>
                <w:rFonts w:hint="eastAsia"/>
                <w:lang w:val="en-US" w:eastAsia="zh-CN"/>
              </w:rPr>
              <w:t>82.</w:t>
            </w:r>
            <w:r>
              <w:t>00</w:t>
            </w:r>
          </w:p>
        </w:tc>
        <w:tc>
          <w:tcPr>
            <w:tcW w:w="575" w:type="dxa"/>
            <w:vAlign w:val="center"/>
          </w:tcPr>
          <w:p>
            <w:pPr>
              <w:pStyle w:val="15"/>
              <w:rPr>
                <w:rFonts w:ascii="方正书宋_GBK" w:hAnsi="方正书宋_GBK" w:eastAsia="方正书宋_GBK" w:cs="方正书宋_GBK"/>
                <w:b/>
                <w:sz w:val="21"/>
                <w:szCs w:val="24"/>
                <w:lang w:val="en-US" w:eastAsia="uk-UA" w:bidi="ar-SA"/>
              </w:rPr>
            </w:pPr>
          </w:p>
        </w:tc>
        <w:tc>
          <w:tcPr>
            <w:tcW w:w="964" w:type="dxa"/>
            <w:vAlign w:val="center"/>
          </w:tcPr>
          <w:p>
            <w:pPr>
              <w:pStyle w:val="15"/>
              <w:rPr>
                <w:rFonts w:ascii="方正书宋_GBK" w:hAnsi="方正书宋_GBK" w:eastAsia="方正书宋_GBK" w:cs="方正书宋_GBK"/>
                <w:b/>
                <w:sz w:val="21"/>
                <w:szCs w:val="24"/>
                <w:lang w:val="en-US" w:eastAsia="uk-UA" w:bidi="ar-SA"/>
              </w:rPr>
            </w:pPr>
          </w:p>
        </w:tc>
        <w:tc>
          <w:tcPr>
            <w:tcW w:w="964" w:type="dxa"/>
            <w:vAlign w:val="center"/>
          </w:tcPr>
          <w:p>
            <w:pPr>
              <w:pStyle w:val="15"/>
              <w:rPr>
                <w:rFonts w:ascii="方正书宋_GBK" w:hAnsi="方正书宋_GBK" w:eastAsia="方正书宋_GBK" w:cs="方正书宋_GBK"/>
                <w:b/>
                <w:sz w:val="21"/>
                <w:szCs w:val="24"/>
                <w:lang w:val="en-US" w:eastAsia="uk-UA" w:bidi="ar-SA"/>
              </w:rPr>
            </w:pPr>
          </w:p>
        </w:tc>
        <w:tc>
          <w:tcPr>
            <w:tcW w:w="964" w:type="dxa"/>
            <w:vAlign w:val="center"/>
          </w:tcPr>
          <w:p>
            <w:pPr>
              <w:pStyle w:val="15"/>
              <w:rPr>
                <w:rFonts w:ascii="方正书宋_GBK" w:hAnsi="方正书宋_GBK" w:eastAsia="方正书宋_GBK" w:cs="方正书宋_GBK"/>
                <w:b/>
                <w:sz w:val="21"/>
                <w:szCs w:val="24"/>
                <w:lang w:val="en-US" w:eastAsia="uk-UA" w:bidi="ar-SA"/>
              </w:rPr>
            </w:pPr>
          </w:p>
        </w:tc>
        <w:tc>
          <w:tcPr>
            <w:tcW w:w="964" w:type="dxa"/>
            <w:vAlign w:val="center"/>
          </w:tcPr>
          <w:p>
            <w:pPr>
              <w:pStyle w:val="15"/>
              <w:rPr>
                <w:rFonts w:ascii="方正书宋_GBK" w:hAnsi="方正书宋_GBK" w:eastAsia="方正书宋_GBK" w:cs="方正书宋_GBK"/>
                <w:b/>
                <w:sz w:val="21"/>
                <w:szCs w:val="24"/>
                <w:lang w:val="en-US" w:eastAsia="uk-UA" w:bidi="ar-SA"/>
              </w:rPr>
            </w:pPr>
          </w:p>
        </w:tc>
        <w:tc>
          <w:tcPr>
            <w:tcW w:w="964" w:type="dxa"/>
            <w:vAlign w:val="center"/>
          </w:tcPr>
          <w:p>
            <w:pPr>
              <w:pStyle w:val="15"/>
              <w:rPr>
                <w:rFonts w:ascii="方正书宋_GBK" w:hAnsi="方正书宋_GBK" w:eastAsia="方正书宋_GBK" w:cs="方正书宋_GBK"/>
                <w:b/>
                <w:sz w:val="21"/>
                <w:szCs w:val="24"/>
                <w:lang w:val="en-US" w:eastAsia="uk-UA" w:bidi="ar-SA"/>
              </w:rPr>
            </w:pPr>
          </w:p>
        </w:tc>
        <w:tc>
          <w:tcPr>
            <w:tcW w:w="964" w:type="dxa"/>
            <w:vAlign w:val="center"/>
          </w:tcPr>
          <w:p>
            <w:pPr>
              <w:pStyle w:val="15"/>
              <w:rPr>
                <w:rFonts w:hint="default" w:ascii="方正书宋_GBK" w:hAnsi="方正书宋_GBK" w:eastAsia="方正书宋_GBK" w:cs="方正书宋_GBK"/>
                <w:b/>
                <w:sz w:val="21"/>
                <w:szCs w:val="24"/>
                <w:lang w:val="en-US" w:eastAsia="zh-CN" w:bidi="ar-SA"/>
              </w:rPr>
            </w:pPr>
            <w:r>
              <w:rPr>
                <w:rFonts w:hint="eastAsia"/>
                <w:lang w:val="en-US" w:eastAsia="zh-CN"/>
              </w:rP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jc w:val="center"/>
              <w:rPr>
                <w:rFonts w:hint="eastAsia" w:ascii="方正书宋_GBK" w:hAnsi="方正书宋_GBK" w:eastAsia="方正书宋_GBK" w:cs="方正书宋_GBK"/>
                <w:sz w:val="21"/>
                <w:szCs w:val="24"/>
                <w:lang w:val="en-US" w:eastAsia="zh-CN" w:bidi="ar-SA"/>
              </w:rPr>
            </w:pPr>
            <w:r>
              <w:rPr>
                <w:rFonts w:hint="eastAsia"/>
                <w:lang w:eastAsia="zh-CN"/>
              </w:rPr>
              <w:t>公用经费</w:t>
            </w:r>
          </w:p>
        </w:tc>
        <w:tc>
          <w:tcPr>
            <w:tcW w:w="964" w:type="dxa"/>
            <w:vAlign w:val="center"/>
          </w:tcPr>
          <w:p>
            <w:pPr>
              <w:pStyle w:val="11"/>
              <w:jc w:val="center"/>
              <w:rPr>
                <w:rFonts w:hint="default" w:ascii="方正书宋_GBK" w:hAnsi="方正书宋_GBK" w:eastAsia="方正书宋_GBK" w:cs="方正书宋_GBK"/>
                <w:sz w:val="21"/>
                <w:szCs w:val="24"/>
                <w:lang w:val="en-US" w:eastAsia="zh-CN" w:bidi="ar-SA"/>
              </w:rPr>
            </w:pPr>
            <w:r>
              <w:rPr>
                <w:rFonts w:hint="eastAsia"/>
                <w:lang w:val="en-US" w:eastAsia="zh-CN"/>
              </w:rPr>
              <w:t>0.60</w:t>
            </w:r>
          </w:p>
        </w:tc>
        <w:tc>
          <w:tcPr>
            <w:tcW w:w="1654" w:type="dxa"/>
            <w:vAlign w:val="center"/>
          </w:tcPr>
          <w:p>
            <w:pPr>
              <w:pStyle w:val="12"/>
              <w:jc w:val="center"/>
              <w:rPr>
                <w:rFonts w:hint="eastAsia" w:ascii="方正书宋_GBK" w:hAnsi="方正书宋_GBK" w:eastAsia="方正书宋_GBK" w:cs="方正书宋_GBK"/>
                <w:sz w:val="21"/>
                <w:szCs w:val="24"/>
                <w:lang w:val="en-US" w:eastAsia="zh-CN" w:bidi="ar-SA"/>
              </w:rPr>
            </w:pPr>
            <w:r>
              <w:rPr>
                <w:rFonts w:hint="eastAsia"/>
                <w:lang w:eastAsia="zh-CN"/>
              </w:rPr>
              <w:t>便携式计算机</w:t>
            </w:r>
          </w:p>
        </w:tc>
        <w:tc>
          <w:tcPr>
            <w:tcW w:w="1200" w:type="dxa"/>
            <w:vAlign w:val="center"/>
          </w:tcPr>
          <w:p>
            <w:pPr>
              <w:pStyle w:val="12"/>
              <w:jc w:val="center"/>
              <w:rPr>
                <w:rFonts w:ascii="方正书宋_GBK" w:hAnsi="方正书宋_GBK" w:eastAsia="方正书宋_GBK" w:cs="方正书宋_GBK"/>
                <w:sz w:val="21"/>
                <w:szCs w:val="24"/>
                <w:lang w:val="en-US" w:eastAsia="uk-UA" w:bidi="ar-SA"/>
              </w:rPr>
            </w:pPr>
            <w:r>
              <w:t>A02010108</w:t>
            </w:r>
          </w:p>
        </w:tc>
        <w:tc>
          <w:tcPr>
            <w:tcW w:w="660" w:type="dxa"/>
            <w:vAlign w:val="center"/>
          </w:tcPr>
          <w:p>
            <w:pPr>
              <w:pStyle w:val="13"/>
              <w:jc w:val="center"/>
              <w:rPr>
                <w:rFonts w:hint="eastAsia" w:ascii="方正书宋_GBK" w:hAnsi="方正书宋_GBK" w:eastAsia="方正书宋_GBK" w:cs="方正书宋_GBK"/>
                <w:sz w:val="21"/>
                <w:szCs w:val="24"/>
                <w:lang w:val="en-US" w:eastAsia="zh-CN" w:bidi="ar-SA"/>
              </w:rPr>
            </w:pPr>
            <w:r>
              <w:rPr>
                <w:rFonts w:hint="eastAsia"/>
                <w:lang w:eastAsia="zh-CN"/>
              </w:rPr>
              <w:t>台</w:t>
            </w:r>
          </w:p>
        </w:tc>
        <w:tc>
          <w:tcPr>
            <w:tcW w:w="510" w:type="dxa"/>
            <w:vAlign w:val="center"/>
          </w:tcPr>
          <w:p>
            <w:pPr>
              <w:pStyle w:val="11"/>
              <w:jc w:val="center"/>
              <w:rPr>
                <w:rFonts w:hint="eastAsia" w:ascii="方正书宋_GBK" w:hAnsi="方正书宋_GBK" w:eastAsia="方正书宋_GBK" w:cs="方正书宋_GBK"/>
                <w:sz w:val="21"/>
                <w:szCs w:val="24"/>
                <w:lang w:val="en-US" w:eastAsia="zh-CN" w:bidi="ar-SA"/>
              </w:rPr>
            </w:pPr>
            <w:r>
              <w:rPr>
                <w:rFonts w:hint="eastAsia"/>
                <w:lang w:val="en-US" w:eastAsia="zh-CN"/>
              </w:rPr>
              <w:t>2</w:t>
            </w:r>
          </w:p>
        </w:tc>
        <w:tc>
          <w:tcPr>
            <w:tcW w:w="855" w:type="dxa"/>
            <w:vAlign w:val="center"/>
          </w:tcPr>
          <w:p>
            <w:pPr>
              <w:pStyle w:val="11"/>
              <w:jc w:val="center"/>
              <w:rPr>
                <w:rFonts w:hint="default" w:ascii="方正书宋_GBK" w:hAnsi="方正书宋_GBK" w:eastAsia="方正书宋_GBK" w:cs="方正书宋_GBK"/>
                <w:sz w:val="21"/>
                <w:szCs w:val="24"/>
                <w:lang w:val="en-US" w:eastAsia="zh-CN" w:bidi="ar-SA"/>
              </w:rPr>
            </w:pPr>
            <w:r>
              <w:rPr>
                <w:rFonts w:hint="eastAsia"/>
                <w:lang w:val="en-US" w:eastAsia="zh-CN"/>
              </w:rPr>
              <w:t>0.60</w:t>
            </w:r>
          </w:p>
        </w:tc>
        <w:tc>
          <w:tcPr>
            <w:tcW w:w="960" w:type="dxa"/>
            <w:vAlign w:val="center"/>
          </w:tcPr>
          <w:p>
            <w:pPr>
              <w:pStyle w:val="11"/>
              <w:jc w:val="center"/>
              <w:rPr>
                <w:rFonts w:hint="default" w:ascii="方正书宋_GBK" w:hAnsi="方正书宋_GBK" w:eastAsia="方正书宋_GBK" w:cs="方正书宋_GBK"/>
                <w:sz w:val="21"/>
                <w:szCs w:val="24"/>
                <w:lang w:val="en-US" w:eastAsia="zh-CN" w:bidi="ar-SA"/>
              </w:rPr>
            </w:pPr>
            <w:r>
              <w:rPr>
                <w:rFonts w:hint="eastAsia"/>
                <w:lang w:val="en-US" w:eastAsia="zh-CN"/>
              </w:rPr>
              <w:t>0.60</w:t>
            </w:r>
          </w:p>
        </w:tc>
        <w:tc>
          <w:tcPr>
            <w:tcW w:w="1155" w:type="dxa"/>
            <w:vAlign w:val="center"/>
          </w:tcPr>
          <w:p>
            <w:pPr>
              <w:pStyle w:val="11"/>
              <w:jc w:val="center"/>
              <w:rPr>
                <w:rFonts w:hint="default" w:ascii="方正书宋_GBK" w:hAnsi="方正书宋_GBK" w:eastAsia="方正书宋_GBK" w:cs="方正书宋_GBK"/>
                <w:sz w:val="21"/>
                <w:szCs w:val="24"/>
                <w:lang w:val="en-US" w:eastAsia="zh-CN" w:bidi="ar-SA"/>
              </w:rPr>
            </w:pPr>
            <w:r>
              <w:rPr>
                <w:rFonts w:hint="eastAsia"/>
                <w:lang w:val="en-US" w:eastAsia="zh-CN"/>
              </w:rPr>
              <w:t>0.60</w:t>
            </w:r>
          </w:p>
        </w:tc>
        <w:tc>
          <w:tcPr>
            <w:tcW w:w="575" w:type="dxa"/>
            <w:vAlign w:val="center"/>
          </w:tcPr>
          <w:p>
            <w:pPr>
              <w:pStyle w:val="11"/>
              <w:jc w:val="center"/>
              <w:rPr>
                <w:rFonts w:ascii="方正书宋_GBK" w:hAnsi="方正书宋_GBK" w:eastAsia="方正书宋_GBK" w:cs="方正书宋_GBK"/>
                <w:sz w:val="21"/>
                <w:szCs w:val="24"/>
                <w:lang w:val="en-US" w:eastAsia="uk-UA" w:bidi="ar-SA"/>
              </w:rPr>
            </w:pPr>
          </w:p>
        </w:tc>
        <w:tc>
          <w:tcPr>
            <w:tcW w:w="964" w:type="dxa"/>
            <w:vAlign w:val="center"/>
          </w:tcPr>
          <w:p>
            <w:pPr>
              <w:pStyle w:val="11"/>
              <w:jc w:val="center"/>
              <w:rPr>
                <w:rFonts w:ascii="方正书宋_GBK" w:hAnsi="方正书宋_GBK" w:eastAsia="方正书宋_GBK" w:cs="方正书宋_GBK"/>
                <w:sz w:val="21"/>
                <w:szCs w:val="24"/>
                <w:lang w:val="en-US" w:eastAsia="uk-UA" w:bidi="ar-SA"/>
              </w:rPr>
            </w:pPr>
          </w:p>
        </w:tc>
        <w:tc>
          <w:tcPr>
            <w:tcW w:w="964" w:type="dxa"/>
            <w:vAlign w:val="center"/>
          </w:tcPr>
          <w:p>
            <w:pPr>
              <w:pStyle w:val="11"/>
              <w:jc w:val="center"/>
              <w:rPr>
                <w:rFonts w:ascii="方正书宋_GBK" w:hAnsi="方正书宋_GBK" w:eastAsia="方正书宋_GBK" w:cs="方正书宋_GBK"/>
                <w:sz w:val="21"/>
                <w:szCs w:val="24"/>
                <w:lang w:val="en-US" w:eastAsia="uk-UA" w:bidi="ar-SA"/>
              </w:rPr>
            </w:pPr>
          </w:p>
        </w:tc>
        <w:tc>
          <w:tcPr>
            <w:tcW w:w="964" w:type="dxa"/>
            <w:vAlign w:val="center"/>
          </w:tcPr>
          <w:p>
            <w:pPr>
              <w:pStyle w:val="11"/>
              <w:jc w:val="center"/>
              <w:rPr>
                <w:rFonts w:ascii="方正书宋_GBK" w:hAnsi="方正书宋_GBK" w:eastAsia="方正书宋_GBK" w:cs="方正书宋_GBK"/>
                <w:sz w:val="21"/>
                <w:szCs w:val="24"/>
                <w:lang w:val="en-US" w:eastAsia="uk-UA" w:bidi="ar-SA"/>
              </w:rPr>
            </w:pPr>
          </w:p>
        </w:tc>
        <w:tc>
          <w:tcPr>
            <w:tcW w:w="964" w:type="dxa"/>
            <w:vAlign w:val="center"/>
          </w:tcPr>
          <w:p>
            <w:pPr>
              <w:pStyle w:val="11"/>
              <w:jc w:val="center"/>
              <w:rPr>
                <w:rFonts w:ascii="方正书宋_GBK" w:hAnsi="方正书宋_GBK" w:eastAsia="方正书宋_GBK" w:cs="方正书宋_GBK"/>
                <w:sz w:val="21"/>
                <w:szCs w:val="24"/>
                <w:lang w:val="en-US" w:eastAsia="uk-UA" w:bidi="ar-SA"/>
              </w:rPr>
            </w:pPr>
          </w:p>
        </w:tc>
        <w:tc>
          <w:tcPr>
            <w:tcW w:w="964" w:type="dxa"/>
            <w:vAlign w:val="center"/>
          </w:tcPr>
          <w:p>
            <w:pPr>
              <w:pStyle w:val="11"/>
              <w:jc w:val="center"/>
              <w:rPr>
                <w:rFonts w:ascii="方正书宋_GBK" w:hAnsi="方正书宋_GBK" w:eastAsia="方正书宋_GBK" w:cs="方正书宋_GBK"/>
                <w:sz w:val="21"/>
                <w:szCs w:val="24"/>
                <w:lang w:val="en-US" w:eastAsia="uk-UA" w:bidi="ar-SA"/>
              </w:rPr>
            </w:pPr>
          </w:p>
        </w:tc>
        <w:tc>
          <w:tcPr>
            <w:tcW w:w="964" w:type="dxa"/>
            <w:vAlign w:val="center"/>
          </w:tcPr>
          <w:p>
            <w:pPr>
              <w:pStyle w:val="11"/>
              <w:jc w:val="center"/>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2"/>
              <w:jc w:val="center"/>
              <w:rPr>
                <w:rFonts w:hint="eastAsia" w:ascii="方正书宋_GBK" w:hAnsi="方正书宋_GBK" w:eastAsia="方正书宋_GBK" w:cs="方正书宋_GBK"/>
                <w:sz w:val="21"/>
                <w:szCs w:val="24"/>
                <w:lang w:val="en-US" w:eastAsia="zh-CN" w:bidi="ar-SA"/>
              </w:rPr>
            </w:pPr>
            <w:r>
              <w:rPr>
                <w:rFonts w:hint="eastAsia"/>
                <w:lang w:eastAsia="zh-CN"/>
              </w:rPr>
              <w:t>公用经费</w:t>
            </w:r>
          </w:p>
        </w:tc>
        <w:tc>
          <w:tcPr>
            <w:tcW w:w="0" w:type="auto"/>
            <w:vAlign w:val="center"/>
          </w:tcPr>
          <w:p>
            <w:pPr>
              <w:pStyle w:val="11"/>
              <w:jc w:val="center"/>
              <w:rPr>
                <w:rFonts w:hint="default" w:ascii="方正书宋_GBK" w:hAnsi="方正书宋_GBK" w:eastAsia="方正书宋_GBK" w:cs="方正书宋_GBK"/>
                <w:sz w:val="21"/>
                <w:szCs w:val="24"/>
                <w:lang w:val="en-US" w:eastAsia="zh-CN" w:bidi="ar-SA"/>
              </w:rPr>
            </w:pPr>
            <w:r>
              <w:rPr>
                <w:rFonts w:hint="eastAsia"/>
                <w:lang w:val="en-US" w:eastAsia="zh-CN"/>
              </w:rPr>
              <w:t>0.20</w:t>
            </w:r>
          </w:p>
        </w:tc>
        <w:tc>
          <w:tcPr>
            <w:tcW w:w="1654" w:type="dxa"/>
            <w:vAlign w:val="center"/>
          </w:tcPr>
          <w:p>
            <w:pPr>
              <w:pStyle w:val="12"/>
              <w:jc w:val="center"/>
              <w:rPr>
                <w:rFonts w:hint="eastAsia" w:ascii="方正书宋_GBK" w:hAnsi="方正书宋_GBK" w:eastAsia="方正书宋_GBK" w:cs="方正书宋_GBK"/>
                <w:sz w:val="21"/>
                <w:szCs w:val="24"/>
                <w:lang w:val="en-US" w:eastAsia="zh-CN" w:bidi="ar-SA"/>
              </w:rPr>
            </w:pPr>
            <w:r>
              <w:rPr>
                <w:rFonts w:hint="eastAsia"/>
                <w:lang w:eastAsia="zh-CN"/>
              </w:rPr>
              <w:t>空气调节器</w:t>
            </w:r>
          </w:p>
        </w:tc>
        <w:tc>
          <w:tcPr>
            <w:tcW w:w="1200" w:type="dxa"/>
            <w:vAlign w:val="center"/>
          </w:tcPr>
          <w:p>
            <w:pPr>
              <w:pStyle w:val="12"/>
              <w:jc w:val="center"/>
              <w:rPr>
                <w:rFonts w:ascii="方正书宋_GBK" w:hAnsi="方正书宋_GBK" w:eastAsia="方正书宋_GBK" w:cs="方正书宋_GBK"/>
                <w:sz w:val="21"/>
                <w:szCs w:val="24"/>
                <w:lang w:val="en-US" w:eastAsia="uk-UA" w:bidi="ar-SA"/>
              </w:rPr>
            </w:pPr>
            <w:r>
              <w:rPr>
                <w:rFonts w:hint="eastAsia"/>
              </w:rPr>
              <w:t>A02061804</w:t>
            </w:r>
          </w:p>
        </w:tc>
        <w:tc>
          <w:tcPr>
            <w:tcW w:w="660" w:type="dxa"/>
            <w:vAlign w:val="center"/>
          </w:tcPr>
          <w:p>
            <w:pPr>
              <w:pStyle w:val="13"/>
              <w:jc w:val="center"/>
              <w:rPr>
                <w:rFonts w:ascii="方正书宋_GBK" w:hAnsi="方正书宋_GBK" w:eastAsia="方正书宋_GBK" w:cs="方正书宋_GBK"/>
                <w:sz w:val="21"/>
                <w:szCs w:val="24"/>
                <w:lang w:val="en-US" w:eastAsia="uk-UA" w:bidi="ar-SA"/>
              </w:rPr>
            </w:pPr>
            <w:r>
              <w:rPr>
                <w:rFonts w:hint="eastAsia"/>
                <w:lang w:eastAsia="zh-CN"/>
              </w:rPr>
              <w:t>台</w:t>
            </w:r>
          </w:p>
        </w:tc>
        <w:tc>
          <w:tcPr>
            <w:tcW w:w="510" w:type="dxa"/>
            <w:vAlign w:val="center"/>
          </w:tcPr>
          <w:p>
            <w:pPr>
              <w:pStyle w:val="11"/>
              <w:jc w:val="center"/>
              <w:rPr>
                <w:rFonts w:ascii="方正书宋_GBK" w:hAnsi="方正书宋_GBK" w:eastAsia="方正书宋_GBK" w:cs="方正书宋_GBK"/>
                <w:sz w:val="21"/>
                <w:szCs w:val="24"/>
                <w:lang w:val="en-US" w:eastAsia="uk-UA" w:bidi="ar-SA"/>
              </w:rPr>
            </w:pPr>
            <w:r>
              <w:t>1</w:t>
            </w:r>
          </w:p>
        </w:tc>
        <w:tc>
          <w:tcPr>
            <w:tcW w:w="855" w:type="dxa"/>
            <w:vAlign w:val="center"/>
          </w:tcPr>
          <w:p>
            <w:pPr>
              <w:pStyle w:val="11"/>
              <w:jc w:val="center"/>
              <w:rPr>
                <w:rFonts w:hint="default" w:ascii="方正书宋_GBK" w:hAnsi="方正书宋_GBK" w:eastAsia="方正书宋_GBK" w:cs="方正书宋_GBK"/>
                <w:sz w:val="21"/>
                <w:szCs w:val="24"/>
                <w:lang w:val="en-US" w:eastAsia="zh-CN" w:bidi="ar-SA"/>
              </w:rPr>
            </w:pPr>
            <w:r>
              <w:rPr>
                <w:rFonts w:hint="eastAsia"/>
                <w:lang w:val="en-US" w:eastAsia="zh-CN"/>
              </w:rPr>
              <w:t>0.20</w:t>
            </w:r>
          </w:p>
        </w:tc>
        <w:tc>
          <w:tcPr>
            <w:tcW w:w="960" w:type="dxa"/>
            <w:vAlign w:val="center"/>
          </w:tcPr>
          <w:p>
            <w:pPr>
              <w:pStyle w:val="11"/>
              <w:jc w:val="center"/>
              <w:rPr>
                <w:rFonts w:hint="default" w:ascii="方正书宋_GBK" w:hAnsi="方正书宋_GBK" w:eastAsia="方正书宋_GBK" w:cs="方正书宋_GBK"/>
                <w:sz w:val="21"/>
                <w:szCs w:val="24"/>
                <w:lang w:val="en-US" w:eastAsia="zh-CN" w:bidi="ar-SA"/>
              </w:rPr>
            </w:pPr>
            <w:r>
              <w:rPr>
                <w:rFonts w:hint="eastAsia"/>
                <w:lang w:val="en-US" w:eastAsia="zh-CN"/>
              </w:rPr>
              <w:t>0.20</w:t>
            </w:r>
          </w:p>
        </w:tc>
        <w:tc>
          <w:tcPr>
            <w:tcW w:w="1155" w:type="dxa"/>
            <w:vAlign w:val="center"/>
          </w:tcPr>
          <w:p>
            <w:pPr>
              <w:pStyle w:val="11"/>
              <w:jc w:val="center"/>
              <w:rPr>
                <w:rFonts w:hint="default" w:ascii="方正书宋_GBK" w:hAnsi="方正书宋_GBK" w:eastAsia="方正书宋_GBK" w:cs="方正书宋_GBK"/>
                <w:sz w:val="21"/>
                <w:szCs w:val="24"/>
                <w:lang w:val="en-US" w:eastAsia="zh-CN" w:bidi="ar-SA"/>
              </w:rPr>
            </w:pPr>
            <w:r>
              <w:rPr>
                <w:rFonts w:hint="eastAsia"/>
                <w:lang w:val="en-US" w:eastAsia="zh-CN"/>
              </w:rPr>
              <w:t>0.20</w:t>
            </w:r>
          </w:p>
        </w:tc>
        <w:tc>
          <w:tcPr>
            <w:tcW w:w="575" w:type="dxa"/>
            <w:vAlign w:val="center"/>
          </w:tcPr>
          <w:p>
            <w:pPr>
              <w:pStyle w:val="11"/>
              <w:jc w:val="center"/>
              <w:rPr>
                <w:rFonts w:ascii="方正书宋_GBK" w:hAnsi="方正书宋_GBK" w:eastAsia="方正书宋_GBK" w:cs="方正书宋_GBK"/>
                <w:sz w:val="21"/>
                <w:szCs w:val="24"/>
                <w:lang w:val="en-US" w:eastAsia="uk-UA" w:bidi="ar-SA"/>
              </w:rPr>
            </w:pPr>
          </w:p>
        </w:tc>
        <w:tc>
          <w:tcPr>
            <w:tcW w:w="0" w:type="auto"/>
            <w:vAlign w:val="center"/>
          </w:tcPr>
          <w:p>
            <w:pPr>
              <w:pStyle w:val="11"/>
              <w:jc w:val="center"/>
              <w:rPr>
                <w:rFonts w:ascii="方正书宋_GBK" w:hAnsi="方正书宋_GBK" w:eastAsia="方正书宋_GBK" w:cs="方正书宋_GBK"/>
                <w:sz w:val="21"/>
                <w:szCs w:val="24"/>
                <w:lang w:val="en-US" w:eastAsia="uk-UA" w:bidi="ar-SA"/>
              </w:rPr>
            </w:pPr>
          </w:p>
        </w:tc>
        <w:tc>
          <w:tcPr>
            <w:tcW w:w="0" w:type="auto"/>
            <w:vAlign w:val="center"/>
          </w:tcPr>
          <w:p>
            <w:pPr>
              <w:pStyle w:val="11"/>
              <w:jc w:val="center"/>
              <w:rPr>
                <w:rFonts w:ascii="方正书宋_GBK" w:hAnsi="方正书宋_GBK" w:eastAsia="方正书宋_GBK" w:cs="方正书宋_GBK"/>
                <w:sz w:val="21"/>
                <w:szCs w:val="24"/>
                <w:lang w:val="en-US" w:eastAsia="uk-UA" w:bidi="ar-SA"/>
              </w:rPr>
            </w:pPr>
          </w:p>
        </w:tc>
        <w:tc>
          <w:tcPr>
            <w:tcW w:w="0" w:type="auto"/>
            <w:vAlign w:val="center"/>
          </w:tcPr>
          <w:p>
            <w:pPr>
              <w:pStyle w:val="11"/>
              <w:jc w:val="center"/>
              <w:rPr>
                <w:rFonts w:ascii="方正书宋_GBK" w:hAnsi="方正书宋_GBK" w:eastAsia="方正书宋_GBK" w:cs="方正书宋_GBK"/>
                <w:sz w:val="21"/>
                <w:szCs w:val="24"/>
                <w:lang w:val="en-US" w:eastAsia="uk-UA" w:bidi="ar-SA"/>
              </w:rPr>
            </w:pPr>
          </w:p>
        </w:tc>
        <w:tc>
          <w:tcPr>
            <w:tcW w:w="0" w:type="auto"/>
            <w:vAlign w:val="center"/>
          </w:tcPr>
          <w:p>
            <w:pPr>
              <w:pStyle w:val="11"/>
              <w:jc w:val="center"/>
              <w:rPr>
                <w:rFonts w:ascii="方正书宋_GBK" w:hAnsi="方正书宋_GBK" w:eastAsia="方正书宋_GBK" w:cs="方正书宋_GBK"/>
                <w:sz w:val="21"/>
                <w:szCs w:val="24"/>
                <w:lang w:val="en-US" w:eastAsia="uk-UA" w:bidi="ar-SA"/>
              </w:rPr>
            </w:pPr>
          </w:p>
        </w:tc>
        <w:tc>
          <w:tcPr>
            <w:tcW w:w="0" w:type="auto"/>
            <w:vAlign w:val="center"/>
          </w:tcPr>
          <w:p>
            <w:pPr>
              <w:pStyle w:val="11"/>
              <w:jc w:val="center"/>
              <w:rPr>
                <w:rFonts w:ascii="方正书宋_GBK" w:hAnsi="方正书宋_GBK" w:eastAsia="方正书宋_GBK" w:cs="方正书宋_GBK"/>
                <w:sz w:val="21"/>
                <w:szCs w:val="24"/>
                <w:lang w:val="en-US" w:eastAsia="uk-UA" w:bidi="ar-SA"/>
              </w:rPr>
            </w:pPr>
          </w:p>
        </w:tc>
        <w:tc>
          <w:tcPr>
            <w:tcW w:w="0" w:type="auto"/>
            <w:vAlign w:val="center"/>
          </w:tcPr>
          <w:p>
            <w:pPr>
              <w:pStyle w:val="11"/>
              <w:jc w:val="center"/>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2"/>
              <w:jc w:val="center"/>
              <w:rPr>
                <w:rFonts w:hint="eastAsia" w:ascii="方正书宋_GBK" w:hAnsi="方正书宋_GBK" w:eastAsia="方正书宋_GBK" w:cs="方正书宋_GBK"/>
                <w:sz w:val="21"/>
                <w:szCs w:val="24"/>
                <w:lang w:val="en-US" w:eastAsia="zh-CN" w:bidi="ar-SA"/>
              </w:rPr>
            </w:pPr>
            <w:r>
              <w:rPr>
                <w:rFonts w:hint="eastAsia"/>
                <w:lang w:eastAsia="zh-CN"/>
              </w:rPr>
              <w:t>公用经费</w:t>
            </w:r>
          </w:p>
        </w:tc>
        <w:tc>
          <w:tcPr>
            <w:tcW w:w="0" w:type="auto"/>
            <w:vAlign w:val="center"/>
          </w:tcPr>
          <w:p>
            <w:pPr>
              <w:pStyle w:val="11"/>
              <w:jc w:val="center"/>
              <w:rPr>
                <w:rFonts w:hint="default" w:ascii="方正书宋_GBK" w:hAnsi="方正书宋_GBK" w:eastAsia="方正书宋_GBK" w:cs="方正书宋_GBK"/>
                <w:sz w:val="21"/>
                <w:szCs w:val="24"/>
                <w:lang w:val="en-US" w:eastAsia="zh-CN" w:bidi="ar-SA"/>
              </w:rPr>
            </w:pPr>
            <w:r>
              <w:rPr>
                <w:rFonts w:hint="eastAsia"/>
                <w:lang w:val="en-US" w:eastAsia="zh-CN"/>
              </w:rPr>
              <w:t>0.30</w:t>
            </w:r>
          </w:p>
        </w:tc>
        <w:tc>
          <w:tcPr>
            <w:tcW w:w="1654" w:type="dxa"/>
            <w:vAlign w:val="center"/>
          </w:tcPr>
          <w:p>
            <w:pPr>
              <w:pStyle w:val="12"/>
              <w:jc w:val="center"/>
              <w:rPr>
                <w:rFonts w:hint="eastAsia" w:ascii="方正书宋_GBK" w:hAnsi="方正书宋_GBK" w:eastAsia="方正书宋_GBK" w:cs="方正书宋_GBK"/>
                <w:sz w:val="21"/>
                <w:szCs w:val="24"/>
                <w:lang w:val="en-US" w:eastAsia="zh-CN" w:bidi="ar-SA"/>
              </w:rPr>
            </w:pPr>
            <w:r>
              <w:rPr>
                <w:rFonts w:hint="eastAsia"/>
                <w:lang w:eastAsia="zh-CN"/>
              </w:rPr>
              <w:t>空气调节器</w:t>
            </w:r>
          </w:p>
        </w:tc>
        <w:tc>
          <w:tcPr>
            <w:tcW w:w="1200" w:type="dxa"/>
            <w:vAlign w:val="center"/>
          </w:tcPr>
          <w:p>
            <w:pPr>
              <w:pStyle w:val="12"/>
              <w:jc w:val="center"/>
              <w:rPr>
                <w:rFonts w:ascii="方正书宋_GBK" w:hAnsi="方正书宋_GBK" w:eastAsia="方正书宋_GBK" w:cs="方正书宋_GBK"/>
                <w:sz w:val="21"/>
                <w:szCs w:val="24"/>
                <w:lang w:val="en-US" w:eastAsia="uk-UA" w:bidi="ar-SA"/>
              </w:rPr>
            </w:pPr>
            <w:r>
              <w:rPr>
                <w:rFonts w:hint="eastAsia"/>
              </w:rPr>
              <w:t>A02061804</w:t>
            </w:r>
          </w:p>
        </w:tc>
        <w:tc>
          <w:tcPr>
            <w:tcW w:w="660" w:type="dxa"/>
            <w:vAlign w:val="center"/>
          </w:tcPr>
          <w:p>
            <w:pPr>
              <w:pStyle w:val="13"/>
              <w:jc w:val="center"/>
              <w:rPr>
                <w:rFonts w:ascii="方正书宋_GBK" w:hAnsi="方正书宋_GBK" w:eastAsia="方正书宋_GBK" w:cs="方正书宋_GBK"/>
                <w:sz w:val="21"/>
                <w:szCs w:val="24"/>
                <w:lang w:val="en-US" w:eastAsia="uk-UA" w:bidi="ar-SA"/>
              </w:rPr>
            </w:pPr>
            <w:r>
              <w:rPr>
                <w:rFonts w:hint="eastAsia"/>
                <w:lang w:eastAsia="zh-CN"/>
              </w:rPr>
              <w:t>台</w:t>
            </w:r>
          </w:p>
        </w:tc>
        <w:tc>
          <w:tcPr>
            <w:tcW w:w="510" w:type="dxa"/>
            <w:vAlign w:val="center"/>
          </w:tcPr>
          <w:p>
            <w:pPr>
              <w:pStyle w:val="11"/>
              <w:jc w:val="center"/>
              <w:rPr>
                <w:rFonts w:ascii="方正书宋_GBK" w:hAnsi="方正书宋_GBK" w:eastAsia="方正书宋_GBK" w:cs="方正书宋_GBK"/>
                <w:sz w:val="21"/>
                <w:szCs w:val="24"/>
                <w:lang w:val="en-US" w:eastAsia="uk-UA" w:bidi="ar-SA"/>
              </w:rPr>
            </w:pPr>
            <w:r>
              <w:t>1</w:t>
            </w:r>
          </w:p>
        </w:tc>
        <w:tc>
          <w:tcPr>
            <w:tcW w:w="855" w:type="dxa"/>
            <w:vAlign w:val="center"/>
          </w:tcPr>
          <w:p>
            <w:pPr>
              <w:pStyle w:val="11"/>
              <w:jc w:val="center"/>
              <w:rPr>
                <w:rFonts w:hint="default" w:ascii="方正书宋_GBK" w:hAnsi="方正书宋_GBK" w:eastAsia="方正书宋_GBK" w:cs="方正书宋_GBK"/>
                <w:sz w:val="21"/>
                <w:szCs w:val="24"/>
                <w:lang w:val="en-US" w:eastAsia="zh-CN" w:bidi="ar-SA"/>
              </w:rPr>
            </w:pPr>
            <w:r>
              <w:rPr>
                <w:rFonts w:hint="eastAsia"/>
                <w:lang w:val="en-US" w:eastAsia="zh-CN"/>
              </w:rPr>
              <w:t>0.30</w:t>
            </w:r>
          </w:p>
        </w:tc>
        <w:tc>
          <w:tcPr>
            <w:tcW w:w="960" w:type="dxa"/>
            <w:vAlign w:val="center"/>
          </w:tcPr>
          <w:p>
            <w:pPr>
              <w:pStyle w:val="11"/>
              <w:jc w:val="center"/>
              <w:rPr>
                <w:rFonts w:hint="default" w:ascii="方正书宋_GBK" w:hAnsi="方正书宋_GBK" w:eastAsia="方正书宋_GBK" w:cs="方正书宋_GBK"/>
                <w:sz w:val="21"/>
                <w:szCs w:val="24"/>
                <w:lang w:val="en-US" w:eastAsia="zh-CN" w:bidi="ar-SA"/>
              </w:rPr>
            </w:pPr>
            <w:r>
              <w:rPr>
                <w:rFonts w:hint="eastAsia"/>
                <w:lang w:val="en-US" w:eastAsia="zh-CN"/>
              </w:rPr>
              <w:t>0.30</w:t>
            </w:r>
          </w:p>
        </w:tc>
        <w:tc>
          <w:tcPr>
            <w:tcW w:w="1155" w:type="dxa"/>
            <w:vAlign w:val="center"/>
          </w:tcPr>
          <w:p>
            <w:pPr>
              <w:pStyle w:val="11"/>
              <w:jc w:val="center"/>
              <w:rPr>
                <w:rFonts w:hint="default" w:ascii="方正书宋_GBK" w:hAnsi="方正书宋_GBK" w:eastAsia="方正书宋_GBK" w:cs="方正书宋_GBK"/>
                <w:sz w:val="21"/>
                <w:szCs w:val="24"/>
                <w:lang w:val="en-US" w:eastAsia="zh-CN" w:bidi="ar-SA"/>
              </w:rPr>
            </w:pPr>
            <w:r>
              <w:rPr>
                <w:rFonts w:hint="eastAsia"/>
                <w:lang w:val="en-US" w:eastAsia="zh-CN"/>
              </w:rPr>
              <w:t>0.30</w:t>
            </w:r>
          </w:p>
        </w:tc>
        <w:tc>
          <w:tcPr>
            <w:tcW w:w="575" w:type="dxa"/>
            <w:vAlign w:val="center"/>
          </w:tcPr>
          <w:p>
            <w:pPr>
              <w:pStyle w:val="11"/>
              <w:jc w:val="center"/>
              <w:rPr>
                <w:rFonts w:ascii="方正书宋_GBK" w:hAnsi="方正书宋_GBK" w:eastAsia="方正书宋_GBK" w:cs="方正书宋_GBK"/>
                <w:sz w:val="21"/>
                <w:szCs w:val="24"/>
                <w:lang w:val="en-US" w:eastAsia="uk-UA" w:bidi="ar-SA"/>
              </w:rPr>
            </w:pPr>
          </w:p>
        </w:tc>
        <w:tc>
          <w:tcPr>
            <w:tcW w:w="0" w:type="auto"/>
            <w:vAlign w:val="center"/>
          </w:tcPr>
          <w:p>
            <w:pPr>
              <w:pStyle w:val="11"/>
              <w:jc w:val="center"/>
              <w:rPr>
                <w:rFonts w:ascii="方正书宋_GBK" w:hAnsi="方正书宋_GBK" w:eastAsia="方正书宋_GBK" w:cs="方正书宋_GBK"/>
                <w:sz w:val="21"/>
                <w:szCs w:val="24"/>
                <w:lang w:val="en-US" w:eastAsia="uk-UA" w:bidi="ar-SA"/>
              </w:rPr>
            </w:pPr>
          </w:p>
        </w:tc>
        <w:tc>
          <w:tcPr>
            <w:tcW w:w="0" w:type="auto"/>
            <w:vAlign w:val="center"/>
          </w:tcPr>
          <w:p>
            <w:pPr>
              <w:pStyle w:val="11"/>
              <w:jc w:val="center"/>
              <w:rPr>
                <w:rFonts w:ascii="方正书宋_GBK" w:hAnsi="方正书宋_GBK" w:eastAsia="方正书宋_GBK" w:cs="方正书宋_GBK"/>
                <w:sz w:val="21"/>
                <w:szCs w:val="24"/>
                <w:lang w:val="en-US" w:eastAsia="uk-UA" w:bidi="ar-SA"/>
              </w:rPr>
            </w:pPr>
          </w:p>
        </w:tc>
        <w:tc>
          <w:tcPr>
            <w:tcW w:w="0" w:type="auto"/>
            <w:vAlign w:val="center"/>
          </w:tcPr>
          <w:p>
            <w:pPr>
              <w:pStyle w:val="11"/>
              <w:jc w:val="center"/>
              <w:rPr>
                <w:rFonts w:ascii="方正书宋_GBK" w:hAnsi="方正书宋_GBK" w:eastAsia="方正书宋_GBK" w:cs="方正书宋_GBK"/>
                <w:sz w:val="21"/>
                <w:szCs w:val="24"/>
                <w:lang w:val="en-US" w:eastAsia="uk-UA" w:bidi="ar-SA"/>
              </w:rPr>
            </w:pPr>
          </w:p>
        </w:tc>
        <w:tc>
          <w:tcPr>
            <w:tcW w:w="0" w:type="auto"/>
            <w:vAlign w:val="center"/>
          </w:tcPr>
          <w:p>
            <w:pPr>
              <w:pStyle w:val="11"/>
              <w:jc w:val="center"/>
              <w:rPr>
                <w:rFonts w:ascii="方正书宋_GBK" w:hAnsi="方正书宋_GBK" w:eastAsia="方正书宋_GBK" w:cs="方正书宋_GBK"/>
                <w:sz w:val="21"/>
                <w:szCs w:val="24"/>
                <w:lang w:val="en-US" w:eastAsia="uk-UA" w:bidi="ar-SA"/>
              </w:rPr>
            </w:pPr>
          </w:p>
        </w:tc>
        <w:tc>
          <w:tcPr>
            <w:tcW w:w="0" w:type="auto"/>
            <w:vAlign w:val="center"/>
          </w:tcPr>
          <w:p>
            <w:pPr>
              <w:pStyle w:val="11"/>
              <w:jc w:val="center"/>
              <w:rPr>
                <w:rFonts w:ascii="方正书宋_GBK" w:hAnsi="方正书宋_GBK" w:eastAsia="方正书宋_GBK" w:cs="方正书宋_GBK"/>
                <w:sz w:val="21"/>
                <w:szCs w:val="24"/>
                <w:lang w:val="en-US" w:eastAsia="uk-UA" w:bidi="ar-SA"/>
              </w:rPr>
            </w:pPr>
          </w:p>
        </w:tc>
        <w:tc>
          <w:tcPr>
            <w:tcW w:w="0" w:type="auto"/>
            <w:vAlign w:val="center"/>
          </w:tcPr>
          <w:p>
            <w:pPr>
              <w:pStyle w:val="11"/>
              <w:jc w:val="center"/>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2"/>
              <w:jc w:val="center"/>
              <w:rPr>
                <w:rFonts w:hint="eastAsia" w:ascii="方正书宋_GBK" w:hAnsi="方正书宋_GBK" w:eastAsia="方正书宋_GBK" w:cs="方正书宋_GBK"/>
                <w:sz w:val="21"/>
                <w:szCs w:val="24"/>
                <w:lang w:val="en-US" w:eastAsia="zh-CN" w:bidi="ar-SA"/>
              </w:rPr>
            </w:pPr>
            <w:r>
              <w:rPr>
                <w:rFonts w:hint="eastAsia"/>
                <w:lang w:eastAsia="zh-CN"/>
              </w:rPr>
              <w:t>公用经费</w:t>
            </w:r>
          </w:p>
        </w:tc>
        <w:tc>
          <w:tcPr>
            <w:tcW w:w="0" w:type="auto"/>
            <w:vAlign w:val="center"/>
          </w:tcPr>
          <w:p>
            <w:pPr>
              <w:pStyle w:val="11"/>
              <w:jc w:val="center"/>
              <w:rPr>
                <w:rFonts w:hint="default" w:ascii="方正书宋_GBK" w:hAnsi="方正书宋_GBK" w:eastAsia="方正书宋_GBK" w:cs="方正书宋_GBK"/>
                <w:sz w:val="21"/>
                <w:szCs w:val="24"/>
                <w:lang w:val="en-US" w:eastAsia="zh-CN" w:bidi="ar-SA"/>
              </w:rPr>
            </w:pPr>
            <w:r>
              <w:rPr>
                <w:rFonts w:hint="eastAsia"/>
                <w:lang w:val="en-US" w:eastAsia="zh-CN"/>
              </w:rPr>
              <w:t>0.0375</w:t>
            </w:r>
          </w:p>
        </w:tc>
        <w:tc>
          <w:tcPr>
            <w:tcW w:w="1654" w:type="dxa"/>
            <w:vAlign w:val="center"/>
          </w:tcPr>
          <w:p>
            <w:pPr>
              <w:pStyle w:val="12"/>
              <w:jc w:val="center"/>
              <w:rPr>
                <w:rFonts w:hint="eastAsia" w:ascii="方正书宋_GBK" w:hAnsi="方正书宋_GBK" w:eastAsia="方正书宋_GBK" w:cs="方正书宋_GBK"/>
                <w:sz w:val="21"/>
                <w:szCs w:val="24"/>
                <w:lang w:val="en-US" w:eastAsia="zh-CN" w:bidi="ar-SA"/>
              </w:rPr>
            </w:pPr>
            <w:r>
              <w:rPr>
                <w:rFonts w:hint="eastAsia"/>
                <w:lang w:eastAsia="zh-CN"/>
              </w:rPr>
              <w:t>小茶几</w:t>
            </w:r>
          </w:p>
        </w:tc>
        <w:tc>
          <w:tcPr>
            <w:tcW w:w="1200" w:type="dxa"/>
            <w:vAlign w:val="center"/>
          </w:tcPr>
          <w:p>
            <w:pPr>
              <w:pStyle w:val="12"/>
              <w:jc w:val="center"/>
              <w:rPr>
                <w:rFonts w:ascii="方正书宋_GBK" w:hAnsi="方正书宋_GBK" w:eastAsia="方正书宋_GBK" w:cs="方正书宋_GBK"/>
                <w:sz w:val="21"/>
                <w:szCs w:val="24"/>
                <w:lang w:val="en-US" w:eastAsia="uk-UA" w:bidi="ar-SA"/>
              </w:rPr>
            </w:pPr>
            <w:r>
              <w:rPr>
                <w:rFonts w:hint="eastAsia"/>
              </w:rPr>
              <w:t>A05019900</w:t>
            </w:r>
          </w:p>
        </w:tc>
        <w:tc>
          <w:tcPr>
            <w:tcW w:w="660" w:type="dxa"/>
            <w:vAlign w:val="center"/>
          </w:tcPr>
          <w:p>
            <w:pPr>
              <w:pStyle w:val="13"/>
              <w:jc w:val="center"/>
              <w:rPr>
                <w:rFonts w:hint="eastAsia" w:ascii="方正书宋_GBK" w:hAnsi="方正书宋_GBK" w:eastAsia="方正书宋_GBK" w:cs="方正书宋_GBK"/>
                <w:sz w:val="21"/>
                <w:szCs w:val="24"/>
                <w:lang w:val="en-US" w:eastAsia="zh-CN" w:bidi="ar-SA"/>
              </w:rPr>
            </w:pPr>
            <w:r>
              <w:rPr>
                <w:rFonts w:hint="eastAsia"/>
                <w:lang w:eastAsia="zh-CN"/>
              </w:rPr>
              <w:t>个</w:t>
            </w:r>
          </w:p>
        </w:tc>
        <w:tc>
          <w:tcPr>
            <w:tcW w:w="510" w:type="dxa"/>
            <w:vAlign w:val="center"/>
          </w:tcPr>
          <w:p>
            <w:pPr>
              <w:pStyle w:val="11"/>
              <w:jc w:val="center"/>
              <w:rPr>
                <w:rFonts w:hint="eastAsia" w:ascii="方正书宋_GBK" w:hAnsi="方正书宋_GBK" w:eastAsia="方正书宋_GBK" w:cs="方正书宋_GBK"/>
                <w:sz w:val="21"/>
                <w:szCs w:val="24"/>
                <w:lang w:val="en-US" w:eastAsia="zh-CN" w:bidi="ar-SA"/>
              </w:rPr>
            </w:pPr>
            <w:r>
              <w:rPr>
                <w:rFonts w:hint="eastAsia"/>
                <w:lang w:val="en-US" w:eastAsia="zh-CN"/>
              </w:rPr>
              <w:t>8</w:t>
            </w:r>
          </w:p>
        </w:tc>
        <w:tc>
          <w:tcPr>
            <w:tcW w:w="855" w:type="dxa"/>
            <w:vAlign w:val="center"/>
          </w:tcPr>
          <w:p>
            <w:pPr>
              <w:pStyle w:val="11"/>
              <w:jc w:val="center"/>
              <w:rPr>
                <w:rFonts w:hint="default" w:ascii="方正书宋_GBK" w:hAnsi="方正书宋_GBK" w:eastAsia="方正书宋_GBK" w:cs="方正书宋_GBK"/>
                <w:sz w:val="21"/>
                <w:szCs w:val="24"/>
                <w:lang w:val="en-US" w:eastAsia="zh-CN" w:bidi="ar-SA"/>
              </w:rPr>
            </w:pPr>
            <w:r>
              <w:rPr>
                <w:rFonts w:hint="eastAsia"/>
                <w:lang w:val="en-US" w:eastAsia="zh-CN"/>
              </w:rPr>
              <w:t>0.0375</w:t>
            </w:r>
          </w:p>
        </w:tc>
        <w:tc>
          <w:tcPr>
            <w:tcW w:w="960" w:type="dxa"/>
            <w:vAlign w:val="center"/>
          </w:tcPr>
          <w:p>
            <w:pPr>
              <w:pStyle w:val="11"/>
              <w:jc w:val="center"/>
              <w:rPr>
                <w:rFonts w:hint="default" w:ascii="方正书宋_GBK" w:hAnsi="方正书宋_GBK" w:eastAsia="方正书宋_GBK" w:cs="方正书宋_GBK"/>
                <w:sz w:val="21"/>
                <w:szCs w:val="24"/>
                <w:lang w:val="en-US" w:eastAsia="zh-CN" w:bidi="ar-SA"/>
              </w:rPr>
            </w:pPr>
            <w:r>
              <w:rPr>
                <w:rFonts w:hint="eastAsia"/>
                <w:lang w:val="en-US" w:eastAsia="zh-CN"/>
              </w:rPr>
              <w:t>0.0375</w:t>
            </w:r>
          </w:p>
        </w:tc>
        <w:tc>
          <w:tcPr>
            <w:tcW w:w="1155" w:type="dxa"/>
            <w:vAlign w:val="center"/>
          </w:tcPr>
          <w:p>
            <w:pPr>
              <w:pStyle w:val="11"/>
              <w:jc w:val="center"/>
              <w:rPr>
                <w:rFonts w:hint="default" w:ascii="方正书宋_GBK" w:hAnsi="方正书宋_GBK" w:eastAsia="方正书宋_GBK" w:cs="方正书宋_GBK"/>
                <w:sz w:val="21"/>
                <w:szCs w:val="24"/>
                <w:lang w:val="en-US" w:eastAsia="zh-CN" w:bidi="ar-SA"/>
              </w:rPr>
            </w:pPr>
            <w:r>
              <w:rPr>
                <w:rFonts w:hint="eastAsia"/>
                <w:lang w:val="en-US" w:eastAsia="zh-CN"/>
              </w:rPr>
              <w:t>0.0375</w:t>
            </w:r>
          </w:p>
        </w:tc>
        <w:tc>
          <w:tcPr>
            <w:tcW w:w="575" w:type="dxa"/>
            <w:vAlign w:val="center"/>
          </w:tcPr>
          <w:p>
            <w:pPr>
              <w:pStyle w:val="11"/>
              <w:jc w:val="center"/>
              <w:rPr>
                <w:rFonts w:ascii="方正书宋_GBK" w:hAnsi="方正书宋_GBK" w:eastAsia="方正书宋_GBK" w:cs="方正书宋_GBK"/>
                <w:sz w:val="21"/>
                <w:szCs w:val="24"/>
                <w:lang w:val="en-US" w:eastAsia="uk-UA" w:bidi="ar-SA"/>
              </w:rPr>
            </w:pPr>
          </w:p>
        </w:tc>
        <w:tc>
          <w:tcPr>
            <w:tcW w:w="0" w:type="auto"/>
            <w:vAlign w:val="center"/>
          </w:tcPr>
          <w:p>
            <w:pPr>
              <w:pStyle w:val="11"/>
              <w:jc w:val="center"/>
              <w:rPr>
                <w:rFonts w:ascii="方正书宋_GBK" w:hAnsi="方正书宋_GBK" w:eastAsia="方正书宋_GBK" w:cs="方正书宋_GBK"/>
                <w:sz w:val="21"/>
                <w:szCs w:val="24"/>
                <w:lang w:val="en-US" w:eastAsia="uk-UA" w:bidi="ar-SA"/>
              </w:rPr>
            </w:pPr>
          </w:p>
        </w:tc>
        <w:tc>
          <w:tcPr>
            <w:tcW w:w="0" w:type="auto"/>
            <w:vAlign w:val="center"/>
          </w:tcPr>
          <w:p>
            <w:pPr>
              <w:pStyle w:val="11"/>
              <w:jc w:val="center"/>
              <w:rPr>
                <w:rFonts w:ascii="方正书宋_GBK" w:hAnsi="方正书宋_GBK" w:eastAsia="方正书宋_GBK" w:cs="方正书宋_GBK"/>
                <w:sz w:val="21"/>
                <w:szCs w:val="24"/>
                <w:lang w:val="en-US" w:eastAsia="uk-UA" w:bidi="ar-SA"/>
              </w:rPr>
            </w:pPr>
          </w:p>
        </w:tc>
        <w:tc>
          <w:tcPr>
            <w:tcW w:w="0" w:type="auto"/>
            <w:vAlign w:val="center"/>
          </w:tcPr>
          <w:p>
            <w:pPr>
              <w:pStyle w:val="11"/>
              <w:jc w:val="center"/>
              <w:rPr>
                <w:rFonts w:ascii="方正书宋_GBK" w:hAnsi="方正书宋_GBK" w:eastAsia="方正书宋_GBK" w:cs="方正书宋_GBK"/>
                <w:sz w:val="21"/>
                <w:szCs w:val="24"/>
                <w:lang w:val="en-US" w:eastAsia="uk-UA" w:bidi="ar-SA"/>
              </w:rPr>
            </w:pPr>
          </w:p>
        </w:tc>
        <w:tc>
          <w:tcPr>
            <w:tcW w:w="0" w:type="auto"/>
            <w:vAlign w:val="center"/>
          </w:tcPr>
          <w:p>
            <w:pPr>
              <w:pStyle w:val="11"/>
              <w:jc w:val="center"/>
              <w:rPr>
                <w:rFonts w:ascii="方正书宋_GBK" w:hAnsi="方正书宋_GBK" w:eastAsia="方正书宋_GBK" w:cs="方正书宋_GBK"/>
                <w:sz w:val="21"/>
                <w:szCs w:val="24"/>
                <w:lang w:val="en-US" w:eastAsia="uk-UA" w:bidi="ar-SA"/>
              </w:rPr>
            </w:pPr>
          </w:p>
        </w:tc>
        <w:tc>
          <w:tcPr>
            <w:tcW w:w="0" w:type="auto"/>
            <w:vAlign w:val="center"/>
          </w:tcPr>
          <w:p>
            <w:pPr>
              <w:pStyle w:val="11"/>
              <w:jc w:val="center"/>
              <w:rPr>
                <w:rFonts w:ascii="方正书宋_GBK" w:hAnsi="方正书宋_GBK" w:eastAsia="方正书宋_GBK" w:cs="方正书宋_GBK"/>
                <w:sz w:val="21"/>
                <w:szCs w:val="24"/>
                <w:lang w:val="en-US" w:eastAsia="uk-UA" w:bidi="ar-SA"/>
              </w:rPr>
            </w:pPr>
          </w:p>
        </w:tc>
        <w:tc>
          <w:tcPr>
            <w:tcW w:w="0" w:type="auto"/>
            <w:vAlign w:val="center"/>
          </w:tcPr>
          <w:p>
            <w:pPr>
              <w:pStyle w:val="11"/>
              <w:jc w:val="center"/>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2"/>
              <w:jc w:val="center"/>
              <w:rPr>
                <w:rFonts w:hint="eastAsia" w:ascii="方正书宋_GBK" w:hAnsi="方正书宋_GBK" w:eastAsia="方正书宋_GBK" w:cs="方正书宋_GBK"/>
                <w:sz w:val="21"/>
                <w:szCs w:val="24"/>
                <w:lang w:val="en-US" w:eastAsia="zh-CN" w:bidi="ar-SA"/>
              </w:rPr>
            </w:pPr>
            <w:r>
              <w:rPr>
                <w:rFonts w:hint="eastAsia"/>
                <w:lang w:eastAsia="zh-CN"/>
              </w:rPr>
              <w:t>演播厅装修费</w:t>
            </w:r>
          </w:p>
        </w:tc>
        <w:tc>
          <w:tcPr>
            <w:tcW w:w="0" w:type="auto"/>
            <w:vAlign w:val="center"/>
          </w:tcPr>
          <w:p>
            <w:pPr>
              <w:pStyle w:val="11"/>
              <w:jc w:val="center"/>
              <w:rPr>
                <w:rFonts w:hint="default" w:ascii="方正书宋_GBK" w:hAnsi="方正书宋_GBK" w:eastAsia="方正书宋_GBK" w:cs="方正书宋_GBK"/>
                <w:sz w:val="21"/>
                <w:szCs w:val="24"/>
                <w:lang w:val="en-US" w:eastAsia="zh-CN" w:bidi="ar-SA"/>
              </w:rPr>
            </w:pPr>
            <w:r>
              <w:t>80.00</w:t>
            </w:r>
          </w:p>
        </w:tc>
        <w:tc>
          <w:tcPr>
            <w:tcW w:w="1654" w:type="dxa"/>
            <w:vAlign w:val="center"/>
          </w:tcPr>
          <w:p>
            <w:pPr>
              <w:pStyle w:val="12"/>
              <w:jc w:val="center"/>
              <w:rPr>
                <w:rFonts w:hint="eastAsia" w:ascii="方正书宋_GBK" w:hAnsi="方正书宋_GBK" w:eastAsia="方正书宋_GBK" w:cs="方正书宋_GBK"/>
                <w:sz w:val="21"/>
                <w:szCs w:val="24"/>
                <w:lang w:val="en-US" w:eastAsia="zh-CN" w:bidi="ar-SA"/>
              </w:rPr>
            </w:pPr>
            <w:r>
              <w:t>装修工程</w:t>
            </w:r>
          </w:p>
        </w:tc>
        <w:tc>
          <w:tcPr>
            <w:tcW w:w="1200" w:type="dxa"/>
            <w:vAlign w:val="center"/>
          </w:tcPr>
          <w:p>
            <w:pPr>
              <w:pStyle w:val="12"/>
              <w:jc w:val="center"/>
              <w:rPr>
                <w:rFonts w:hint="eastAsia" w:ascii="方正书宋_GBK" w:hAnsi="方正书宋_GBK" w:eastAsia="方正书宋_GBK" w:cs="方正书宋_GBK"/>
                <w:sz w:val="21"/>
                <w:szCs w:val="24"/>
                <w:lang w:val="en-US" w:eastAsia="uk-UA" w:bidi="ar-SA"/>
              </w:rPr>
            </w:pPr>
            <w:r>
              <w:t>B07000000</w:t>
            </w:r>
          </w:p>
        </w:tc>
        <w:tc>
          <w:tcPr>
            <w:tcW w:w="660" w:type="dxa"/>
            <w:vAlign w:val="center"/>
          </w:tcPr>
          <w:p>
            <w:pPr>
              <w:pStyle w:val="13"/>
              <w:jc w:val="center"/>
              <w:rPr>
                <w:rFonts w:hint="eastAsia" w:ascii="方正书宋_GBK" w:hAnsi="方正书宋_GBK" w:eastAsia="方正书宋_GBK" w:cs="方正书宋_GBK"/>
                <w:sz w:val="21"/>
                <w:szCs w:val="24"/>
                <w:lang w:val="en-US" w:eastAsia="zh-CN" w:bidi="ar-SA"/>
              </w:rPr>
            </w:pPr>
            <w:r>
              <w:t>万元</w:t>
            </w:r>
          </w:p>
        </w:tc>
        <w:tc>
          <w:tcPr>
            <w:tcW w:w="510" w:type="dxa"/>
            <w:vAlign w:val="center"/>
          </w:tcPr>
          <w:p>
            <w:pPr>
              <w:pStyle w:val="11"/>
              <w:jc w:val="center"/>
              <w:rPr>
                <w:rFonts w:hint="eastAsia" w:ascii="方正书宋_GBK" w:hAnsi="方正书宋_GBK" w:eastAsia="方正书宋_GBK" w:cs="方正书宋_GBK"/>
                <w:sz w:val="21"/>
                <w:szCs w:val="24"/>
                <w:lang w:val="en-US" w:eastAsia="zh-CN" w:bidi="ar-SA"/>
              </w:rPr>
            </w:pPr>
            <w:r>
              <w:t>1</w:t>
            </w:r>
          </w:p>
        </w:tc>
        <w:tc>
          <w:tcPr>
            <w:tcW w:w="855" w:type="dxa"/>
            <w:vAlign w:val="center"/>
          </w:tcPr>
          <w:p>
            <w:pPr>
              <w:pStyle w:val="11"/>
              <w:jc w:val="center"/>
              <w:rPr>
                <w:rFonts w:hint="eastAsia" w:ascii="方正书宋_GBK" w:hAnsi="方正书宋_GBK" w:eastAsia="方正书宋_GBK" w:cs="方正书宋_GBK"/>
                <w:sz w:val="21"/>
                <w:szCs w:val="24"/>
                <w:lang w:val="en-US" w:eastAsia="zh-CN" w:bidi="ar-SA"/>
              </w:rPr>
            </w:pPr>
            <w:r>
              <w:t>80.00</w:t>
            </w:r>
          </w:p>
        </w:tc>
        <w:tc>
          <w:tcPr>
            <w:tcW w:w="960" w:type="dxa"/>
            <w:vAlign w:val="center"/>
          </w:tcPr>
          <w:p>
            <w:pPr>
              <w:pStyle w:val="11"/>
              <w:jc w:val="center"/>
              <w:rPr>
                <w:rFonts w:hint="eastAsia" w:ascii="方正书宋_GBK" w:hAnsi="方正书宋_GBK" w:eastAsia="方正书宋_GBK" w:cs="方正书宋_GBK"/>
                <w:sz w:val="21"/>
                <w:szCs w:val="24"/>
                <w:lang w:val="en-US" w:eastAsia="zh-CN" w:bidi="ar-SA"/>
              </w:rPr>
            </w:pPr>
            <w:r>
              <w:t>80.00</w:t>
            </w:r>
          </w:p>
        </w:tc>
        <w:tc>
          <w:tcPr>
            <w:tcW w:w="1155" w:type="dxa"/>
            <w:vAlign w:val="center"/>
          </w:tcPr>
          <w:p>
            <w:pPr>
              <w:pStyle w:val="11"/>
              <w:jc w:val="center"/>
              <w:rPr>
                <w:rFonts w:hint="eastAsia" w:ascii="方正书宋_GBK" w:hAnsi="方正书宋_GBK" w:eastAsia="方正书宋_GBK" w:cs="方正书宋_GBK"/>
                <w:sz w:val="21"/>
                <w:szCs w:val="24"/>
                <w:lang w:val="en-US" w:eastAsia="zh-CN" w:bidi="ar-SA"/>
              </w:rPr>
            </w:pPr>
            <w:r>
              <w:t>80.00</w:t>
            </w:r>
          </w:p>
        </w:tc>
        <w:tc>
          <w:tcPr>
            <w:tcW w:w="575" w:type="dxa"/>
            <w:vAlign w:val="center"/>
          </w:tcPr>
          <w:p>
            <w:pPr>
              <w:pStyle w:val="11"/>
              <w:jc w:val="center"/>
              <w:rPr>
                <w:rFonts w:ascii="方正书宋_GBK" w:hAnsi="方正书宋_GBK" w:eastAsia="方正书宋_GBK" w:cs="方正书宋_GBK"/>
                <w:sz w:val="21"/>
                <w:szCs w:val="24"/>
                <w:lang w:val="en-US" w:eastAsia="uk-UA" w:bidi="ar-SA"/>
              </w:rPr>
            </w:pPr>
          </w:p>
        </w:tc>
        <w:tc>
          <w:tcPr>
            <w:tcW w:w="0" w:type="auto"/>
            <w:vAlign w:val="center"/>
          </w:tcPr>
          <w:p>
            <w:pPr>
              <w:pStyle w:val="11"/>
              <w:jc w:val="center"/>
              <w:rPr>
                <w:rFonts w:ascii="方正书宋_GBK" w:hAnsi="方正书宋_GBK" w:eastAsia="方正书宋_GBK" w:cs="方正书宋_GBK"/>
                <w:sz w:val="21"/>
                <w:szCs w:val="24"/>
                <w:lang w:val="en-US" w:eastAsia="uk-UA" w:bidi="ar-SA"/>
              </w:rPr>
            </w:pPr>
          </w:p>
        </w:tc>
        <w:tc>
          <w:tcPr>
            <w:tcW w:w="0" w:type="auto"/>
            <w:vAlign w:val="center"/>
          </w:tcPr>
          <w:p>
            <w:pPr>
              <w:pStyle w:val="11"/>
              <w:jc w:val="center"/>
              <w:rPr>
                <w:rFonts w:ascii="方正书宋_GBK" w:hAnsi="方正书宋_GBK" w:eastAsia="方正书宋_GBK" w:cs="方正书宋_GBK"/>
                <w:sz w:val="21"/>
                <w:szCs w:val="24"/>
                <w:lang w:val="en-US" w:eastAsia="uk-UA" w:bidi="ar-SA"/>
              </w:rPr>
            </w:pPr>
          </w:p>
        </w:tc>
        <w:tc>
          <w:tcPr>
            <w:tcW w:w="0" w:type="auto"/>
            <w:vAlign w:val="center"/>
          </w:tcPr>
          <w:p>
            <w:pPr>
              <w:pStyle w:val="11"/>
              <w:jc w:val="center"/>
              <w:rPr>
                <w:rFonts w:ascii="方正书宋_GBK" w:hAnsi="方正书宋_GBK" w:eastAsia="方正书宋_GBK" w:cs="方正书宋_GBK"/>
                <w:sz w:val="21"/>
                <w:szCs w:val="24"/>
                <w:lang w:val="en-US" w:eastAsia="uk-UA" w:bidi="ar-SA"/>
              </w:rPr>
            </w:pPr>
          </w:p>
        </w:tc>
        <w:tc>
          <w:tcPr>
            <w:tcW w:w="0" w:type="auto"/>
            <w:vAlign w:val="center"/>
          </w:tcPr>
          <w:p>
            <w:pPr>
              <w:pStyle w:val="11"/>
              <w:jc w:val="center"/>
              <w:rPr>
                <w:rFonts w:ascii="方正书宋_GBK" w:hAnsi="方正书宋_GBK" w:eastAsia="方正书宋_GBK" w:cs="方正书宋_GBK"/>
                <w:sz w:val="21"/>
                <w:szCs w:val="24"/>
                <w:lang w:val="en-US" w:eastAsia="uk-UA" w:bidi="ar-SA"/>
              </w:rPr>
            </w:pPr>
          </w:p>
        </w:tc>
        <w:tc>
          <w:tcPr>
            <w:tcW w:w="0" w:type="auto"/>
            <w:vAlign w:val="center"/>
          </w:tcPr>
          <w:p>
            <w:pPr>
              <w:pStyle w:val="11"/>
              <w:jc w:val="center"/>
              <w:rPr>
                <w:rFonts w:ascii="方正书宋_GBK" w:hAnsi="方正书宋_GBK" w:eastAsia="方正书宋_GBK" w:cs="方正书宋_GBK"/>
                <w:sz w:val="21"/>
                <w:szCs w:val="24"/>
                <w:lang w:val="en-US" w:eastAsia="uk-UA" w:bidi="ar-SA"/>
              </w:rPr>
            </w:pPr>
          </w:p>
        </w:tc>
        <w:tc>
          <w:tcPr>
            <w:tcW w:w="0" w:type="auto"/>
            <w:vAlign w:val="center"/>
          </w:tcPr>
          <w:p>
            <w:pPr>
              <w:pStyle w:val="11"/>
              <w:jc w:val="center"/>
              <w:rPr>
                <w:rFonts w:ascii="方正书宋_GBK" w:hAnsi="方正书宋_GBK" w:eastAsia="方正书宋_GBK" w:cs="方正书宋_GBK"/>
                <w:sz w:val="21"/>
                <w:szCs w:val="24"/>
                <w:lang w:val="en-US" w:eastAsia="uk-UA" w:bidi="ar-SA"/>
              </w:rPr>
            </w:pPr>
            <w:r>
              <w:t>80.00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石家庄市鹿泉区融媒体中心（含所属单位）上年末固定资产金额为2050.43万元（详见下表）。本年度拟购置固定资产总额为2万元，已按要求列入政府采购预算，详见政府采购预算表。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359石家庄市鹿泉区融媒体中心</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2050.43</w:t>
            </w:r>
          </w:p>
        </w:tc>
      </w:tr>
      <w:tr>
        <w:tblPrEx>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3553</w:t>
            </w:r>
          </w:p>
        </w:tc>
        <w:tc>
          <w:tcPr>
            <w:tcW w:w="2835" w:type="dxa"/>
            <w:vAlign w:val="center"/>
          </w:tcPr>
          <w:p>
            <w:pPr>
              <w:pStyle w:val="11"/>
            </w:pPr>
            <w:r>
              <w:t>278.68</w:t>
            </w:r>
          </w:p>
        </w:tc>
      </w:tr>
      <w:tr>
        <w:tblPrEx>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3090</w:t>
            </w:r>
          </w:p>
        </w:tc>
        <w:tc>
          <w:tcPr>
            <w:tcW w:w="2835" w:type="dxa"/>
            <w:vAlign w:val="center"/>
          </w:tcPr>
          <w:p>
            <w:pPr>
              <w:pStyle w:val="11"/>
            </w:pPr>
            <w:r>
              <w:t>250.09</w:t>
            </w:r>
          </w:p>
        </w:tc>
      </w:tr>
      <w:tr>
        <w:tblPrEx>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31.42</w:t>
            </w:r>
          </w:p>
        </w:tc>
      </w:tr>
      <w:tr>
        <w:tblPrEx>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1740.33</w:t>
            </w:r>
          </w:p>
        </w:tc>
      </w:tr>
    </w:tbl>
    <w:p>
      <w:pPr>
        <w:ind w:firstLine="640"/>
      </w:pPr>
      <w:r>
        <w:rPr>
          <w:rFonts w:eastAsia="方正仿宋_GBK"/>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w:t>
      </w:r>
      <w:r>
        <w:rPr>
          <w:rFonts w:hint="eastAsia" w:eastAsia="方正仿宋_GBK"/>
          <w:color w:val="000000"/>
          <w:sz w:val="28"/>
          <w:lang w:eastAsia="zh-CN"/>
        </w:rPr>
        <w:t>区</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rPr>
          <w:rFonts w:hint="eastAsia" w:eastAsia="方正仿宋_GBK"/>
          <w:lang w:eastAsia="zh-CN"/>
        </w:rPr>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r>
        <w:rPr>
          <w:rFonts w:hint="eastAsia" w:eastAsia="方正仿宋_GBK"/>
          <w:color w:val="000000"/>
          <w:sz w:val="28"/>
          <w:lang w:eastAsia="zh-CN"/>
        </w:rPr>
        <w:t>。</w:t>
      </w:r>
    </w:p>
    <w:p>
      <w:pPr>
        <w:jc w:val="both"/>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269D81AD-2A41-4748-8E41-BA841D4DF3F8}"/>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script"/>
    <w:pitch w:val="default"/>
    <w:sig w:usb0="A00002BF" w:usb1="38CF7CFA" w:usb2="00082016" w:usb3="00000000" w:csb0="00040001" w:csb1="00000000"/>
    <w:embedRegular r:id="rId2" w:fontKey="{AADCA157-0577-43B6-84DE-DB8BE6949AEC}"/>
  </w:font>
  <w:font w:name="方正书宋_GBK">
    <w:altName w:val="宋体"/>
    <w:panose1 w:val="00000000000000000000"/>
    <w:charset w:val="86"/>
    <w:family w:val="script"/>
    <w:pitch w:val="default"/>
    <w:sig w:usb0="00000000" w:usb1="00000000" w:usb2="00000010" w:usb3="00000000" w:csb0="00040000" w:csb1="00000000"/>
    <w:embedRegular r:id="rId3" w:fontKey="{BC21B636-8024-4315-8DE4-D8BF34CE85DD}"/>
  </w:font>
  <w:font w:name="方正仿宋_GBK">
    <w:altName w:val="宋体"/>
    <w:panose1 w:val="00000000000000000000"/>
    <w:charset w:val="86"/>
    <w:family w:val="script"/>
    <w:pitch w:val="default"/>
    <w:sig w:usb0="00000000" w:usb1="00000000" w:usb2="00000010" w:usb3="00000000" w:csb0="00040000" w:csb1="00000000"/>
    <w:embedRegular r:id="rId4" w:fontKey="{C419FF03-E58D-4981-AE04-1941756D025F}"/>
  </w:font>
  <w:font w:name="方正楷体_GBK">
    <w:altName w:val="宋体"/>
    <w:panose1 w:val="00000000000000000000"/>
    <w:charset w:val="86"/>
    <w:family w:val="roman"/>
    <w:pitch w:val="default"/>
    <w:sig w:usb0="00000000" w:usb1="00000000" w:usb2="00000000" w:usb3="00000000" w:csb0="00040001" w:csb1="00000000"/>
    <w:embedRegular r:id="rId5" w:fontKey="{D8352C18-7716-424D-9438-F42261B35AAA}"/>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gxNmMyMWJlNGMxMmU4ZGY0Y2NkZGI5ZjQ4ODE4OTQifQ=="/>
  </w:docVars>
  <w:rsids>
    <w:rsidRoot w:val="007103A0"/>
    <w:rsid w:val="00173622"/>
    <w:rsid w:val="00190C07"/>
    <w:rsid w:val="002D2991"/>
    <w:rsid w:val="00434793"/>
    <w:rsid w:val="00481439"/>
    <w:rsid w:val="00525F18"/>
    <w:rsid w:val="00531C69"/>
    <w:rsid w:val="0067478D"/>
    <w:rsid w:val="00700727"/>
    <w:rsid w:val="007103A0"/>
    <w:rsid w:val="008E512F"/>
    <w:rsid w:val="009C5586"/>
    <w:rsid w:val="00A63FF1"/>
    <w:rsid w:val="00AE652A"/>
    <w:rsid w:val="00B8593A"/>
    <w:rsid w:val="00BD1FAC"/>
    <w:rsid w:val="00BF26B5"/>
    <w:rsid w:val="00C626B5"/>
    <w:rsid w:val="00CC618E"/>
    <w:rsid w:val="00E605C4"/>
    <w:rsid w:val="00E810F8"/>
    <w:rsid w:val="00F35EDF"/>
    <w:rsid w:val="012B64AF"/>
    <w:rsid w:val="01A544B3"/>
    <w:rsid w:val="01C34939"/>
    <w:rsid w:val="039E11BA"/>
    <w:rsid w:val="09F77876"/>
    <w:rsid w:val="0B495EAF"/>
    <w:rsid w:val="0D0C53E6"/>
    <w:rsid w:val="0D7330E0"/>
    <w:rsid w:val="0EF44384"/>
    <w:rsid w:val="0FB12275"/>
    <w:rsid w:val="10DF6144"/>
    <w:rsid w:val="11360C84"/>
    <w:rsid w:val="11ED5CDA"/>
    <w:rsid w:val="12BB3BF3"/>
    <w:rsid w:val="163634D4"/>
    <w:rsid w:val="16AB3EC2"/>
    <w:rsid w:val="198033E4"/>
    <w:rsid w:val="1A5328A6"/>
    <w:rsid w:val="1AEB2ADF"/>
    <w:rsid w:val="1BC53330"/>
    <w:rsid w:val="1CF814E3"/>
    <w:rsid w:val="1E766B63"/>
    <w:rsid w:val="1EB1403F"/>
    <w:rsid w:val="1F0040F4"/>
    <w:rsid w:val="1F10520A"/>
    <w:rsid w:val="20D367A9"/>
    <w:rsid w:val="25BD32CA"/>
    <w:rsid w:val="267F67D1"/>
    <w:rsid w:val="2D2D51D9"/>
    <w:rsid w:val="2F126434"/>
    <w:rsid w:val="303B19BB"/>
    <w:rsid w:val="32F12805"/>
    <w:rsid w:val="33BE4DDD"/>
    <w:rsid w:val="34056568"/>
    <w:rsid w:val="36C24BE4"/>
    <w:rsid w:val="36E364CC"/>
    <w:rsid w:val="38207E14"/>
    <w:rsid w:val="38887767"/>
    <w:rsid w:val="393F251C"/>
    <w:rsid w:val="39D76BF8"/>
    <w:rsid w:val="3C5C5193"/>
    <w:rsid w:val="3F5E1222"/>
    <w:rsid w:val="41C07F72"/>
    <w:rsid w:val="42361780"/>
    <w:rsid w:val="44F87A23"/>
    <w:rsid w:val="49D50BA2"/>
    <w:rsid w:val="4CC254E6"/>
    <w:rsid w:val="4FDF015D"/>
    <w:rsid w:val="51986815"/>
    <w:rsid w:val="51F37EF0"/>
    <w:rsid w:val="521C2FA3"/>
    <w:rsid w:val="527728CF"/>
    <w:rsid w:val="52CF44B9"/>
    <w:rsid w:val="53EA0E7E"/>
    <w:rsid w:val="552C79A0"/>
    <w:rsid w:val="55937A20"/>
    <w:rsid w:val="56C9121F"/>
    <w:rsid w:val="5988716F"/>
    <w:rsid w:val="5A201A9E"/>
    <w:rsid w:val="5B1038C0"/>
    <w:rsid w:val="5B77749C"/>
    <w:rsid w:val="5BE80399"/>
    <w:rsid w:val="5C3929A3"/>
    <w:rsid w:val="60966616"/>
    <w:rsid w:val="619F599E"/>
    <w:rsid w:val="65D648DA"/>
    <w:rsid w:val="676A6106"/>
    <w:rsid w:val="67B6134C"/>
    <w:rsid w:val="6A3B3D8A"/>
    <w:rsid w:val="6B036F9E"/>
    <w:rsid w:val="6E7A30D3"/>
    <w:rsid w:val="6E7C2B41"/>
    <w:rsid w:val="6F6A1399"/>
    <w:rsid w:val="6FD05E49"/>
    <w:rsid w:val="70003AAC"/>
    <w:rsid w:val="71CA2BC1"/>
    <w:rsid w:val="71ED1E0E"/>
    <w:rsid w:val="72AA7CFF"/>
    <w:rsid w:val="73F751C6"/>
    <w:rsid w:val="775F555C"/>
    <w:rsid w:val="799C2132"/>
    <w:rsid w:val="7B892BA7"/>
    <w:rsid w:val="7E2117BD"/>
    <w:rsid w:val="7E2766A8"/>
    <w:rsid w:val="7FFB60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34"/>
    <w:autoRedefine/>
    <w:semiHidden/>
    <w:unhideWhenUsed/>
    <w:qFormat/>
    <w:uiPriority w:val="99"/>
    <w:pPr>
      <w:tabs>
        <w:tab w:val="center" w:pos="4153"/>
        <w:tab w:val="right" w:pos="8306"/>
      </w:tabs>
      <w:snapToGrid w:val="0"/>
    </w:pPr>
    <w:rPr>
      <w:sz w:val="18"/>
      <w:szCs w:val="18"/>
    </w:rPr>
  </w:style>
  <w:style w:type="paragraph" w:styleId="3">
    <w:name w:val="header"/>
    <w:basedOn w:val="1"/>
    <w:link w:val="33"/>
    <w:autoRedefine/>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2" Type="http://schemas.openxmlformats.org/officeDocument/2006/relationships/fontTable" Target="fontTable.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2023-02-14T15:00:09Z</dcterms:created>
  <dcterms:modified xsi:type="dcterms:W3CDTF">2023-02-14T07:00:09Z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2023-02-14T15:00:08Z</dcterms:created>
  <dcterms:modified xsi:type="dcterms:W3CDTF">2023-02-14T07:00:08Z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2023-02-14T15:00:10Z</dcterms:created>
  <dcterms:modified xsi:type="dcterms:W3CDTF">2023-02-14T07:00:10Z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2023-02-14T15:00:09Z</dcterms:created>
  <dcterms:modified xsi:type="dcterms:W3CDTF">2023-02-14T07:00:09Z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2023-02-14T14:59:57Z</dcterms:created>
  <dcterms:modified xsi:type="dcterms:W3CDTF">2023-02-14T06:59:57Z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2023-02-14T14:59:55Z</dcterms:created>
  <dcterms:modified xsi:type="dcterms:W3CDTF">2023-02-14T06:59:55Z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2023-02-14T15:00:05Z</dcterms:created>
  <dcterms:modified xsi:type="dcterms:W3CDTF">2023-02-14T07:00:05Z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2023-02-14T14:59:56Z</dcterms:created>
  <dcterms:modified xsi:type="dcterms:W3CDTF">2023-02-14T06:59:56Z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2023-02-14T15:00:17Z</dcterms:created>
  <dcterms:modified xsi:type="dcterms:W3CDTF">2023-02-14T07:00:17Z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2023-02-14T15:00:09Z</dcterms:created>
  <dcterms:modified xsi:type="dcterms:W3CDTF">2023-02-14T07:00:09Z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2023-02-14T14:59:56Z</dcterms:created>
  <dcterms:modified xsi:type="dcterms:W3CDTF">2023-02-14T06:59:56Z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2023-02-14T14:59:52Z</dcterms:created>
  <dcterms:modified xsi:type="dcterms:W3CDTF">2023-02-14T06:59:52Z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2023-02-14T15:00:11Z</dcterms:created>
  <dcterms:modified xsi:type="dcterms:W3CDTF">2023-02-14T07:00:11Z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2023-02-14T15:00:08Z</dcterms:created>
  <dcterms:modified xsi:type="dcterms:W3CDTF">2023-02-14T07:00:08Z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2023-02-14T14:59:55Z</dcterms:created>
  <dcterms:modified xsi:type="dcterms:W3CDTF">2023-02-14T06:59:55Z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2023-02-14T14:59:55Z</dcterms:created>
  <dcterms:modified xsi:type="dcterms:W3CDTF">2023-02-14T06:59:55Z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2023-02-14T15:00:09Z</dcterms:created>
  <dcterms:modified xsi:type="dcterms:W3CDTF">2023-02-14T07:00:09Z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2023-02-14T15:00:08Z</dcterms:created>
  <dcterms:modified xsi:type="dcterms:W3CDTF">2023-02-14T07:00:08Z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2023-02-14T14:59:57Z</dcterms:created>
  <dcterms:modified xsi:type="dcterms:W3CDTF">2023-02-14T06:59:57Z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2023-02-14T14:59:56Z</dcterms:created>
  <dcterms:modified xsi:type="dcterms:W3CDTF">2023-02-14T06:59:56Z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2023-02-14T14:59:59Z</dcterms:created>
  <dcterms:modified xsi:type="dcterms:W3CDTF">2023-02-14T06:59:59Z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2023-02-14T14:59:55Z</dcterms:created>
  <dcterms:modified xsi:type="dcterms:W3CDTF">2023-02-14T06:59:55Z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2023-02-14T15:00:16Z</dcterms:created>
  <dcterms:modified xsi:type="dcterms:W3CDTF">2023-02-14T07:00:15Z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7E95B52E-1F0D-42DD-9119-AE6C78067897}">
  <ds:schemaRefs/>
</ds:datastoreItem>
</file>

<file path=customXml/itemProps10.xml><?xml version="1.0" encoding="utf-8"?>
<ds:datastoreItem xmlns:ds="http://schemas.openxmlformats.org/officeDocument/2006/customXml" ds:itemID="{F6D0C24E-0CF0-481D-A991-F7D2382A8734}">
  <ds:schemaRefs/>
</ds:datastoreItem>
</file>

<file path=customXml/itemProps11.xml><?xml version="1.0" encoding="utf-8"?>
<ds:datastoreItem xmlns:ds="http://schemas.openxmlformats.org/officeDocument/2006/customXml" ds:itemID="{AF93E3E5-990A-4529-A8FB-4D8689BF40C4}">
  <ds:schemaRefs/>
</ds:datastoreItem>
</file>

<file path=customXml/itemProps12.xml><?xml version="1.0" encoding="utf-8"?>
<ds:datastoreItem xmlns:ds="http://schemas.openxmlformats.org/officeDocument/2006/customXml" ds:itemID="{86A3270A-9043-4CA8-A538-B298E5860162}">
  <ds:schemaRefs/>
</ds:datastoreItem>
</file>

<file path=customXml/itemProps13.xml><?xml version="1.0" encoding="utf-8"?>
<ds:datastoreItem xmlns:ds="http://schemas.openxmlformats.org/officeDocument/2006/customXml" ds:itemID="{03663B83-25E8-4228-B513-68DC64F46D12}">
  <ds:schemaRefs/>
</ds:datastoreItem>
</file>

<file path=customXml/itemProps14.xml><?xml version="1.0" encoding="utf-8"?>
<ds:datastoreItem xmlns:ds="http://schemas.openxmlformats.org/officeDocument/2006/customXml" ds:itemID="{D0A2E7C7-01A6-47C7-B2EF-C34BACAF884B}">
  <ds:schemaRefs/>
</ds:datastoreItem>
</file>

<file path=customXml/itemProps15.xml><?xml version="1.0" encoding="utf-8"?>
<ds:datastoreItem xmlns:ds="http://schemas.openxmlformats.org/officeDocument/2006/customXml" ds:itemID="{788D1232-8805-4567-BF70-B2617D1EFFC1}">
  <ds:schemaRefs/>
</ds:datastoreItem>
</file>

<file path=customXml/itemProps16.xml><?xml version="1.0" encoding="utf-8"?>
<ds:datastoreItem xmlns:ds="http://schemas.openxmlformats.org/officeDocument/2006/customXml" ds:itemID="{9CECD4D7-CAFC-42CA-96C3-62925CBD7970}">
  <ds:schemaRefs/>
</ds:datastoreItem>
</file>

<file path=customXml/itemProps17.xml><?xml version="1.0" encoding="utf-8"?>
<ds:datastoreItem xmlns:ds="http://schemas.openxmlformats.org/officeDocument/2006/customXml" ds:itemID="{6170A867-1BD3-4861-A22D-7D02CFDC09D0}">
  <ds:schemaRefs/>
</ds:datastoreItem>
</file>

<file path=customXml/itemProps18.xml><?xml version="1.0" encoding="utf-8"?>
<ds:datastoreItem xmlns:ds="http://schemas.openxmlformats.org/officeDocument/2006/customXml" ds:itemID="{E4086FE9-1E22-4D20-979D-653268480549}">
  <ds:schemaRefs/>
</ds:datastoreItem>
</file>

<file path=customXml/itemProps19.xml><?xml version="1.0" encoding="utf-8"?>
<ds:datastoreItem xmlns:ds="http://schemas.openxmlformats.org/officeDocument/2006/customXml" ds:itemID="{86F79907-75D6-4BD3-B68F-867668D79633}">
  <ds:schemaRefs/>
</ds:datastoreItem>
</file>

<file path=customXml/itemProps2.xml><?xml version="1.0" encoding="utf-8"?>
<ds:datastoreItem xmlns:ds="http://schemas.openxmlformats.org/officeDocument/2006/customXml" ds:itemID="{7029A365-A098-4E65-9323-71F7F75946A0}">
  <ds:schemaRefs/>
</ds:datastoreItem>
</file>

<file path=customXml/itemProps20.xml><?xml version="1.0" encoding="utf-8"?>
<ds:datastoreItem xmlns:ds="http://schemas.openxmlformats.org/officeDocument/2006/customXml" ds:itemID="{7A7FC27B-E6C2-4399-AB66-CE27D34E4175}">
  <ds:schemaRefs/>
</ds:datastoreItem>
</file>

<file path=customXml/itemProps21.xml><?xml version="1.0" encoding="utf-8"?>
<ds:datastoreItem xmlns:ds="http://schemas.openxmlformats.org/officeDocument/2006/customXml" ds:itemID="{9BA4C97D-FF38-4E7F-A7F0-2639E570598D}">
  <ds:schemaRefs/>
</ds:datastoreItem>
</file>

<file path=customXml/itemProps22.xml><?xml version="1.0" encoding="utf-8"?>
<ds:datastoreItem xmlns:ds="http://schemas.openxmlformats.org/officeDocument/2006/customXml" ds:itemID="{DB08519E-4334-4BA1-8236-99566A5EC988}">
  <ds:schemaRefs/>
</ds:datastoreItem>
</file>

<file path=customXml/itemProps23.xml><?xml version="1.0" encoding="utf-8"?>
<ds:datastoreItem xmlns:ds="http://schemas.openxmlformats.org/officeDocument/2006/customXml" ds:itemID="{4970D43D-CDB2-40D8-BA56-BC9F1AA868C4}">
  <ds:schemaRefs/>
</ds:datastoreItem>
</file>

<file path=customXml/itemProps24.xml><?xml version="1.0" encoding="utf-8"?>
<ds:datastoreItem xmlns:ds="http://schemas.openxmlformats.org/officeDocument/2006/customXml" ds:itemID="{07488BA9-0750-4568-A59F-13624F87494E}">
  <ds:schemaRefs/>
</ds:datastoreItem>
</file>

<file path=customXml/itemProps25.xml><?xml version="1.0" encoding="utf-8"?>
<ds:datastoreItem xmlns:ds="http://schemas.openxmlformats.org/officeDocument/2006/customXml" ds:itemID="{C0F17B3D-DA92-4CB4-A02B-37579546DEDA}">
  <ds:schemaRefs/>
</ds:datastoreItem>
</file>

<file path=customXml/itemProps26.xml><?xml version="1.0" encoding="utf-8"?>
<ds:datastoreItem xmlns:ds="http://schemas.openxmlformats.org/officeDocument/2006/customXml" ds:itemID="{185D13AC-3A00-4D25-BC7E-BC19AEEB0A29}">
  <ds:schemaRefs/>
</ds:datastoreItem>
</file>

<file path=customXml/itemProps27.xml><?xml version="1.0" encoding="utf-8"?>
<ds:datastoreItem xmlns:ds="http://schemas.openxmlformats.org/officeDocument/2006/customXml" ds:itemID="{9A41434E-5442-4EBF-86C7-CF1D5E452D7E}">
  <ds:schemaRefs/>
</ds:datastoreItem>
</file>

<file path=customXml/itemProps28.xml><?xml version="1.0" encoding="utf-8"?>
<ds:datastoreItem xmlns:ds="http://schemas.openxmlformats.org/officeDocument/2006/customXml" ds:itemID="{99AD121D-2E8A-47C6-9199-B25FC3059F3C}">
  <ds:schemaRefs/>
</ds:datastoreItem>
</file>

<file path=customXml/itemProps29.xml><?xml version="1.0" encoding="utf-8"?>
<ds:datastoreItem xmlns:ds="http://schemas.openxmlformats.org/officeDocument/2006/customXml" ds:itemID="{6872735D-3D8A-4ED7-97D3-37AD21222E19}">
  <ds:schemaRefs/>
</ds:datastoreItem>
</file>

<file path=customXml/itemProps3.xml><?xml version="1.0" encoding="utf-8"?>
<ds:datastoreItem xmlns:ds="http://schemas.openxmlformats.org/officeDocument/2006/customXml" ds:itemID="{5F8062D0-E125-4DA0-A236-76E794383EF0}">
  <ds:schemaRefs/>
</ds:datastoreItem>
</file>

<file path=customXml/itemProps30.xml><?xml version="1.0" encoding="utf-8"?>
<ds:datastoreItem xmlns:ds="http://schemas.openxmlformats.org/officeDocument/2006/customXml" ds:itemID="{676812D6-3411-4DA8-9A16-2065903FD346}">
  <ds:schemaRefs/>
</ds:datastoreItem>
</file>

<file path=customXml/itemProps31.xml><?xml version="1.0" encoding="utf-8"?>
<ds:datastoreItem xmlns:ds="http://schemas.openxmlformats.org/officeDocument/2006/customXml" ds:itemID="{86D75FD5-D54C-4E44-BD81-0E62BCD84C50}">
  <ds:schemaRefs/>
</ds:datastoreItem>
</file>

<file path=customXml/itemProps32.xml><?xml version="1.0" encoding="utf-8"?>
<ds:datastoreItem xmlns:ds="http://schemas.openxmlformats.org/officeDocument/2006/customXml" ds:itemID="{DCEBBF0C-460C-4B2F-B43D-7883C888B8E5}">
  <ds:schemaRefs/>
</ds:datastoreItem>
</file>

<file path=customXml/itemProps33.xml><?xml version="1.0" encoding="utf-8"?>
<ds:datastoreItem xmlns:ds="http://schemas.openxmlformats.org/officeDocument/2006/customXml" ds:itemID="{6D723C1F-6548-4CF6-A25E-1A8E14F5C3DE}">
  <ds:schemaRefs/>
</ds:datastoreItem>
</file>

<file path=customXml/itemProps34.xml><?xml version="1.0" encoding="utf-8"?>
<ds:datastoreItem xmlns:ds="http://schemas.openxmlformats.org/officeDocument/2006/customXml" ds:itemID="{3FCF7E5A-7F9C-4916-B6AC-E8975A120636}">
  <ds:schemaRefs/>
</ds:datastoreItem>
</file>

<file path=customXml/itemProps35.xml><?xml version="1.0" encoding="utf-8"?>
<ds:datastoreItem xmlns:ds="http://schemas.openxmlformats.org/officeDocument/2006/customXml" ds:itemID="{42F9A24F-EA78-4D76-AEB0-2E9A5F349B7C}">
  <ds:schemaRefs/>
</ds:datastoreItem>
</file>

<file path=customXml/itemProps36.xml><?xml version="1.0" encoding="utf-8"?>
<ds:datastoreItem xmlns:ds="http://schemas.openxmlformats.org/officeDocument/2006/customXml" ds:itemID="{4F8B3B7E-AE05-45C5-BAB4-FBA86343B13F}">
  <ds:schemaRefs/>
</ds:datastoreItem>
</file>

<file path=customXml/itemProps37.xml><?xml version="1.0" encoding="utf-8"?>
<ds:datastoreItem xmlns:ds="http://schemas.openxmlformats.org/officeDocument/2006/customXml" ds:itemID="{77FAE73E-5C5E-4723-8E54-A44BA812F085}">
  <ds:schemaRefs/>
</ds:datastoreItem>
</file>

<file path=customXml/itemProps38.xml><?xml version="1.0" encoding="utf-8"?>
<ds:datastoreItem xmlns:ds="http://schemas.openxmlformats.org/officeDocument/2006/customXml" ds:itemID="{31503FCF-81D6-47E2-B507-5C5B751F64D3}">
  <ds:schemaRefs/>
</ds:datastoreItem>
</file>

<file path=customXml/itemProps39.xml><?xml version="1.0" encoding="utf-8"?>
<ds:datastoreItem xmlns:ds="http://schemas.openxmlformats.org/officeDocument/2006/customXml" ds:itemID="{CD043FF0-5582-4E98-A6B1-F1ED4602DC8A}">
  <ds:schemaRefs/>
</ds:datastoreItem>
</file>

<file path=customXml/itemProps4.xml><?xml version="1.0" encoding="utf-8"?>
<ds:datastoreItem xmlns:ds="http://schemas.openxmlformats.org/officeDocument/2006/customXml" ds:itemID="{E0A0DF11-8A2B-4F60-925D-ED36F5701BFE}">
  <ds:schemaRefs/>
</ds:datastoreItem>
</file>

<file path=customXml/itemProps40.xml><?xml version="1.0" encoding="utf-8"?>
<ds:datastoreItem xmlns:ds="http://schemas.openxmlformats.org/officeDocument/2006/customXml" ds:itemID="{3D1C1F35-22B2-4D95-A6E2-379C5A406D13}">
  <ds:schemaRefs/>
</ds:datastoreItem>
</file>

<file path=customXml/itemProps41.xml><?xml version="1.0" encoding="utf-8"?>
<ds:datastoreItem xmlns:ds="http://schemas.openxmlformats.org/officeDocument/2006/customXml" ds:itemID="{7EAF036B-03A5-4756-9E46-1DD236EBDC39}">
  <ds:schemaRefs/>
</ds:datastoreItem>
</file>

<file path=customXml/itemProps42.xml><?xml version="1.0" encoding="utf-8"?>
<ds:datastoreItem xmlns:ds="http://schemas.openxmlformats.org/officeDocument/2006/customXml" ds:itemID="{19FC1DF0-DCA6-48D0-9C0D-CBC3B3DFC1BB}">
  <ds:schemaRefs/>
</ds:datastoreItem>
</file>

<file path=customXml/itemProps43.xml><?xml version="1.0" encoding="utf-8"?>
<ds:datastoreItem xmlns:ds="http://schemas.openxmlformats.org/officeDocument/2006/customXml" ds:itemID="{057D5571-8AA3-481C-9AE9-5BEEA48558EE}">
  <ds:schemaRefs/>
</ds:datastoreItem>
</file>

<file path=customXml/itemProps44.xml><?xml version="1.0" encoding="utf-8"?>
<ds:datastoreItem xmlns:ds="http://schemas.openxmlformats.org/officeDocument/2006/customXml" ds:itemID="{6679A62C-DC15-4282-A4F9-54658AAD0B67}">
  <ds:schemaRefs/>
</ds:datastoreItem>
</file>

<file path=customXml/itemProps45.xml><?xml version="1.0" encoding="utf-8"?>
<ds:datastoreItem xmlns:ds="http://schemas.openxmlformats.org/officeDocument/2006/customXml" ds:itemID="{01206FCF-9FE0-41C4-83A3-10B46224D773}">
  <ds:schemaRefs/>
</ds:datastoreItem>
</file>

<file path=customXml/itemProps46.xml><?xml version="1.0" encoding="utf-8"?>
<ds:datastoreItem xmlns:ds="http://schemas.openxmlformats.org/officeDocument/2006/customXml" ds:itemID="{0991DAF8-9DFB-4C53-8F85-1594800AF31D}">
  <ds:schemaRefs/>
</ds:datastoreItem>
</file>

<file path=customXml/itemProps5.xml><?xml version="1.0" encoding="utf-8"?>
<ds:datastoreItem xmlns:ds="http://schemas.openxmlformats.org/officeDocument/2006/customXml" ds:itemID="{1FC4657A-C33F-4237-8EB4-4F6D8DC1AE3E}">
  <ds:schemaRefs/>
</ds:datastoreItem>
</file>

<file path=customXml/itemProps6.xml><?xml version="1.0" encoding="utf-8"?>
<ds:datastoreItem xmlns:ds="http://schemas.openxmlformats.org/officeDocument/2006/customXml" ds:itemID="{4BAD753E-0951-4315-9F0D-823973CB1E10}">
  <ds:schemaRefs/>
</ds:datastoreItem>
</file>

<file path=customXml/itemProps7.xml><?xml version="1.0" encoding="utf-8"?>
<ds:datastoreItem xmlns:ds="http://schemas.openxmlformats.org/officeDocument/2006/customXml" ds:itemID="{D646A0A0-BB6B-418E-837B-3EFE8F9ABA74}">
  <ds:schemaRefs/>
</ds:datastoreItem>
</file>

<file path=customXml/itemProps8.xml><?xml version="1.0" encoding="utf-8"?>
<ds:datastoreItem xmlns:ds="http://schemas.openxmlformats.org/officeDocument/2006/customXml" ds:itemID="{A9C0EDE5-AEF7-4AD8-BAFC-3E8A6F5F5F0C}">
  <ds:schemaRefs/>
</ds:datastoreItem>
</file>

<file path=customXml/itemProps9.xml><?xml version="1.0" encoding="utf-8"?>
<ds:datastoreItem xmlns:ds="http://schemas.openxmlformats.org/officeDocument/2006/customXml" ds:itemID="{817C849B-1564-4E29-A308-2D0D7D4A1219}">
  <ds:schemaRefs/>
</ds:datastoreItem>
</file>

<file path=docProps/app.xml><?xml version="1.0" encoding="utf-8"?>
<Properties xmlns="http://schemas.openxmlformats.org/officeDocument/2006/extended-properties" xmlns:vt="http://schemas.openxmlformats.org/officeDocument/2006/docPropsVTypes">
  <Template>Normal</Template>
  <Pages>35</Pages>
  <Words>9508</Words>
  <Characters>11429</Characters>
  <Lines>243</Lines>
  <Paragraphs>68</Paragraphs>
  <TotalTime>22</TotalTime>
  <ScaleCrop>false</ScaleCrop>
  <LinksUpToDate>false</LinksUpToDate>
  <CharactersWithSpaces>11652</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2023-02-14T07:18:00Z</dcterms:created>
  <dc:creator>Administrator</dc:creator>
  <cp:lastModifiedBy>东子</cp:lastModifiedBy>
  <dcterms:modified xsi:type="dcterms:W3CDTF">2024-01-12T08:50:42Z</dcterms:modified>
  <cp:revision>77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EFD322816F834A1B9E5147CDD75BE7B9_13</vt:lpwstr>
  </property>
</Properties>
</file>