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8497B0" w:themeColor="text2" w:themeTint="99"/>
  <w:body>
    <w:p>
      <w:pPr>
        <w:keepNext w:val="0"/>
        <w:keepLines w:val="0"/>
        <w:pageBreakBefore w:val="0"/>
        <w:widowControl w:val="0"/>
        <w:kinsoku/>
        <w:wordWrap/>
        <w:overflowPunct/>
        <w:topLinePunct w:val="0"/>
        <w:autoSpaceDE/>
        <w:autoSpaceDN/>
        <w:bidi w:val="0"/>
        <w:spacing w:line="580" w:lineRule="exact"/>
        <w:ind w:left="0" w:leftChars="0" w:right="0" w:rightChars="0" w:firstLine="0" w:firstLineChars="0"/>
        <w:jc w:val="center"/>
        <w:textAlignment w:val="auto"/>
        <w:rPr>
          <w:rFonts w:hint="eastAsia" w:ascii="华文楷体" w:eastAsia="华文楷体"/>
          <w:sz w:val="36"/>
          <w:szCs w:val="36"/>
          <w:lang w:eastAsia="zh-CN"/>
        </w:rPr>
      </w:pPr>
      <w:r>
        <w:rPr>
          <w:rFonts w:hint="eastAsia" w:ascii="宋体" w:hAnsi="宋体"/>
          <w:b/>
          <w:sz w:val="36"/>
          <w:szCs w:val="36"/>
        </w:rPr>
        <w:t>红十字青少年和志愿服务工作</w:t>
      </w:r>
      <w:r>
        <w:rPr>
          <w:rFonts w:hint="eastAsia" w:ascii="宋体"/>
          <w:b/>
          <w:bCs/>
          <w:sz w:val="36"/>
          <w:szCs w:val="36"/>
          <w:lang w:eastAsia="zh-CN"/>
        </w:rPr>
        <w:t>项目</w:t>
      </w:r>
      <w:r>
        <w:rPr>
          <w:rFonts w:hint="eastAsia" w:ascii="宋体"/>
          <w:b/>
          <w:bCs/>
          <w:sz w:val="36"/>
          <w:szCs w:val="36"/>
        </w:rPr>
        <w:t>绩效评价报告</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，遵循“科学性、规范性、客观性和公正性”的原则，对红十字红十字青少年和志愿服务工作</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580" w:lineRule="exact"/>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cs="仿宋"/>
          <w:b w:val="0"/>
          <w:bCs w:val="0"/>
          <w:sz w:val="32"/>
          <w:szCs w:val="32"/>
        </w:rPr>
      </w:pPr>
      <w:r>
        <w:rPr>
          <w:rFonts w:hint="eastAsia" w:ascii="楷体_GB2312" w:hAnsi="楷体_GB2312" w:eastAsia="楷体_GB2312" w:cs="楷体_GB2312"/>
          <w:b w:val="0"/>
          <w:bCs w:val="0"/>
          <w:sz w:val="32"/>
          <w:szCs w:val="32"/>
        </w:rPr>
        <w:t>（一）项目概况</w:t>
      </w:r>
      <w:r>
        <w:rPr>
          <w:rFonts w:hint="eastAsia" w:ascii="楷体_GB2312" w:hAnsi="楷体_GB2312" w:eastAsia="楷体_GB2312" w:cs="楷体_GB2312"/>
          <w:b w:val="0"/>
          <w:bCs w:val="0"/>
          <w:sz w:val="32"/>
          <w:szCs w:val="32"/>
          <w:lang w:eastAsia="zh-CN"/>
        </w:rPr>
        <w:t>。</w:t>
      </w:r>
      <w:r>
        <w:rPr>
          <w:rFonts w:hint="eastAsia" w:ascii="仿宋" w:hAnsi="仿宋" w:eastAsia="仿宋" w:cs="仿宋"/>
          <w:b w:val="0"/>
          <w:bCs w:val="0"/>
          <w:sz w:val="32"/>
          <w:szCs w:val="32"/>
        </w:rPr>
        <w:t>开展有益于青少年身心健康的红十字青少年活动和红十字志愿服务活动，是《中国红十字会章程》规定的各级红十字会在和平时期履行职责之一，也是红十字会的重要工作。是《中华人民共和国红十字会法》赋予红十字会的法定职责，按照《中华人民共和国红十字会法》、《国务院关于促进红十字事业发展的意见》（国发〔2012〕25号）：将红十字青少年工作纳入未成年人思想道德建设和大学生思想政治教育的整体规划，《石家庄市人民政府办公厅关于加快红十字事业发展的通知》（石政办函〔2015〕132号）也明确要求要把红十字工作纳入重要议事日程、完善红十字事业发展措施，把红十字事业工作经费列入财政年度预算，加强资金使用管理，为红十字会依法履行职责，加强应急救护培训、备灾救灾、志愿服务、红十字青少年等工作提供有力保障。习近平总书记指出：“培育</w:t>
      </w:r>
      <w:r>
        <w:rPr>
          <w:rFonts w:hint="eastAsia" w:ascii="仿宋" w:hAnsi="仿宋" w:eastAsia="仿宋" w:cs="仿宋"/>
          <w:b w:val="0"/>
          <w:bCs w:val="0"/>
          <w:sz w:val="32"/>
          <w:szCs w:val="32"/>
          <w:lang w:eastAsia="zh-CN"/>
        </w:rPr>
        <w:t>社会主义</w:t>
      </w:r>
      <w:r>
        <w:rPr>
          <w:rFonts w:hint="eastAsia" w:ascii="仿宋" w:hAnsi="仿宋" w:eastAsia="仿宋" w:cs="仿宋"/>
          <w:b w:val="0"/>
          <w:bCs w:val="0"/>
          <w:sz w:val="32"/>
          <w:szCs w:val="32"/>
        </w:rPr>
        <w:t>核心价值观要从娃娃抓起、从学校抓起，做到进教材、进课堂、进头脑”，紧密结合红十字青少年工作特点，把体现红十字精神的各项活动融入到培育社会主义核心价值观之中，融入到学习和生活中。我会开展红十字青少年工作，以交流营方式和项目化运作形式开展红十字青少年活动，旨在推动青少年素质教育，培育和践行社会主义核心价值观；弘扬中华民族扶危济困、助人为乐的传统美德；倡导爱国、敬业、诚信、友善的道德规范；培育青少年自信、自立、自强的信念；养成青少年勇于担当、自我奉献精神。开展红十字志愿服务工作以培育和践行社会主义核心价值观、满足人民群众日益增长的社会服务需求为出发点，启动志愿服务活动，以建强队伍、搭建平台、精准设计、凝聚爱心为思路，持续推进志愿服务常态化、精细化、制度化。通过活动整合资源，各支志愿服务队伍协调联动，扩大志愿服务效果，提高资源利用率，借助公益组织孵化器的理念，对运作初期的红十字志愿服务项目、红十字志愿服务组织和社会上其他有特色的志愿服务项目进行能力培养、经费补贴等关键性支持，培育和发展红十字志愿服务品牌项目，从而推进红十字事业的整体发展。</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rPr>
        <w:t>1</w:t>
      </w:r>
      <w:r>
        <w:rPr>
          <w:rFonts w:hint="eastAsia" w:ascii="仿宋_GB2312" w:eastAsia="仿宋_GB2312"/>
          <w:sz w:val="32"/>
          <w:szCs w:val="32"/>
          <w:lang w:val="en-US" w:eastAsia="zh-CN"/>
        </w:rPr>
        <w:t>.项目实施单位及项目立项等基本情况；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本项目实施单位为</w:t>
      </w:r>
      <w:r>
        <w:rPr>
          <w:rFonts w:hint="eastAsia" w:ascii="仿宋_GB2312" w:eastAsia="仿宋_GB2312"/>
          <w:sz w:val="32"/>
          <w:szCs w:val="32"/>
          <w:lang w:eastAsia="zh-CN"/>
        </w:rPr>
        <w:t>石家庄市鹿泉区红十字会</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项目立项等基本情况：开展红十字青少年活动，是推动青少年素质教育，培育和践行社会主义核心价值观的有效途径。习近平指出：“培育</w:t>
      </w:r>
      <w:r>
        <w:rPr>
          <w:rFonts w:hint="eastAsia" w:ascii="仿宋_GB2312" w:eastAsia="仿宋_GB2312"/>
          <w:sz w:val="32"/>
          <w:szCs w:val="32"/>
          <w:lang w:eastAsia="zh-CN"/>
        </w:rPr>
        <w:t>社会主义</w:t>
      </w:r>
      <w:bookmarkStart w:id="0" w:name="_GoBack"/>
      <w:bookmarkEnd w:id="0"/>
      <w:r>
        <w:rPr>
          <w:rFonts w:hint="eastAsia" w:ascii="仿宋_GB2312" w:eastAsia="仿宋_GB2312"/>
          <w:sz w:val="32"/>
          <w:szCs w:val="32"/>
        </w:rPr>
        <w:t>核心价值观要从娃娃抓起、从学校抓起，做到进教材、进课堂、进头脑”，紧密结合红十字青少年工作特点，把体现红十字精神的各项活动融入到培育社会主义核心价值观之中，融入到学习和生活中。进行生命健康安全体验，举办生命健康安全知识技能拓展训练营。以交流营方式和项目化运作形式开展红十字青少年活动，可以弘扬中华民族扶危济困、助人为乐的传统美德；倡导爱国、敬业、诚信、友善的道德规范；可以培育青少年自信、自立、自强的信念。开展红十字青少年活动，可以养成青少年勇于担当、自我奉献精神。进行红十字志愿服务工作、志愿服务项目调研；开展志愿者招募；举办志愿者培训班和志愿服务骨干培训班；对表现突出的志愿服务组织、个人、项目进行表彰。通过扶持和培育红十字志愿服务组织和服务项目，提高红十字志愿服务组织运作志愿服务项目的能力和水平，提升红十字会的社会服务能力，为改善易受损群体的境况做出更多的贡献。</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val="en-US" w:eastAsia="zh-CN"/>
        </w:rPr>
      </w:pPr>
      <w:r>
        <w:rPr>
          <w:rFonts w:hint="eastAsia" w:ascii="仿宋" w:hAnsi="仿宋" w:eastAsia="仿宋" w:cs="宋体"/>
          <w:bCs/>
          <w:color w:val="211F1F"/>
          <w:kern w:val="0"/>
          <w:sz w:val="32"/>
          <w:szCs w:val="32"/>
        </w:rPr>
        <w:t>组织进行生命健康安全体验；进行调研：进行红十字志愿服务工作调研和红十字志愿服务项目调研，指导红十字志愿服务工作创新；开展志愿服务活动；举办两期志愿服务工作培训：上半年进行志愿者业务培训，下半年组织志愿者骨干进行管理培训。</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cs="宋体"/>
          <w:bCs/>
          <w:color w:val="211F1F"/>
          <w:kern w:val="0"/>
          <w:sz w:val="32"/>
          <w:szCs w:val="32"/>
        </w:rPr>
      </w:pPr>
      <w:r>
        <w:rPr>
          <w:rFonts w:hint="eastAsia" w:ascii="仿宋_GB2312" w:eastAsia="仿宋_GB2312"/>
          <w:sz w:val="32"/>
          <w:szCs w:val="32"/>
          <w:lang w:val="en-US" w:eastAsia="zh-CN"/>
        </w:rPr>
        <w:t xml:space="preserve"> 3.项目资金投入情况（资金数量、资金结构、资金来源渠道等）：</w:t>
      </w:r>
      <w:r>
        <w:rPr>
          <w:rFonts w:hint="eastAsia" w:ascii="仿宋_GB2312" w:eastAsia="仿宋_GB2312"/>
          <w:sz w:val="32"/>
          <w:szCs w:val="32"/>
        </w:rPr>
        <w:t>红十字红十字青少年和志愿服务</w:t>
      </w:r>
      <w:r>
        <w:rPr>
          <w:rFonts w:hint="eastAsia" w:ascii="仿宋" w:hAnsi="仿宋" w:eastAsia="仿宋" w:cs="宋体"/>
          <w:bCs/>
          <w:color w:val="211F1F"/>
          <w:kern w:val="0"/>
          <w:sz w:val="32"/>
          <w:szCs w:val="32"/>
          <w:lang w:val="en-US" w:eastAsia="zh-CN"/>
        </w:rPr>
        <w:t>项目资金财政共下达1万元。</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项目预期绩效总目标：通过建设红十字学校，针对青少年特点，开展生命健康安全体验，传播红十字运动基本知识融入学校各类社会实践活动中，积极开展具有生命健康安全技能拓展训练营，提升青少年自居互救、防灾避险和“一个预防、两个远离”水平，增强红十字会的影响力，也为在广大青少年群体中树立和弘扬"人道、博爱、奉献"的红十字精神打下了坚实基础。</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效益指标为：让社会各界和广大人民群众进一步了解红十字会公益事业，积极参与推动全市红十字事业健康快速发展，促进社会文明进步。</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580" w:lineRule="exact"/>
        <w:ind w:left="0" w:leftChars="0" w:right="0" w:rightChars="0" w:firstLine="0" w:firstLineChars="0"/>
        <w:jc w:val="both"/>
        <w:textAlignment w:val="auto"/>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r>
        <w:rPr>
          <w:rFonts w:hint="eastAsia" w:ascii="仿宋_GB2312" w:eastAsia="仿宋_GB2312"/>
          <w:sz w:val="32"/>
          <w:szCs w:val="32"/>
        </w:rPr>
        <w:t>按照统一部署，红十字会组建项目自评小组，由红十字会常务副会长</w:t>
      </w:r>
      <w:r>
        <w:rPr>
          <w:rFonts w:hint="eastAsia" w:ascii="仿宋_GB2312" w:eastAsia="仿宋_GB2312"/>
          <w:sz w:val="32"/>
          <w:szCs w:val="32"/>
          <w:lang w:eastAsia="zh-CN"/>
        </w:rPr>
        <w:t>赵晶</w:t>
      </w:r>
      <w:r>
        <w:rPr>
          <w:rFonts w:hint="eastAsia" w:ascii="仿宋_GB2312" w:eastAsia="仿宋_GB2312"/>
          <w:sz w:val="32"/>
          <w:szCs w:val="32"/>
        </w:rPr>
        <w:t>任组长，秘书长</w:t>
      </w:r>
      <w:r>
        <w:rPr>
          <w:rFonts w:hint="eastAsia" w:ascii="仿宋_GB2312" w:eastAsia="仿宋_GB2312"/>
          <w:sz w:val="32"/>
          <w:szCs w:val="32"/>
          <w:lang w:eastAsia="zh-CN"/>
        </w:rPr>
        <w:t>张鹏娟</w:t>
      </w:r>
      <w:r>
        <w:rPr>
          <w:rFonts w:hint="eastAsia" w:ascii="仿宋_GB2312" w:eastAsia="仿宋_GB2312"/>
          <w:sz w:val="32"/>
          <w:szCs w:val="32"/>
        </w:rPr>
        <w:t>任副组长、办公室</w:t>
      </w:r>
      <w:r>
        <w:rPr>
          <w:rFonts w:hint="eastAsia" w:ascii="仿宋_GB2312" w:eastAsia="仿宋_GB2312"/>
          <w:sz w:val="32"/>
          <w:szCs w:val="32"/>
          <w:lang w:eastAsia="zh-CN"/>
        </w:rPr>
        <w:t>董会鹏、李海霞</w:t>
      </w:r>
      <w:r>
        <w:rPr>
          <w:rFonts w:hint="eastAsia" w:ascii="仿宋_GB2312" w:eastAsia="仿宋_GB2312"/>
          <w:sz w:val="32"/>
          <w:szCs w:val="32"/>
        </w:rPr>
        <w:t>任成员。</w:t>
      </w:r>
    </w:p>
    <w:p>
      <w:pPr>
        <w:keepNext w:val="0"/>
        <w:keepLines w:val="0"/>
        <w:pageBreakBefore w:val="0"/>
        <w:widowControl w:val="0"/>
        <w:kinsoku/>
        <w:wordWrap/>
        <w:overflowPunct/>
        <w:topLinePunct w:val="0"/>
        <w:autoSpaceDE/>
        <w:autoSpaceDN/>
        <w:bidi w:val="0"/>
        <w:spacing w:line="580" w:lineRule="exact"/>
        <w:ind w:left="0" w:leftChars="0" w:right="0" w:rightChars="0" w:firstLine="0" w:firstLineChars="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rPr>
          <w:rFonts w:hint="eastAsia" w:ascii="仿宋" w:hAnsi="仿宋" w:eastAsia="仿宋"/>
          <w:sz w:val="32"/>
          <w:szCs w:val="32"/>
        </w:rPr>
      </w:pPr>
      <w:r>
        <w:rPr>
          <w:rFonts w:hint="eastAsia" w:ascii="楷体_GB2312" w:hAnsi="楷体_GB2312" w:eastAsia="楷体_GB2312" w:cs="楷体_GB2312"/>
          <w:b w:val="0"/>
          <w:bCs w:val="0"/>
          <w:sz w:val="32"/>
          <w:szCs w:val="32"/>
          <w:lang w:val="en-US" w:eastAsia="zh-CN"/>
        </w:rPr>
        <w:t>1、</w:t>
      </w:r>
      <w:r>
        <w:rPr>
          <w:rFonts w:hint="eastAsia" w:ascii="仿宋" w:hAnsi="仿宋" w:eastAsia="仿宋"/>
          <w:sz w:val="32"/>
          <w:szCs w:val="32"/>
        </w:rPr>
        <w:t>本报告选用评价指标采用定量指标、个性指标和文字描述相结合。基本指标包括：资金到位率、实际支出率、支出效果率等；专业指标包括：培训质量、政治效益、社会效益、群众满意度等。评价方法采用目标预定与实施效果比较分析法、督导查看法、公众评判法等。</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rPr>
          <w:rFonts w:hint="eastAsia" w:ascii="仿宋" w:hAnsi="仿宋" w:eastAsia="仿宋"/>
          <w:sz w:val="32"/>
          <w:szCs w:val="32"/>
        </w:rPr>
      </w:pPr>
      <w:r>
        <w:rPr>
          <w:rFonts w:hint="eastAsia" w:ascii="仿宋" w:hAnsi="仿宋" w:eastAsia="仿宋"/>
          <w:sz w:val="32"/>
          <w:szCs w:val="32"/>
        </w:rPr>
        <w:t>2、制度建设</w:t>
      </w:r>
      <w:r>
        <w:rPr>
          <w:rFonts w:hint="eastAsia" w:ascii="仿宋" w:hAnsi="仿宋" w:eastAsia="仿宋"/>
          <w:sz w:val="32"/>
          <w:szCs w:val="32"/>
          <w:lang w:eastAsia="zh-CN"/>
        </w:rPr>
        <w:t>。</w:t>
      </w:r>
      <w:r>
        <w:rPr>
          <w:rFonts w:hint="eastAsia" w:ascii="仿宋" w:hAnsi="仿宋" w:eastAsia="仿宋"/>
          <w:sz w:val="32"/>
          <w:szCs w:val="32"/>
        </w:rPr>
        <w:t>为规范本单位财务工作，加强会计核算与内部监督，提高财政资金使用效益，我单位根据【会计法】和区财政局有关财务制度规定执行。</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rPr>
          <w:rFonts w:hint="eastAsia" w:ascii="仿宋" w:hAnsi="仿宋" w:eastAsia="仿宋"/>
          <w:sz w:val="32"/>
          <w:szCs w:val="32"/>
        </w:rPr>
      </w:pPr>
      <w:r>
        <w:rPr>
          <w:rFonts w:hint="eastAsia" w:ascii="仿宋" w:hAnsi="仿宋" w:eastAsia="仿宋"/>
          <w:sz w:val="32"/>
          <w:szCs w:val="32"/>
        </w:rPr>
        <w:t>结合本单位工作特点，制定并完善了包括内部财务控制、财务公开、重点支出管理、会计报销。</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rPr>
        <w:t>3、过程控制</w:t>
      </w:r>
      <w:r>
        <w:rPr>
          <w:rFonts w:hint="eastAsia" w:ascii="仿宋" w:hAnsi="仿宋" w:eastAsia="仿宋"/>
          <w:sz w:val="32"/>
          <w:szCs w:val="32"/>
          <w:lang w:eastAsia="zh-CN"/>
        </w:rPr>
        <w:t>。</w:t>
      </w:r>
      <w:r>
        <w:rPr>
          <w:rFonts w:hint="eastAsia" w:ascii="仿宋" w:hAnsi="仿宋" w:eastAsia="仿宋"/>
          <w:sz w:val="32"/>
          <w:szCs w:val="32"/>
        </w:rPr>
        <w:t>在预算管理上，执行事前预算评审，事后进行结算评审，保证预算支出的有效性，在项目实施上严格遵循招投标手续，在项目验收上聘请监理，在日常管理上，制定【突发事件应急预案】做到有规有矩，有章有程。如遇突发事件或不可抗力因素引起的突发情况，立即启动应急预案。</w:t>
      </w:r>
    </w:p>
    <w:p>
      <w:pPr>
        <w:keepNext w:val="0"/>
        <w:keepLines w:val="0"/>
        <w:pageBreakBefore w:val="0"/>
        <w:widowControl w:val="0"/>
        <w:numPr>
          <w:ilvl w:val="0"/>
          <w:numId w:val="0"/>
        </w:numPr>
        <w:kinsoku/>
        <w:wordWrap/>
        <w:overflowPunct/>
        <w:topLinePunct w:val="0"/>
        <w:autoSpaceDE/>
        <w:autoSpaceDN/>
        <w:bidi w:val="0"/>
        <w:spacing w:line="580" w:lineRule="exact"/>
        <w:ind w:leftChars="0" w:right="0" w:rightChars="0"/>
        <w:jc w:val="both"/>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spacing w:line="580" w:lineRule="exact"/>
        <w:ind w:firstLine="640" w:firstLineChars="200"/>
        <w:jc w:val="both"/>
        <w:textAlignment w:val="auto"/>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开展《河北省石家庄市红十字应急救护培训示范基地建设（五年制定组织与专业有关的社会调查、社会实践和社区志愿服务活动；在校内外广泛开展体现人道精神的救死扶伤、扶危济困、敬老助残、尊师爱幼等助人为乐的活动；根据青少年的年龄特点开展形式活泼的、有益于青少年向身心健康的夏（冬）令营活动；开展与各国红十字青少年之间的友好交往活动。</w:t>
      </w:r>
    </w:p>
    <w:p>
      <w:pPr>
        <w:keepNext w:val="0"/>
        <w:keepLines w:val="0"/>
        <w:pageBreakBefore w:val="0"/>
        <w:widowControl w:val="0"/>
        <w:kinsoku/>
        <w:wordWrap/>
        <w:overflowPunct/>
        <w:topLinePunct w:val="0"/>
        <w:autoSpaceDE/>
        <w:autoSpaceDN/>
        <w:bidi w:val="0"/>
        <w:spacing w:line="580" w:lineRule="exact"/>
        <w:textAlignment w:val="auto"/>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pacing w:line="580"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立项情况分析。该项目立项规范、绩效目标合理、绩效指标明确，经分析，项目投入分值为95分。</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2.资金落实情况分析。该项目为财政公共预算资金，资金到位和到位及时等情况好，经分析，资金落实情况分值为100分。</w:t>
      </w:r>
    </w:p>
    <w:p>
      <w:pPr>
        <w:keepNext w:val="0"/>
        <w:keepLines w:val="0"/>
        <w:pageBreakBefore w:val="0"/>
        <w:widowControl w:val="0"/>
        <w:kinsoku/>
        <w:wordWrap/>
        <w:overflowPunct/>
        <w:topLinePunct w:val="0"/>
        <w:autoSpaceDE/>
        <w:autoSpaceDN/>
        <w:bidi w:val="0"/>
        <w:spacing w:line="580" w:lineRule="exact"/>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1.业务管理情况分析。项目实施过程中，流程公开透明、管理规范、服务到位。该项目管理制度健全、制度执行有效性、项目质量可控，经分析，项目实施过程分值为95分。</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2.财务管理。该项目管理制度健全、资金使用合规、财务监控有效，经分析项目实施过程分值为95分。</w:t>
      </w:r>
    </w:p>
    <w:p>
      <w:pPr>
        <w:keepNext w:val="0"/>
        <w:keepLines w:val="0"/>
        <w:pageBreakBefore w:val="0"/>
        <w:widowControl w:val="0"/>
        <w:numPr>
          <w:ilvl w:val="0"/>
          <w:numId w:val="0"/>
        </w:numPr>
        <w:kinsoku/>
        <w:wordWrap/>
        <w:overflowPunct/>
        <w:topLinePunct w:val="0"/>
        <w:autoSpaceDE/>
        <w:autoSpaceDN/>
        <w:bidi w:val="0"/>
        <w:spacing w:line="580" w:lineRule="exact"/>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服务对象满意度指标：通过调查，群众对项目的满意率达90%以上。</w:t>
      </w:r>
    </w:p>
    <w:p>
      <w:pPr>
        <w:keepNext w:val="0"/>
        <w:keepLines w:val="0"/>
        <w:pageBreakBefore w:val="0"/>
        <w:widowControl w:val="0"/>
        <w:numPr>
          <w:ilvl w:val="0"/>
          <w:numId w:val="0"/>
        </w:numPr>
        <w:kinsoku/>
        <w:wordWrap/>
        <w:overflowPunct/>
        <w:topLinePunct w:val="0"/>
        <w:autoSpaceDE/>
        <w:autoSpaceDN/>
        <w:bidi w:val="0"/>
        <w:spacing w:line="580"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该项目的经济效益、社会效益、生态效益好、可持续影响明显，社会公众满意度高，经分析，项目效果分值为95分。</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根据项目执行情况和项目绩效情况，该项目综合绩效评价分为90分，良好。</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580" w:lineRule="exact"/>
        <w:textAlignment w:val="auto"/>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r>
        <w:rPr>
          <w:rFonts w:hint="eastAsia" w:ascii="仿宋" w:hAnsi="仿宋" w:eastAsia="仿宋" w:cs="仿宋"/>
          <w:b w:val="0"/>
          <w:bCs w:val="0"/>
          <w:sz w:val="32"/>
          <w:szCs w:val="32"/>
          <w:lang w:val="en-US" w:eastAsia="zh-CN"/>
        </w:rPr>
        <w:t>工作开展进度慢。</w:t>
      </w:r>
    </w:p>
    <w:p>
      <w:pPr>
        <w:keepNext w:val="0"/>
        <w:keepLines w:val="0"/>
        <w:pageBreakBefore w:val="0"/>
        <w:widowControl w:val="0"/>
        <w:numPr>
          <w:ilvl w:val="0"/>
          <w:numId w:val="0"/>
        </w:numPr>
        <w:kinsoku/>
        <w:wordWrap/>
        <w:overflowPunct/>
        <w:topLinePunct w:val="0"/>
        <w:autoSpaceDE/>
        <w:autoSpaceDN/>
        <w:bidi w:val="0"/>
        <w:spacing w:line="580" w:lineRule="exact"/>
        <w:textAlignment w:val="auto"/>
        <w:rPr>
          <w:rFonts w:hint="eastAsia" w:ascii="仿宋" w:hAnsi="仿宋" w:eastAsia="仿宋" w:cs="仿宋"/>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r>
        <w:rPr>
          <w:rFonts w:hint="eastAsia" w:ascii="仿宋" w:hAnsi="仿宋" w:eastAsia="仿宋" w:cs="仿宋"/>
          <w:b w:val="0"/>
          <w:bCs w:val="0"/>
          <w:sz w:val="32"/>
          <w:szCs w:val="32"/>
          <w:lang w:val="en-US" w:eastAsia="zh-CN"/>
        </w:rPr>
        <w:t>提早做好计划，加快活动开展速度。</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红十字会常务副会长：赵晶</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红十字会秘书长：张鹏娟</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工作负责人：董会鹏、李海霞</w:t>
      </w: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M2NWYxN2I4OWVmMWUzYmE4MGJiZTdiNTczMGVhNjYifQ=="/>
  </w:docVars>
  <w:rsids>
    <w:rsidRoot w:val="2A2941B7"/>
    <w:rsid w:val="00306473"/>
    <w:rsid w:val="013055E8"/>
    <w:rsid w:val="01515618"/>
    <w:rsid w:val="02FB08AD"/>
    <w:rsid w:val="03736DD6"/>
    <w:rsid w:val="049F1BC3"/>
    <w:rsid w:val="05486443"/>
    <w:rsid w:val="0573731D"/>
    <w:rsid w:val="06934FC9"/>
    <w:rsid w:val="07860D16"/>
    <w:rsid w:val="099E0807"/>
    <w:rsid w:val="09E65669"/>
    <w:rsid w:val="0C652A08"/>
    <w:rsid w:val="0C662DAD"/>
    <w:rsid w:val="0CC37D22"/>
    <w:rsid w:val="0CE42BCB"/>
    <w:rsid w:val="0EDA1D8D"/>
    <w:rsid w:val="0FEC3F94"/>
    <w:rsid w:val="100E3D6C"/>
    <w:rsid w:val="11031297"/>
    <w:rsid w:val="11446639"/>
    <w:rsid w:val="11782865"/>
    <w:rsid w:val="11C65B26"/>
    <w:rsid w:val="133A0C62"/>
    <w:rsid w:val="145223D2"/>
    <w:rsid w:val="15135E16"/>
    <w:rsid w:val="152D0B5B"/>
    <w:rsid w:val="15F24C56"/>
    <w:rsid w:val="189F3FD4"/>
    <w:rsid w:val="192D5C02"/>
    <w:rsid w:val="193256CE"/>
    <w:rsid w:val="19BA1A34"/>
    <w:rsid w:val="1A894907"/>
    <w:rsid w:val="1AA70106"/>
    <w:rsid w:val="1B7F7324"/>
    <w:rsid w:val="1C4305C5"/>
    <w:rsid w:val="1C800E9F"/>
    <w:rsid w:val="1CA0351C"/>
    <w:rsid w:val="1D662426"/>
    <w:rsid w:val="1EAE7289"/>
    <w:rsid w:val="1FE94D8B"/>
    <w:rsid w:val="212C5E28"/>
    <w:rsid w:val="214F63D4"/>
    <w:rsid w:val="21CA01C0"/>
    <w:rsid w:val="23D54A08"/>
    <w:rsid w:val="23DC403C"/>
    <w:rsid w:val="24ED280D"/>
    <w:rsid w:val="251237F7"/>
    <w:rsid w:val="265611B7"/>
    <w:rsid w:val="26ED1B6B"/>
    <w:rsid w:val="284D1F08"/>
    <w:rsid w:val="288B7763"/>
    <w:rsid w:val="2A2941B7"/>
    <w:rsid w:val="2AB81EBB"/>
    <w:rsid w:val="2C1340E5"/>
    <w:rsid w:val="2C3C64AB"/>
    <w:rsid w:val="2CD460E8"/>
    <w:rsid w:val="2EA86E17"/>
    <w:rsid w:val="2EC43AA5"/>
    <w:rsid w:val="2F803998"/>
    <w:rsid w:val="300260D8"/>
    <w:rsid w:val="31292ABC"/>
    <w:rsid w:val="32855F97"/>
    <w:rsid w:val="33D75C35"/>
    <w:rsid w:val="34D21CBB"/>
    <w:rsid w:val="34F6487E"/>
    <w:rsid w:val="35DA71EC"/>
    <w:rsid w:val="368D39B2"/>
    <w:rsid w:val="39362844"/>
    <w:rsid w:val="3AF53F7B"/>
    <w:rsid w:val="3D1D20E9"/>
    <w:rsid w:val="3E2357DA"/>
    <w:rsid w:val="3F6E5326"/>
    <w:rsid w:val="3F827C5F"/>
    <w:rsid w:val="410A5E3C"/>
    <w:rsid w:val="41602800"/>
    <w:rsid w:val="41E72DEC"/>
    <w:rsid w:val="420F7702"/>
    <w:rsid w:val="42241E58"/>
    <w:rsid w:val="43FE5537"/>
    <w:rsid w:val="444F6953"/>
    <w:rsid w:val="46074E6F"/>
    <w:rsid w:val="475236D6"/>
    <w:rsid w:val="47FA4B15"/>
    <w:rsid w:val="486E6A48"/>
    <w:rsid w:val="49795F4F"/>
    <w:rsid w:val="4AEB3900"/>
    <w:rsid w:val="4C085F54"/>
    <w:rsid w:val="4D3B4D2A"/>
    <w:rsid w:val="4E404E34"/>
    <w:rsid w:val="5102008C"/>
    <w:rsid w:val="545024E7"/>
    <w:rsid w:val="54ED05F5"/>
    <w:rsid w:val="561028AF"/>
    <w:rsid w:val="56487F5D"/>
    <w:rsid w:val="56520719"/>
    <w:rsid w:val="58A26AC3"/>
    <w:rsid w:val="591A3CBB"/>
    <w:rsid w:val="59C15FD0"/>
    <w:rsid w:val="59CB7FEE"/>
    <w:rsid w:val="5A443CC2"/>
    <w:rsid w:val="5A77512C"/>
    <w:rsid w:val="5B270529"/>
    <w:rsid w:val="5BBE3939"/>
    <w:rsid w:val="5C022D5A"/>
    <w:rsid w:val="5D331816"/>
    <w:rsid w:val="5D8575EF"/>
    <w:rsid w:val="5F0B25FD"/>
    <w:rsid w:val="5F2B23E5"/>
    <w:rsid w:val="612F1C23"/>
    <w:rsid w:val="61CD583B"/>
    <w:rsid w:val="63D22886"/>
    <w:rsid w:val="658848A0"/>
    <w:rsid w:val="66F420EE"/>
    <w:rsid w:val="693B69B5"/>
    <w:rsid w:val="6A8E1D3A"/>
    <w:rsid w:val="6AA82BFB"/>
    <w:rsid w:val="6AD30B34"/>
    <w:rsid w:val="6BC07FE5"/>
    <w:rsid w:val="6CD51E8B"/>
    <w:rsid w:val="6F843F6D"/>
    <w:rsid w:val="702D0DC7"/>
    <w:rsid w:val="713926A3"/>
    <w:rsid w:val="72A95138"/>
    <w:rsid w:val="74D554CD"/>
    <w:rsid w:val="762D1EBF"/>
    <w:rsid w:val="771B455C"/>
    <w:rsid w:val="79C9520E"/>
    <w:rsid w:val="79D52CF9"/>
    <w:rsid w:val="7BF72953"/>
    <w:rsid w:val="7C766D2D"/>
    <w:rsid w:val="7C94754B"/>
    <w:rsid w:val="7D4F259B"/>
    <w:rsid w:val="7EED5B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autoRedefine/>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autoRedefine/>
    <w:qFormat/>
    <w:uiPriority w:val="0"/>
  </w:style>
  <w:style w:type="character" w:styleId="7">
    <w:name w:val="page number"/>
    <w:basedOn w:val="5"/>
    <w:autoRedefine/>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2024-01-05T03:22:46Z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D45ED9B952EA40A3BDD175BCD036A6AB_12</vt:lpwstr>
  </property>
</Properties>
</file>