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鹿泉区委统战部2022年度整体支出绩效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鹿泉区委统战部</w:t>
      </w:r>
      <w:r>
        <w:rPr>
          <w:rFonts w:hint="eastAsia" w:ascii="仿宋" w:hAnsi="仿宋" w:eastAsia="仿宋"/>
          <w:sz w:val="32"/>
          <w:szCs w:val="32"/>
          <w:lang w:eastAsia="zh-CN"/>
        </w:rPr>
        <w:t>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0" w:firstLineChars="200"/>
        <w:textAlignment w:val="auto"/>
        <w:outlineLvl w:val="9"/>
        <w:rPr>
          <w:rFonts w:ascii="Times New Roman" w:eastAsia="方正仿宋_GBK"/>
          <w:b w:val="0"/>
          <w:bCs w:val="0"/>
          <w:sz w:val="28"/>
        </w:rPr>
      </w:pPr>
      <w:r>
        <w:rPr>
          <w:rFonts w:hint="eastAsia" w:ascii="仿宋" w:hAnsi="仿宋" w:eastAsia="仿宋" w:cs="仿宋"/>
          <w:b w:val="0"/>
          <w:bCs w:val="0"/>
          <w:kern w:val="2"/>
          <w:sz w:val="32"/>
          <w:szCs w:val="32"/>
          <w:lang w:val="en-US" w:eastAsia="zh-CN" w:bidi="ar-SA"/>
        </w:rPr>
        <w:t>部门职责：</w:t>
      </w:r>
      <w:r>
        <w:rPr>
          <w:rFonts w:hint="eastAsia" w:ascii="仿宋" w:hAnsi="仿宋" w:eastAsia="仿宋" w:cs="仿宋"/>
          <w:b w:val="0"/>
          <w:bCs w:val="0"/>
          <w:sz w:val="32"/>
          <w:szCs w:val="32"/>
        </w:rPr>
        <w:t>贯彻落实加强党对统一战线工作集中统一领导的要求，了解情况、掌握政策、协调关系、安排人事、增进共识、加强团结，协调统一战线各方面关系</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巩固壮大最广泛的统一战线。</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深入调查研究统一战线理论，及时向区委报告统一战线工作情况并提出建议，统筹协调和指导各乡镇（区）各</w:t>
      </w:r>
      <w:r>
        <w:rPr>
          <w:rFonts w:hint="eastAsia" w:ascii="仿宋" w:hAnsi="仿宋" w:eastAsia="仿宋" w:cs="仿宋"/>
          <w:b w:val="0"/>
          <w:bCs w:val="0"/>
          <w:sz w:val="32"/>
          <w:szCs w:val="32"/>
          <w:lang w:eastAsia="zh-CN"/>
        </w:rPr>
        <w:t>单位</w:t>
      </w:r>
      <w:r>
        <w:rPr>
          <w:rFonts w:hint="eastAsia" w:ascii="仿宋" w:hAnsi="仿宋" w:eastAsia="仿宋" w:cs="仿宋"/>
          <w:b w:val="0"/>
          <w:bCs w:val="0"/>
          <w:sz w:val="32"/>
          <w:szCs w:val="32"/>
        </w:rPr>
        <w:t>各单位统一战线工作。</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rPr>
        <w:t>负责发现、培养党外代表人士，负责党外人士的政治安排。</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贯彻落实党的宣传工作方针，统筹推进全区统一战线宣传工作</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rPr>
        <w:t>负责联系各民主党派，通报情况、反映意见，贯彻落实中国共产党领导的多党合作和政治协商制度以及对民主党派的方针政策。</w:t>
      </w:r>
      <w:r>
        <w:rPr>
          <w:rFonts w:hint="eastAsia" w:ascii="仿宋" w:hAnsi="仿宋" w:eastAsia="仿宋" w:cs="仿宋"/>
          <w:b w:val="0"/>
          <w:bCs w:val="0"/>
          <w:sz w:val="32"/>
          <w:szCs w:val="32"/>
          <w:lang w:val="en-US" w:eastAsia="zh-CN"/>
        </w:rPr>
        <w:t>6.</w:t>
      </w:r>
      <w:r>
        <w:rPr>
          <w:rFonts w:hint="eastAsia" w:ascii="仿宋" w:hAnsi="仿宋" w:eastAsia="仿宋" w:cs="仿宋"/>
          <w:b w:val="0"/>
          <w:bCs w:val="0"/>
          <w:sz w:val="32"/>
          <w:szCs w:val="32"/>
        </w:rPr>
        <w:t>统一领导民族宗教工作，贯彻落实党的民族宗教工作方针，协调处理民族宗教工作中的重大问题，全面促进民族宗教事业发展，维护全区民族宗教领域和谐稳定。</w:t>
      </w:r>
      <w:r>
        <w:rPr>
          <w:rFonts w:hint="eastAsia" w:ascii="仿宋" w:hAnsi="仿宋" w:eastAsia="仿宋" w:cs="仿宋"/>
          <w:b w:val="0"/>
          <w:bCs w:val="0"/>
          <w:sz w:val="32"/>
          <w:szCs w:val="32"/>
          <w:lang w:val="en-US" w:eastAsia="zh-CN"/>
        </w:rPr>
        <w:t>7.</w:t>
      </w:r>
      <w:r>
        <w:rPr>
          <w:rFonts w:hint="eastAsia" w:ascii="仿宋" w:hAnsi="仿宋" w:eastAsia="仿宋" w:cs="仿宋"/>
          <w:b w:val="0"/>
          <w:bCs w:val="0"/>
          <w:sz w:val="32"/>
          <w:szCs w:val="32"/>
        </w:rPr>
        <w:t>负责联系、培养无党派代表人士，支持、帮助无党派人士发挥作用。</w:t>
      </w:r>
      <w:r>
        <w:rPr>
          <w:rFonts w:hint="eastAsia" w:ascii="仿宋" w:hAnsi="仿宋" w:eastAsia="仿宋" w:cs="仿宋"/>
          <w:b w:val="0"/>
          <w:bCs w:val="0"/>
          <w:sz w:val="32"/>
          <w:szCs w:val="32"/>
          <w:lang w:val="en-US" w:eastAsia="zh-CN"/>
        </w:rPr>
        <w:t>8.</w:t>
      </w:r>
      <w:r>
        <w:rPr>
          <w:rFonts w:hint="eastAsia" w:ascii="仿宋" w:hAnsi="仿宋" w:eastAsia="仿宋" w:cs="仿宋"/>
          <w:b w:val="0"/>
          <w:bCs w:val="0"/>
          <w:sz w:val="32"/>
          <w:szCs w:val="32"/>
        </w:rPr>
        <w:t>参与制定、推动落实、鼓励支持引导非公有制经济发展的政策措施，调查研究非公有制经济人士情况并提出政策建议，了解和反映非公有制经济人士的意见，团结、服务、引导、教育非公有制经济人士。</w:t>
      </w:r>
      <w:r>
        <w:rPr>
          <w:rFonts w:hint="eastAsia" w:ascii="仿宋" w:hAnsi="仿宋" w:eastAsia="仿宋" w:cs="仿宋"/>
          <w:b w:val="0"/>
          <w:bCs w:val="0"/>
          <w:sz w:val="32"/>
          <w:szCs w:val="32"/>
          <w:lang w:val="en-US" w:eastAsia="zh-CN"/>
        </w:rPr>
        <w:t>9.</w:t>
      </w:r>
      <w:r>
        <w:rPr>
          <w:rFonts w:hint="eastAsia" w:ascii="仿宋" w:hAnsi="仿宋" w:eastAsia="仿宋" w:cs="仿宋"/>
          <w:b w:val="0"/>
          <w:bCs w:val="0"/>
          <w:sz w:val="32"/>
          <w:szCs w:val="32"/>
        </w:rPr>
        <w:t>开展港澳台海外统一战线工作，贯彻落实党的海外统战工作政策，联系香港、澳门有关党派、团体及代表人士，联系海外有关社团及代表人士。</w:t>
      </w:r>
      <w:r>
        <w:rPr>
          <w:rFonts w:hint="eastAsia" w:ascii="仿宋" w:hAnsi="仿宋" w:eastAsia="仿宋" w:cs="仿宋"/>
          <w:b w:val="0"/>
          <w:bCs w:val="0"/>
          <w:sz w:val="32"/>
          <w:szCs w:val="32"/>
          <w:lang w:val="en-US" w:eastAsia="zh-CN"/>
        </w:rPr>
        <w:t>10.</w:t>
      </w:r>
      <w:r>
        <w:rPr>
          <w:rFonts w:hint="eastAsia" w:ascii="仿宋" w:hAnsi="仿宋" w:eastAsia="仿宋" w:cs="仿宋"/>
          <w:b w:val="0"/>
          <w:bCs w:val="0"/>
          <w:sz w:val="32"/>
          <w:szCs w:val="32"/>
        </w:rPr>
        <w:t>统一管理全区侨务工作，贯彻落实党的侨务工作方针政策并组织协调、督促检查落实，调查研究侨情和侨务工作情况，管理侨务工作，保护华侨和归侨侨眷在区内的合法权利和利益。</w:t>
      </w:r>
      <w:r>
        <w:rPr>
          <w:rFonts w:hint="eastAsia" w:ascii="仿宋" w:hAnsi="仿宋" w:eastAsia="仿宋" w:cs="仿宋"/>
          <w:b w:val="0"/>
          <w:bCs w:val="0"/>
          <w:sz w:val="32"/>
          <w:szCs w:val="32"/>
          <w:lang w:val="en-US" w:eastAsia="zh-CN"/>
        </w:rPr>
        <w:t>11.</w:t>
      </w:r>
      <w:r>
        <w:rPr>
          <w:rFonts w:hint="eastAsia" w:ascii="仿宋" w:hAnsi="仿宋" w:eastAsia="仿宋" w:cs="仿宋"/>
          <w:b w:val="0"/>
          <w:bCs w:val="0"/>
          <w:sz w:val="32"/>
          <w:szCs w:val="32"/>
        </w:rPr>
        <w:t>统一管理全区涉台工作，贯彻执行党中央、国务院对台工作的方针政策。</w:t>
      </w:r>
      <w:r>
        <w:rPr>
          <w:rFonts w:hint="eastAsia" w:ascii="仿宋" w:hAnsi="仿宋" w:eastAsia="仿宋" w:cs="仿宋"/>
          <w:b w:val="0"/>
          <w:bCs w:val="0"/>
          <w:sz w:val="32"/>
          <w:szCs w:val="32"/>
          <w:lang w:val="en-US" w:eastAsia="zh-CN"/>
        </w:rPr>
        <w:t>12.</w:t>
      </w:r>
      <w:r>
        <w:rPr>
          <w:rFonts w:hint="eastAsia" w:ascii="仿宋" w:hAnsi="仿宋" w:eastAsia="仿宋" w:cs="仿宋"/>
          <w:b w:val="0"/>
          <w:bCs w:val="0"/>
          <w:sz w:val="32"/>
          <w:szCs w:val="32"/>
        </w:rPr>
        <w:t>指导各乡镇（区）党（工）委统一战线工作，负责乡镇（区）统战干部培训工作；指导区工商联工作；指导区侨联工作，做好区党外知识分子联谊会和区侨联等统战团体管理工作。</w:t>
      </w:r>
      <w:r>
        <w:rPr>
          <w:rFonts w:hint="eastAsia" w:ascii="仿宋" w:hAnsi="仿宋" w:eastAsia="仿宋" w:cs="仿宋"/>
          <w:b w:val="0"/>
          <w:bCs w:val="0"/>
          <w:sz w:val="32"/>
          <w:szCs w:val="32"/>
          <w:lang w:val="en-US" w:eastAsia="zh-CN"/>
        </w:rPr>
        <w:t>13.</w:t>
      </w:r>
      <w:r>
        <w:rPr>
          <w:rFonts w:hint="eastAsia" w:ascii="仿宋" w:hAnsi="仿宋" w:eastAsia="仿宋" w:cs="仿宋"/>
          <w:b w:val="0"/>
          <w:bCs w:val="0"/>
          <w:sz w:val="32"/>
          <w:szCs w:val="32"/>
        </w:rPr>
        <w:t>完成区委交办的其他任务。</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w:t>
      </w:r>
      <w:r>
        <w:rPr>
          <w:rFonts w:hint="eastAsia" w:ascii="仿宋_GB2312" w:hAnsi="Times New Roman" w:eastAsia="仿宋_GB2312" w:cs="仿宋_GB2312"/>
          <w:sz w:val="32"/>
          <w:szCs w:val="32"/>
          <w:lang w:val="en-US" w:eastAsia="zh-CN"/>
        </w:rPr>
        <w:t>85.47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utoSpaceDE w:val="0"/>
        <w:autoSpaceDN w:val="0"/>
        <w:adjustRightInd w:val="0"/>
        <w:ind w:left="200" w:firstLine="640" w:firstLineChars="200"/>
        <w:jc w:val="left"/>
        <w:rPr>
          <w:rFonts w:hint="eastAsia" w:ascii="仿宋" w:hAnsi="仿宋" w:eastAsia="仿宋" w:cs="楷体_GB2312"/>
          <w:b/>
          <w:bCs/>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311.88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74.22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108.31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25.78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参见部门预算绩效文</w:t>
      </w:r>
      <w:bookmarkStart w:id="0" w:name="_GoBack"/>
      <w:bookmarkEnd w:id="0"/>
      <w:r>
        <w:rPr>
          <w:rFonts w:hint="eastAsia" w:ascii="仿宋" w:hAnsi="仿宋" w:eastAsia="仿宋"/>
          <w:sz w:val="32"/>
          <w:szCs w:val="32"/>
          <w:lang w:eastAsia="zh-CN"/>
        </w:rPr>
        <w:t>本</w:t>
      </w:r>
      <w:r>
        <w:rPr>
          <w:rFonts w:hint="eastAsia" w:ascii="仿宋" w:hAnsi="仿宋" w:eastAsia="仿宋"/>
          <w:sz w:val="32"/>
          <w:szCs w:val="32"/>
        </w:rPr>
        <w:t>绩效目标</w:t>
      </w:r>
      <w:r>
        <w:rPr>
          <w:rFonts w:hint="eastAsia" w:ascii="仿宋" w:hAnsi="仿宋" w:eastAsia="仿宋"/>
          <w:sz w:val="32"/>
          <w:szCs w:val="32"/>
          <w:lang w:eastAsia="zh-CN"/>
        </w:rPr>
        <w:t>、指标。</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ascii="仿宋" w:hAnsi="仿宋" w:eastAsia="仿宋"/>
          <w:sz w:val="32"/>
          <w:szCs w:val="32"/>
        </w:rPr>
      </w:pPr>
      <w:r>
        <w:rPr>
          <w:rFonts w:hint="eastAsia" w:ascii="仿宋_GB2312" w:hAnsi="仿宋_GB2312" w:eastAsia="仿宋_GB2312" w:cs="仿宋_GB2312"/>
          <w:b w:val="0"/>
          <w:bCs w:val="0"/>
          <w:sz w:val="32"/>
          <w:szCs w:val="32"/>
          <w:lang w:val="en-US" w:eastAsia="zh-CN"/>
        </w:rPr>
        <w:t>成立</w:t>
      </w:r>
      <w:r>
        <w:rPr>
          <w:rFonts w:hint="eastAsia" w:ascii="仿宋_GB2312" w:eastAsia="仿宋_GB2312"/>
          <w:sz w:val="32"/>
          <w:szCs w:val="32"/>
          <w:lang w:val="en-US" w:eastAsia="zh-CN"/>
        </w:rPr>
        <w:t>绩效评价小组，明确工作职责，制定任务分解清单。建立健全合法、合规、完整财务和业务管理制度，形成良好的内部控制机制。各项目管理股室根据职责分工、管理流程，按各项目的具体工作要求，确定实施范围、明确目标任务、工作要求、工作时间节点等，保证项目顺利实施。</w:t>
      </w:r>
      <w:r>
        <w:rPr>
          <w:rFonts w:hint="eastAsia" w:ascii="仿宋_GB2312" w:hAnsi="仿宋_GB2312" w:eastAsia="仿宋_GB2312" w:cs="仿宋_GB2312"/>
          <w:b w:val="0"/>
          <w:bCs w:val="0"/>
          <w:sz w:val="32"/>
          <w:szCs w:val="32"/>
          <w:lang w:val="en-US" w:eastAsia="zh-CN"/>
        </w:rPr>
        <w:t>结合平时掌握的项目开展情况，</w:t>
      </w:r>
      <w:r>
        <w:rPr>
          <w:rFonts w:hint="eastAsia" w:ascii="仿宋_GB2312" w:eastAsia="仿宋_GB2312"/>
          <w:sz w:val="32"/>
          <w:szCs w:val="32"/>
          <w:lang w:val="en-US" w:eastAsia="zh-CN"/>
        </w:rPr>
        <w:t>按照绩效目标、指标要求通过查看验刊资料、活动相关文件、印刷发放物品等形式，组织绩效评价工作。</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1、科学制定项目申报。项目单位要按照自身实际需求，明确发展思路，实事求是的申报项目。</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2、认真组织项目实施。上级批复后，按项目申报书内容在规定的时间内组织实施。</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3、严格验收。区级负责按照资金管理办法组织项目验收工作，验收合格的协调指导拨付资金。</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4、完善档案。按照绩效评价工作要求建立并完善项目档案。</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管理制度健全。我部门有完善的项目资金与财务管理内控制度，该制度根据相关法律法规制定，合法、合规、完整。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b w:val="0"/>
          <w:bCs w:val="0"/>
          <w:sz w:val="32"/>
          <w:szCs w:val="32"/>
          <w:lang w:val="en-US" w:eastAsia="zh-CN"/>
        </w:rPr>
        <w:t>财务监控有效。根据我部财务管理规定，每笔支出都经过单位主要领导审批，部务会研究集体决定并进行评审工作。</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民族宗教工作专项经费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台侨工作经费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left="-10" w:leftChars="0" w:firstLine="640" w:firstLineChars="0"/>
        <w:rPr>
          <w:rFonts w:hint="default" w:ascii="仿宋_GB2312" w:hAnsi="仿宋_GB2312" w:eastAsia="仿宋_GB2312" w:cs="Times New Roman"/>
          <w:sz w:val="32"/>
          <w:szCs w:val="32"/>
          <w:lang w:val="en-US"/>
        </w:rPr>
      </w:pPr>
      <w:r>
        <w:rPr>
          <w:rFonts w:hint="eastAsia" w:ascii="仿宋_GB2312" w:hAnsi="仿宋_GB2312" w:eastAsia="仿宋_GB2312" w:cs="仿宋_GB2312"/>
          <w:sz w:val="32"/>
          <w:szCs w:val="32"/>
          <w:lang w:val="en-US" w:eastAsia="zh-CN"/>
        </w:rPr>
        <w:t>退役军人公益岗工资</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15.08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15.39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rPr>
        <w:t>做好退役军人的帮扶救助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共完成三名退役军人工资按时发放，各项社保按时缴纳。</w:t>
      </w:r>
      <w:r>
        <w:rPr>
          <w:rFonts w:hint="eastAsia" w:ascii="仿宋_GB2312" w:hAnsi="仿宋_GB2312" w:eastAsia="仿宋_GB2312" w:cs="仿宋_GB2312"/>
          <w:sz w:val="32"/>
          <w:szCs w:val="32"/>
          <w:highlight w:val="none"/>
        </w:rPr>
        <w:t>未发现问题。</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（2）党外知识分子工作经费项目绩效自评综述：根据年初设定的绩效目标，党外知识分子工作经费项目绩效自评得分为100 分。全年预算数为 3 万元，执行数为 3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lang w:val="en-US" w:eastAsia="zh-CN"/>
        </w:rPr>
        <w:t>对党外知识分子和各民主党派成员开展培训就、联谊、公益活动，</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lang w:val="en-US" w:eastAsia="zh-CN"/>
        </w:rPr>
        <w:t>。</w:t>
      </w:r>
    </w:p>
    <w:p>
      <w:pPr>
        <w:wordWrap/>
        <w:adjustRightInd/>
        <w:snapToGrid w:val="0"/>
        <w:spacing w:before="0" w:after="0" w:line="360" w:lineRule="auto"/>
        <w:ind w:left="-105" w:leftChars="-50" w:right="-105" w:rightChars="-50"/>
        <w:jc w:val="both"/>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（3）宗教工作专项经费项目绩效自评综述：根据年初设定的绩效目标，宗教工作专项经费项目绩效自评得分为 100 分。全年预算数为 10 万元，执行数为 10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lang w:val="en-US" w:eastAsia="zh-CN"/>
        </w:rPr>
        <w:t>切实维护了宗教领域的和谐稳定，开展宗教相关培训，开展“星级和谐寺观教堂”创建活动，完成全区宗教活动场所财务审计工作。</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highlight w:val="none"/>
          <w:lang w:eastAsia="zh-CN"/>
        </w:rPr>
        <w:t>。</w:t>
      </w:r>
    </w:p>
    <w:p>
      <w:pPr>
        <w:wordWrap/>
        <w:adjustRightInd/>
        <w:snapToGrid w:val="0"/>
        <w:spacing w:before="0" w:after="0" w:line="360" w:lineRule="auto"/>
        <w:ind w:left="-105" w:leftChars="-50" w:right="-105" w:rightChars="-50" w:firstLine="640" w:firstLineChars="200"/>
        <w:jc w:val="both"/>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附项目支出绩效自评表</w:t>
      </w:r>
      <w:r>
        <w:rPr>
          <w:rFonts w:hint="eastAsia" w:ascii="仿宋_GB2312" w:hAnsi="仿宋_GB2312" w:eastAsia="仿宋_GB2312" w:cs="仿宋_GB2312"/>
          <w:sz w:val="32"/>
          <w:szCs w:val="32"/>
          <w:highlight w:val="none"/>
          <w:lang w:eastAsia="zh-CN"/>
        </w:rPr>
        <w:t>：</w:t>
      </w:r>
    </w:p>
    <w:p>
      <w:pPr>
        <w:wordWrap/>
        <w:adjustRightInd/>
        <w:snapToGrid w:val="0"/>
        <w:spacing w:before="0" w:after="0" w:line="360" w:lineRule="auto"/>
        <w:ind w:left="-105" w:leftChars="-50" w:right="-105" w:rightChars="-50"/>
        <w:jc w:val="center"/>
        <w:textAlignment w:val="auto"/>
        <w:outlineLvl w:val="9"/>
        <w:rPr>
          <w:rFonts w:hint="eastAsia" w:ascii="仿宋_GB2312" w:hAnsi="宋体" w:eastAsia="仿宋_GB2312"/>
          <w:b/>
          <w:sz w:val="32"/>
          <w:szCs w:val="32"/>
          <w:lang w:val="en-US" w:eastAsia="zh-CN"/>
        </w:rPr>
      </w:pPr>
      <w:r>
        <w:rPr>
          <w:rFonts w:hint="eastAsia" w:ascii="仿宋_GB2312" w:hAnsi="宋体" w:eastAsia="仿宋_GB2312"/>
          <w:b/>
          <w:sz w:val="32"/>
          <w:szCs w:val="32"/>
          <w:lang w:val="en-US" w:eastAsia="zh-CN"/>
        </w:rPr>
        <w:t>中共石家庄市鹿泉区委统战部</w:t>
      </w: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单位</w:t>
      </w:r>
      <w:r>
        <w:rPr>
          <w:rFonts w:hint="eastAsia" w:ascii="仿宋_GB2312" w:hAnsi="宋体" w:eastAsia="仿宋_GB2312"/>
          <w:b/>
          <w:sz w:val="32"/>
          <w:szCs w:val="32"/>
        </w:rPr>
        <w:t>绩效自评结果统计表</w:t>
      </w:r>
    </w:p>
    <w:tbl>
      <w:tblPr>
        <w:tblStyle w:val="6"/>
        <w:tblpPr w:leftFromText="180" w:rightFromText="180" w:vertAnchor="text" w:horzAnchor="page" w:tblpXSpec="center" w:tblpY="470"/>
        <w:tblOverlap w:val="never"/>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default" w:ascii="仿宋_GB2312" w:hAnsi="宋体" w:eastAsia="仿宋_GB2312" w:cs="宋体"/>
                <w:kern w:val="0"/>
                <w:sz w:val="22"/>
                <w:szCs w:val="22"/>
                <w:lang w:val="en-US"/>
              </w:rPr>
            </w:pPr>
            <w:r>
              <w:rPr>
                <w:rFonts w:hint="eastAsia" w:ascii="宋体" w:hAnsi="宋体" w:cs="宋体"/>
                <w:i w:val="0"/>
                <w:color w:val="000000"/>
                <w:kern w:val="0"/>
                <w:sz w:val="20"/>
                <w:szCs w:val="20"/>
                <w:u w:val="none"/>
                <w:lang w:val="en-US" w:eastAsia="zh-CN" w:bidi="ar"/>
              </w:rPr>
              <w:t>退役军人公益岗工资</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default" w:ascii="仿宋_GB2312" w:hAnsi="宋体" w:eastAsia="仿宋_GB2312" w:cs="宋体"/>
                <w:kern w:val="0"/>
                <w:sz w:val="22"/>
                <w:szCs w:val="22"/>
                <w:lang w:val="en-US"/>
              </w:rPr>
            </w:pPr>
            <w:r>
              <w:rPr>
                <w:rFonts w:hint="eastAsia" w:ascii="宋体" w:hAnsi="宋体" w:cs="宋体"/>
                <w:i w:val="0"/>
                <w:color w:val="000000"/>
                <w:kern w:val="0"/>
                <w:sz w:val="20"/>
                <w:szCs w:val="20"/>
                <w:u w:val="none"/>
                <w:lang w:val="en-US" w:eastAsia="zh-CN" w:bidi="ar"/>
              </w:rPr>
              <w:t>党外知识分子工作经费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3</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民族宗教工作专项经费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4</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台侨工作经费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nil"/>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5</w:t>
            </w:r>
          </w:p>
        </w:tc>
        <w:tc>
          <w:tcPr>
            <w:tcW w:w="5515" w:type="dxa"/>
            <w:tcBorders>
              <w:top w:val="nil"/>
              <w:left w:val="nil"/>
              <w:bottom w:val="nil"/>
              <w:right w:val="single" w:color="auto" w:sz="4" w:space="0"/>
            </w:tcBorders>
            <w:vAlign w:val="center"/>
          </w:tcPr>
          <w:p>
            <w:pPr>
              <w:keepNext w:val="0"/>
              <w:keepLines w:val="0"/>
              <w:widowControl/>
              <w:suppressLineNumbers w:val="0"/>
              <w:jc w:val="left"/>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统战工作协调机制专项经费</w:t>
            </w:r>
          </w:p>
        </w:tc>
        <w:tc>
          <w:tcPr>
            <w:tcW w:w="1000" w:type="dxa"/>
            <w:tcBorders>
              <w:top w:val="nil"/>
              <w:left w:val="nil"/>
              <w:bottom w:val="nil"/>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nil"/>
              <w:right w:val="single" w:color="auto" w:sz="4" w:space="0"/>
            </w:tcBorders>
            <w:vAlign w:val="center"/>
          </w:tcPr>
          <w:p>
            <w:pPr>
              <w:widowControl/>
              <w:wordWrap/>
              <w:adjustRightInd/>
              <w:spacing w:before="0" w:after="0" w:line="360" w:lineRule="auto"/>
              <w:ind w:right="-105" w:rightChars="-50"/>
              <w:jc w:val="both"/>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nil"/>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i w:val="0"/>
                <w:color w:val="000000"/>
                <w:kern w:val="0"/>
                <w:sz w:val="20"/>
                <w:szCs w:val="20"/>
                <w:u w:val="none"/>
                <w:lang w:val="en-US" w:eastAsia="zh-CN" w:bidi="ar"/>
              </w:rPr>
              <w:t>6</w:t>
            </w:r>
          </w:p>
        </w:tc>
        <w:tc>
          <w:tcPr>
            <w:tcW w:w="5515" w:type="dxa"/>
            <w:tcBorders>
              <w:top w:val="nil"/>
              <w:left w:val="nil"/>
              <w:bottom w:val="nil"/>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color w:val="000000"/>
                <w:sz w:val="20"/>
                <w:szCs w:val="20"/>
              </w:rPr>
              <w:t>2021年省级基层宗教事务管理补助经费</w:t>
            </w:r>
          </w:p>
        </w:tc>
        <w:tc>
          <w:tcPr>
            <w:tcW w:w="1000" w:type="dxa"/>
            <w:tcBorders>
              <w:top w:val="nil"/>
              <w:left w:val="nil"/>
              <w:bottom w:val="nil"/>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100.00 </w:t>
            </w:r>
          </w:p>
        </w:tc>
        <w:tc>
          <w:tcPr>
            <w:tcW w:w="960" w:type="dxa"/>
            <w:tcBorders>
              <w:top w:val="nil"/>
              <w:left w:val="nil"/>
              <w:bottom w:val="nil"/>
              <w:right w:val="single" w:color="auto" w:sz="4" w:space="0"/>
            </w:tcBorders>
            <w:vAlign w:val="center"/>
          </w:tcPr>
          <w:p>
            <w:pPr>
              <w:widowControl/>
              <w:wordWrap/>
              <w:adjustRightInd/>
              <w:spacing w:before="0" w:after="0" w:line="360" w:lineRule="auto"/>
              <w:ind w:right="-105" w:rightChars="-50"/>
              <w:jc w:val="both"/>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nil"/>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i w:val="0"/>
                <w:color w:val="000000"/>
                <w:kern w:val="0"/>
                <w:sz w:val="20"/>
                <w:szCs w:val="20"/>
                <w:u w:val="none"/>
                <w:lang w:val="en-US" w:eastAsia="zh-CN" w:bidi="ar"/>
              </w:rPr>
              <w:t>7</w:t>
            </w:r>
          </w:p>
        </w:tc>
        <w:tc>
          <w:tcPr>
            <w:tcW w:w="5515" w:type="dxa"/>
            <w:tcBorders>
              <w:top w:val="nil"/>
              <w:left w:val="nil"/>
              <w:bottom w:val="nil"/>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color w:val="000000"/>
                <w:sz w:val="20"/>
                <w:szCs w:val="20"/>
              </w:rPr>
              <w:t>2021年市级基层宗教工作专项经费</w:t>
            </w:r>
          </w:p>
        </w:tc>
        <w:tc>
          <w:tcPr>
            <w:tcW w:w="1000" w:type="dxa"/>
            <w:tcBorders>
              <w:top w:val="nil"/>
              <w:left w:val="nil"/>
              <w:bottom w:val="nil"/>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100.00 </w:t>
            </w:r>
          </w:p>
        </w:tc>
        <w:tc>
          <w:tcPr>
            <w:tcW w:w="960" w:type="dxa"/>
            <w:tcBorders>
              <w:top w:val="nil"/>
              <w:left w:val="nil"/>
              <w:bottom w:val="nil"/>
              <w:right w:val="single" w:color="auto" w:sz="4" w:space="0"/>
            </w:tcBorders>
            <w:vAlign w:val="center"/>
          </w:tcPr>
          <w:p>
            <w:pPr>
              <w:widowControl/>
              <w:wordWrap/>
              <w:adjustRightInd/>
              <w:spacing w:before="0" w:after="0" w:line="360" w:lineRule="auto"/>
              <w:ind w:right="-105" w:rightChars="-50"/>
              <w:jc w:val="both"/>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nil"/>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i w:val="0"/>
                <w:color w:val="000000"/>
                <w:kern w:val="0"/>
                <w:sz w:val="20"/>
                <w:szCs w:val="20"/>
                <w:u w:val="none"/>
                <w:lang w:val="en-US" w:eastAsia="zh-CN" w:bidi="ar"/>
              </w:rPr>
              <w:t>8</w:t>
            </w:r>
          </w:p>
        </w:tc>
        <w:tc>
          <w:tcPr>
            <w:tcW w:w="5515" w:type="dxa"/>
            <w:tcBorders>
              <w:top w:val="nil"/>
              <w:left w:val="nil"/>
              <w:bottom w:val="nil"/>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color w:val="000000"/>
                <w:sz w:val="20"/>
                <w:szCs w:val="20"/>
              </w:rPr>
              <w:t>民主党派工作经费</w:t>
            </w:r>
          </w:p>
        </w:tc>
        <w:tc>
          <w:tcPr>
            <w:tcW w:w="1000" w:type="dxa"/>
            <w:tcBorders>
              <w:top w:val="nil"/>
              <w:left w:val="nil"/>
              <w:bottom w:val="nil"/>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100.00 </w:t>
            </w:r>
          </w:p>
        </w:tc>
        <w:tc>
          <w:tcPr>
            <w:tcW w:w="960" w:type="dxa"/>
            <w:tcBorders>
              <w:top w:val="nil"/>
              <w:left w:val="nil"/>
              <w:bottom w:val="nil"/>
              <w:right w:val="single" w:color="auto" w:sz="4" w:space="0"/>
            </w:tcBorders>
            <w:vAlign w:val="center"/>
          </w:tcPr>
          <w:p>
            <w:pPr>
              <w:widowControl/>
              <w:wordWrap/>
              <w:adjustRightInd/>
              <w:spacing w:before="0" w:after="0" w:line="360" w:lineRule="auto"/>
              <w:ind w:right="-105" w:rightChars="-50"/>
              <w:jc w:val="both"/>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i w:val="0"/>
                <w:color w:val="000000"/>
                <w:kern w:val="0"/>
                <w:sz w:val="20"/>
                <w:szCs w:val="20"/>
                <w:u w:val="none"/>
                <w:lang w:val="en-US" w:eastAsia="zh-CN" w:bidi="ar"/>
              </w:rPr>
              <w:t>9</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b w:val="0"/>
                <w:bCs w:val="0"/>
                <w:i w:val="0"/>
                <w:color w:val="000000"/>
                <w:kern w:val="0"/>
                <w:sz w:val="20"/>
                <w:szCs w:val="20"/>
                <w:u w:val="none"/>
                <w:lang w:val="en-US" w:eastAsia="zh-CN" w:bidi="ar"/>
              </w:rPr>
            </w:pPr>
            <w:r>
              <w:rPr>
                <w:rFonts w:hint="eastAsia" w:ascii="宋体" w:hAnsi="宋体" w:eastAsia="宋体" w:cs="宋体"/>
                <w:b w:val="0"/>
                <w:bCs w:val="0"/>
                <w:color w:val="000000"/>
                <w:sz w:val="20"/>
                <w:szCs w:val="20"/>
              </w:rPr>
              <w:t>宗教基层治理工作队经费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both"/>
              <w:textAlignment w:val="auto"/>
              <w:outlineLvl w:val="9"/>
              <w:rPr>
                <w:rFonts w:hint="eastAsia" w:ascii="宋体" w:hAnsi="宋体" w:eastAsia="宋体" w:cs="宋体"/>
                <w:b w:val="0"/>
                <w:bCs w:val="0"/>
                <w:kern w:val="0"/>
                <w:sz w:val="20"/>
                <w:szCs w:val="20"/>
                <w:lang w:val="en-US" w:eastAsia="zh-CN" w:bidi="ar-SA"/>
              </w:rPr>
            </w:pPr>
            <w:r>
              <w:rPr>
                <w:rFonts w:hint="eastAsia" w:ascii="宋体" w:hAnsi="宋体" w:eastAsia="宋体" w:cs="宋体"/>
                <w:b w:val="0"/>
                <w:bCs w:val="0"/>
                <w:kern w:val="0"/>
                <w:sz w:val="20"/>
                <w:szCs w:val="20"/>
              </w:rPr>
              <w:t xml:space="preserve"> 优秀 </w:t>
            </w:r>
          </w:p>
        </w:tc>
      </w:tr>
    </w:tbl>
    <w:p>
      <w:pPr>
        <w:adjustRightInd w:val="0"/>
        <w:snapToGrid w:val="0"/>
        <w:spacing w:line="580" w:lineRule="exact"/>
        <w:rPr>
          <w:rFonts w:hint="eastAsia" w:ascii="仿宋_GB2312" w:hAnsi="仿宋_GB2312" w:eastAsia="仿宋_GB2312" w:cs="仿宋_GB2312"/>
          <w:sz w:val="32"/>
          <w:szCs w:val="32"/>
          <w:lang w:val="en-US" w:eastAsia="zh-CN"/>
        </w:rPr>
      </w:pP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jc w:val="both"/>
        <w:textAlignment w:val="auto"/>
        <w:outlineLvl w:val="9"/>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根据项目执行情况和项目绩效情况，总得分</w:t>
      </w:r>
      <w:r>
        <w:rPr>
          <w:rFonts w:hint="default" w:ascii="仿宋_GB2312" w:hAnsi="Calibri" w:eastAsia="仿宋_GB2312" w:cs="黑体"/>
          <w:kern w:val="2"/>
          <w:sz w:val="32"/>
          <w:szCs w:val="32"/>
          <w:lang w:val="en-US" w:eastAsia="zh-CN" w:bidi="ar-SA"/>
        </w:rPr>
        <w:t>≥</w:t>
      </w:r>
      <w:r>
        <w:rPr>
          <w:rFonts w:hint="eastAsia" w:ascii="仿宋_GB2312" w:hAnsi="Calibri" w:eastAsia="仿宋_GB2312" w:cs="黑体"/>
          <w:kern w:val="2"/>
          <w:sz w:val="32"/>
          <w:szCs w:val="32"/>
          <w:lang w:val="en-US" w:eastAsia="zh-CN" w:bidi="ar-SA"/>
        </w:rPr>
        <w:t>90分，优秀。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2"/>
        <w:keepNext w:val="0"/>
        <w:keepLines w:val="0"/>
        <w:pageBreakBefore w:val="0"/>
        <w:widowControl w:val="0"/>
        <w:kinsoku/>
        <w:wordWrap/>
        <w:overflowPunct/>
        <w:topLinePunct w:val="0"/>
        <w:bidi w:val="0"/>
        <w:spacing w:line="578" w:lineRule="exact"/>
        <w:jc w:val="both"/>
        <w:textAlignment w:val="auto"/>
        <w:rPr>
          <w:rFonts w:hint="default" w:ascii="仿宋_GB2312" w:hAnsi="Calibri" w:eastAsia="仿宋_GB2312" w:cs="黑体"/>
          <w:kern w:val="2"/>
          <w:sz w:val="32"/>
          <w:szCs w:val="32"/>
          <w:lang w:val="en-US" w:eastAsia="zh-CN" w:bidi="ar-SA"/>
        </w:rPr>
      </w:pPr>
      <w:r>
        <w:rPr>
          <w:rFonts w:hint="eastAsia" w:ascii="仿宋" w:hAnsi="仿宋" w:eastAsia="仿宋"/>
          <w:b/>
          <w:bCs/>
          <w:sz w:val="32"/>
          <w:szCs w:val="32"/>
          <w:lang w:val="en-US" w:eastAsia="zh-CN"/>
        </w:rPr>
        <w:t xml:space="preserve">    </w:t>
      </w:r>
      <w:r>
        <w:rPr>
          <w:rFonts w:hint="eastAsia" w:ascii="仿宋_GB2312" w:hAnsi="Calibri" w:eastAsia="仿宋_GB2312" w:cs="黑体"/>
          <w:kern w:val="2"/>
          <w:sz w:val="32"/>
          <w:szCs w:val="32"/>
          <w:lang w:val="en-US" w:eastAsia="zh-CN" w:bidi="ar-SA"/>
        </w:rPr>
        <w:t>部分项目由于不可抗拒原因，未完全按年初计划开展，资金支出进度缓慢，影响了工作任务和绩效指标的完成。</w:t>
      </w:r>
    </w:p>
    <w:p>
      <w:pPr>
        <w:keepNext w:val="0"/>
        <w:keepLines w:val="0"/>
        <w:pageBreakBefore w:val="0"/>
        <w:widowControl w:val="0"/>
        <w:numPr>
          <w:ilvl w:val="0"/>
          <w:numId w:val="2"/>
        </w:numPr>
        <w:kinsoku/>
        <w:wordWrap/>
        <w:overflowPunct/>
        <w:topLinePunct w:val="0"/>
        <w:autoSpaceDE/>
        <w:autoSpaceDN/>
        <w:bidi w:val="0"/>
        <w:spacing w:line="578" w:lineRule="exact"/>
        <w:ind w:left="642" w:leftChars="0" w:right="0" w:rightChars="0" w:firstLine="0" w:firstLineChars="0"/>
        <w:jc w:val="both"/>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pStyle w:val="8"/>
        <w:keepNext w:val="0"/>
        <w:keepLines w:val="0"/>
        <w:pageBreakBefore w:val="0"/>
        <w:widowControl w:val="0"/>
        <w:kinsoku/>
        <w:wordWrap/>
        <w:overflowPunct/>
        <w:topLinePunct w:val="0"/>
        <w:bidi w:val="0"/>
        <w:spacing w:line="578" w:lineRule="exact"/>
        <w:jc w:val="both"/>
        <w:textAlignment w:val="auto"/>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加强绩效运行监控，拉出目标清单，细化责任分工，明确时间节点，按要求开展绩效运行监控，发现问题及时采取措施，确保绩效目标如期保质实现。发现的问题及时整改，调整优化支出结构，提高财政资金使用效益。</w:t>
      </w: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方正仿宋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2FA8A0"/>
    <w:multiLevelType w:val="singleLevel"/>
    <w:tmpl w:val="F52FA8A0"/>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5F222FFA"/>
    <w:multiLevelType w:val="singleLevel"/>
    <w:tmpl w:val="5F222FFA"/>
    <w:lvl w:ilvl="0" w:tentative="0">
      <w:start w:val="1"/>
      <w:numFmt w:val="decimal"/>
      <w:suff w:val="nothing"/>
      <w:lvlText w:val="（%1）"/>
      <w:lvlJc w:val="left"/>
      <w:pPr>
        <w:ind w:left="41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ZmM2U0ZmM2OTZmZDE4YTNkNDJmOGNhM2E0YmNiODAifQ=="/>
  </w:docVars>
  <w:rsids>
    <w:rsidRoot w:val="0EBD2122"/>
    <w:rsid w:val="007E6C1F"/>
    <w:rsid w:val="00AF566A"/>
    <w:rsid w:val="00B6553A"/>
    <w:rsid w:val="01B104CA"/>
    <w:rsid w:val="02106AB0"/>
    <w:rsid w:val="02B43A28"/>
    <w:rsid w:val="046F331E"/>
    <w:rsid w:val="05F67ED4"/>
    <w:rsid w:val="07956271"/>
    <w:rsid w:val="09721397"/>
    <w:rsid w:val="0BB63BED"/>
    <w:rsid w:val="0EB97A43"/>
    <w:rsid w:val="0EBD2122"/>
    <w:rsid w:val="0F214EAE"/>
    <w:rsid w:val="11B71E6A"/>
    <w:rsid w:val="1AAF0063"/>
    <w:rsid w:val="1BE140DE"/>
    <w:rsid w:val="248C197D"/>
    <w:rsid w:val="252959AF"/>
    <w:rsid w:val="277A6671"/>
    <w:rsid w:val="292D35B7"/>
    <w:rsid w:val="2A594280"/>
    <w:rsid w:val="33EB6CFF"/>
    <w:rsid w:val="35A12947"/>
    <w:rsid w:val="37387040"/>
    <w:rsid w:val="3B625C0A"/>
    <w:rsid w:val="3CEE1963"/>
    <w:rsid w:val="4C9C27FE"/>
    <w:rsid w:val="512260B4"/>
    <w:rsid w:val="52BD6ACB"/>
    <w:rsid w:val="55537534"/>
    <w:rsid w:val="561A74F1"/>
    <w:rsid w:val="597244E8"/>
    <w:rsid w:val="5EB71C30"/>
    <w:rsid w:val="5F5060C8"/>
    <w:rsid w:val="66AF0CE5"/>
    <w:rsid w:val="6AC537CF"/>
    <w:rsid w:val="6E5B14A6"/>
    <w:rsid w:val="711B255E"/>
    <w:rsid w:val="7317199D"/>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7">
    <w:name w:val="Default Paragraph Font"/>
    <w:unhideWhenUsed/>
    <w:qFormat/>
    <w:uiPriority w:val="1"/>
  </w:style>
  <w:style w:type="table" w:default="1" w:styleId="6">
    <w:name w:val="Normal Table"/>
    <w:autoRedefine/>
    <w:unhideWhenUsed/>
    <w:qFormat/>
    <w:uiPriority w:val="99"/>
    <w:tblPr>
      <w:tblCellMar>
        <w:top w:w="0" w:type="dxa"/>
        <w:left w:w="108" w:type="dxa"/>
        <w:bottom w:w="0" w:type="dxa"/>
        <w:right w:w="108" w:type="dxa"/>
      </w:tblCellMar>
    </w:tblPr>
  </w:style>
  <w:style w:type="paragraph" w:customStyle="1" w:styleId="2">
    <w:name w:val="_Style 1"/>
    <w:autoRedefine/>
    <w:unhideWhenUsed/>
    <w:qFormat/>
    <w:uiPriority w:val="1"/>
    <w:pPr>
      <w:widowControl w:val="0"/>
      <w:jc w:val="both"/>
    </w:pPr>
    <w:rPr>
      <w:rFonts w:hint="eastAsia" w:ascii="宋体" w:hAnsi="宋体" w:eastAsia="宋体" w:cs="Times New Roman"/>
      <w:kern w:val="2"/>
      <w:sz w:val="32"/>
      <w:szCs w:val="22"/>
      <w:lang w:val="en-US" w:eastAsia="zh-CN" w:bidi="ar-SA"/>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3</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2022-01-19T07:24:00Z</cp:lastPrinted>
  <dcterms:modified xsi:type="dcterms:W3CDTF">2023-12-28T06:41:06Z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317A14257A464B27ADDBF19E7FC3C103_13</vt:lpwstr>
  </property>
</Properties>
</file>