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both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贯彻落实网络安全和信息化发展战略，宏观规划和重大决策。统筹协调全区网络安全保障体系和可信体系建设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督促落实各个领域的网络安全和信息化重大事项，协调处理网络安全和信息化重大突发事件与有关应急工作。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对互联网信息内容进行监督管理执法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统筹协调组织互联网宣传管理和舆论引导工作，维护互联网意识形态安全工作。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指导协调全区网络舆情信息工作。推动全区网络阵地和网络文明建设，指导互联网行业自律和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互联网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党建工作。负责网信系统干部教育培训和人才队伍建设。指导全区网信工作。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pStyle w:val="5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年底共计6个事业编，6个行政编，人员减少1名，跨区转出。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年度收入合计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万元，其中：财政拨款收入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；事业收入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；附属单位上缴收入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年度支出合计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万元，其中：基本支出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280.75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81.46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；项目支出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63.89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18.54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；对附属单位补助支出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spacing w:line="500" w:lineRule="exact"/>
        <w:ind w:firstLine="640" w:firstLineChars="200"/>
        <w:jc w:val="left"/>
        <w:rPr>
          <w:rFonts w:ascii="Times New Roman" w:eastAsia="方正仿宋_GBK"/>
          <w:sz w:val="28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了更好的贯彻落实网络安全和信息化发展战略、宏观规划和重大政策，开展网络安全教育，发放宣传资料、明白纸宣传网络安全知识，提升群众网络安全意识、完成联合公安、市场监督、文化执法等单严格落实上级政策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网信息内容管理及信息内容监督管理执法，组织开展互联网生态治理，会同有关单位处置和封堵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等;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完成媒体宣传报道次数,完成网络安全稳定运行、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同时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对单位内部的退役军人公益岗进行妥善安置。二是及时发放本单位2名退役军人公益岗的工资待遇及相关补贴，保障其合法权益。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，明确工作职责，制定任务分解清单。建立健全合法、合规、完整财务和业务管理制度，形成良好的内部控制机制。各项目管理股室根据职责分工、管理流程，按各项目的具体工作要求，确定实施范围、明确目标任务、工作要求、工作时间节点等，保证项目顺利实施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按照绩效目标、指标要求通过查看验刊资料、活动相关文件、印刷发放物品等形式，组织绩效评价工作。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对照各实施项目的内容逐条逐项自评。部门整体支出绩效数据采集的主要依据有：年度预算报告、决算报表、金财系统综合业务数据、单位年终考核汇编等资料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落实网络安全和信息化发展战略、宏观规划和重大政策，开展网络安全教育，提升群众网络安全意识、组织开展互联网生态治理，会同有关单位处置和封堵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指导发展规划编制管理工作，并为标准编制提供指导调研，按时完成“十四五时期”网络安全和信息化发展规划编制任务。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涉军公益岗工资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一是严格落实上级政策，对单位内部的退役军人公益岗进行妥善安置。二是及时发放本单位2名退役军人公益岗的工资待遇及相关补贴，保障其合法权益。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网络宣传、网络安全等经费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展网络安全教育，发放宣传资料、网络安全宣传周等，提升群众网络安全意识；完成络安全技术服务项目，培训工作、网络安全检查、安全监测预警、应急演练，提高群众网络安全意识。综合施策、一体推进，确保网络综合治理各项任务落到实处。</w:t>
      </w:r>
      <w:bookmarkStart w:id="0" w:name="_GoBack"/>
      <w:bookmarkEnd w:id="0"/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网络舆情精准监测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舆情中心运行费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网信息内容管理及信息内容监督管理执法，组织开展互联网生态治理，会同有关单位处置和封堵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等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编制“十四五时期”网络安全和信息化发展规划经费项目完成情况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新媒体宣传服务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通过项目实施，完成了年初设定的各项绩效目标，完成媒体宣传报道次数;完成网络安全稳定运行等。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根据项目执行情况和项目绩效情况，评价工作组对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涉军公益岗工资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网络宣传网络安全等经费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舆情中心运行费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新媒体宣传服务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、编制“十四五时期”网络安全和信息化发展规划经费项目、网络舆情精准监测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等6个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项目绩效评价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得分</w:t>
      </w:r>
      <w:r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  <w:t>≥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90分</w:t>
      </w:r>
      <w:r>
        <w:rPr>
          <w:rFonts w:hint="eastAsia" w:ascii="仿宋_GB2312" w:hAnsi="仿宋_GB2312" w:eastAsia="仿宋_GB2312" w:cs="仿宋_GB2312"/>
          <w:sz w:val="32"/>
          <w:szCs w:val="32"/>
        </w:rPr>
        <w:t>，评价等级为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优秀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>
      <w:pPr>
        <w:pStyle w:val="2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>
      <w:pPr>
        <w:pStyle w:val="2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谷克坷  鹿泉区委网信办综合股股长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5BF9A70"/>
    <w:multiLevelType w:val="singleLevel"/>
    <w:tmpl w:val="F5BF9A7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1746B1"/>
    <w:rsid w:val="0F214EAE"/>
    <w:rsid w:val="11B71E6A"/>
    <w:rsid w:val="1AAF0063"/>
    <w:rsid w:val="1BE140DE"/>
    <w:rsid w:val="248C197D"/>
    <w:rsid w:val="252959AF"/>
    <w:rsid w:val="277A6671"/>
    <w:rsid w:val="292D35B7"/>
    <w:rsid w:val="29390213"/>
    <w:rsid w:val="2A594280"/>
    <w:rsid w:val="2B1B0C4E"/>
    <w:rsid w:val="2CF83DED"/>
    <w:rsid w:val="33EB6CFF"/>
    <w:rsid w:val="347B4B87"/>
    <w:rsid w:val="35A12947"/>
    <w:rsid w:val="37387040"/>
    <w:rsid w:val="394B6E89"/>
    <w:rsid w:val="3B625C0A"/>
    <w:rsid w:val="3CEE1963"/>
    <w:rsid w:val="3D5910AA"/>
    <w:rsid w:val="4C9C27FE"/>
    <w:rsid w:val="5049173F"/>
    <w:rsid w:val="505A22D3"/>
    <w:rsid w:val="512260B4"/>
    <w:rsid w:val="51DF555D"/>
    <w:rsid w:val="52BD6ACB"/>
    <w:rsid w:val="54B465D2"/>
    <w:rsid w:val="55537534"/>
    <w:rsid w:val="561A74F1"/>
    <w:rsid w:val="597244E8"/>
    <w:rsid w:val="5EB71C30"/>
    <w:rsid w:val="5FB17519"/>
    <w:rsid w:val="64A17417"/>
    <w:rsid w:val="66AF0CE5"/>
    <w:rsid w:val="67490C00"/>
    <w:rsid w:val="692200D9"/>
    <w:rsid w:val="6AC537CF"/>
    <w:rsid w:val="6E5B14A6"/>
    <w:rsid w:val="6EA9193F"/>
    <w:rsid w:val="6FBF74F9"/>
    <w:rsid w:val="711B255E"/>
    <w:rsid w:val="7317199D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toc 2"/>
    <w:basedOn w:val="1"/>
    <w:next w:val="1"/>
    <w:uiPriority w:val="0"/>
    <w:rPr>
      <w:rFonts w:ascii="黑体" w:hAnsi="黑体" w:eastAsia="黑体" w:cs="仿宋_GB2312"/>
      <w:b/>
      <w:color w:val="000000"/>
      <w:sz w:val="32"/>
      <w:szCs w:val="32"/>
    </w:rPr>
  </w:style>
  <w:style w:type="paragraph" w:customStyle="1" w:styleId="8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1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2023-10-16T06:18:11Z</cp:lastPrinted>
  <dcterms:modified xsi:type="dcterms:W3CDTF">2023-10-16T06:21:41Z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