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eastAsia="zh-CN"/>
        </w:rPr>
        <w:t>石家庄市鹿泉区</w:t>
      </w:r>
      <w:r>
        <w:rPr>
          <w:rFonts w:hint="eastAsia" w:ascii="宋体" w:hAnsi="宋体" w:cs="宋体"/>
          <w:b/>
          <w:bCs/>
          <w:sz w:val="44"/>
          <w:szCs w:val="44"/>
          <w:lang w:val="en-US" w:eastAsia="zh-CN"/>
        </w:rPr>
        <w:t>政协</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鹿泉区</w:t>
      </w:r>
      <w:r>
        <w:rPr>
          <w:rFonts w:hint="eastAsia" w:ascii="仿宋" w:hAnsi="仿宋" w:eastAsia="仿宋"/>
          <w:sz w:val="32"/>
          <w:szCs w:val="32"/>
          <w:lang w:val="en-US" w:eastAsia="zh-CN"/>
        </w:rPr>
        <w:t>政协</w:t>
      </w:r>
      <w:r>
        <w:rPr>
          <w:rFonts w:hint="eastAsia" w:ascii="仿宋" w:hAnsi="仿宋" w:eastAsia="仿宋"/>
          <w:sz w:val="32"/>
          <w:szCs w:val="32"/>
          <w:lang w:eastAsia="zh-CN"/>
        </w:rPr>
        <w:t>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1、政治协商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2、民主监督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通过参加党委政府组织的调查和检查活动实施监督。对政协委员和参加政协的各党派团体以及各专委会（提案者）的提案进行审查立案，立案后交承办单位办理，适时督办。</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完善民主监督机制，畅通民主监督渠道，建立健全知情、沟通制度，加强工作协调配合，提高民主监督的质量和成效。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完善提案审查、办理和反馈机制，做到提案程序更加规范，制度更加完善，提案质量和办理质量不断提高，政协履职作用更加突出。</w:t>
      </w:r>
    </w:p>
    <w:p>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参政议政</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政协事务管理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加强区政协机关自身建设和宣传工作，扩大政协与区委、区人大常委会、区政府、各民主党派、工商联、人民团体、区直有关部门和市、县（区）政协的联系、协调工作。</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lang w:val="en-US" w:eastAsia="zh-CN"/>
        </w:rPr>
      </w:pPr>
      <w:r>
        <w:rPr>
          <w:rFonts w:hint="eastAsia" w:ascii="仿宋_GB2312" w:eastAsia="仿宋_GB2312" w:cs="仿宋_GB2312"/>
          <w:kern w:val="0"/>
          <w:sz w:val="32"/>
          <w:szCs w:val="32"/>
          <w:highlight w:val="none"/>
          <w:lang w:val="en-US" w:eastAsia="zh-CN"/>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部门</w:t>
      </w:r>
      <w:r>
        <w:rPr>
          <w:rFonts w:hint="eastAsia" w:ascii="仿宋" w:hAnsi="仿宋" w:eastAsia="仿宋" w:cs="楷体_GB2312"/>
          <w:b/>
          <w:bCs/>
          <w:sz w:val="32"/>
          <w:szCs w:val="32"/>
          <w:lang w:eastAsia="zh-CN"/>
        </w:rPr>
        <w:t>收支预决算情况</w:t>
      </w:r>
    </w:p>
    <w:p>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2022年预算收入1004.8万元，其中：财政拨款收入1004.8万元；事业收入0万元；其他收入0万元。</w:t>
      </w:r>
    </w:p>
    <w:p>
      <w:pPr>
        <w:widowControl w:val="0"/>
        <w:numPr>
          <w:ilvl w:val="0"/>
          <w:numId w:val="3"/>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1004.8</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932.71</w:t>
      </w:r>
      <w:r>
        <w:rPr>
          <w:rFonts w:hint="eastAsia" w:ascii="仿宋_GB2312" w:hAnsi="Times New Roman" w:eastAsia="仿宋_GB2312" w:cs="仿宋_GB2312"/>
          <w:sz w:val="32"/>
          <w:szCs w:val="32"/>
        </w:rPr>
        <w:t>万元；项目支出</w:t>
      </w:r>
      <w:r>
        <w:rPr>
          <w:rFonts w:hint="eastAsia" w:ascii="仿宋_GB2312" w:hAnsi="Times New Roman" w:eastAsia="仿宋_GB2312" w:cs="仿宋_GB2312"/>
          <w:sz w:val="32"/>
          <w:szCs w:val="32"/>
          <w:lang w:val="en-US" w:eastAsia="zh-CN"/>
        </w:rPr>
        <w:t>72.09</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pPr>
        <w:widowControl w:val="0"/>
        <w:numPr>
          <w:ilvl w:val="0"/>
          <w:numId w:val="0"/>
        </w:numPr>
        <w:wordWrap/>
        <w:adjustRightInd w:val="0"/>
        <w:snapToGrid w:val="0"/>
        <w:spacing w:line="560" w:lineRule="exact"/>
        <w:ind w:right="0" w:rightChars="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w:t>
      </w:r>
      <w:r>
        <w:rPr>
          <w:rFonts w:hint="eastAsia" w:ascii="仿宋" w:hAnsi="仿宋" w:eastAsia="仿宋" w:cs="楷体_GB2312"/>
          <w:b/>
          <w:bCs/>
          <w:sz w:val="32"/>
          <w:szCs w:val="32"/>
          <w:lang w:val="en-US" w:eastAsia="zh-CN"/>
        </w:rPr>
        <w:t>部门</w:t>
      </w:r>
      <w:r>
        <w:rPr>
          <w:rFonts w:hint="eastAsia" w:ascii="仿宋" w:hAnsi="仿宋" w:eastAsia="仿宋" w:cs="楷体_GB2312"/>
          <w:b/>
          <w:bCs/>
          <w:sz w:val="32"/>
          <w:szCs w:val="32"/>
          <w:lang w:eastAsia="zh-CN"/>
        </w:rPr>
        <w:t>整体支出绩效目标、指标</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预决算公开：2022年按照上级要求，我单位在政府网站进行了预决算公开。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资产管理：我部门进一步加强资产的管理，制定了《资产管理内控制度》等制度，明确了具体责任人，完善了固定资产档案，严格报批、销审等手续，做好资产登记工作，单位无资产流失现象。</w:t>
      </w:r>
    </w:p>
    <w:p>
      <w:pPr>
        <w:pStyle w:val="7"/>
        <w:pageBreakBefore w:val="0"/>
        <w:widowControl w:val="0"/>
        <w:kinsoku/>
        <w:wordWrap/>
        <w:overflowPunct/>
        <w:topLinePunct w:val="0"/>
        <w:autoSpaceDE/>
        <w:autoSpaceDN/>
        <w:bidi w:val="0"/>
        <w:spacing w:line="540" w:lineRule="exact"/>
        <w:ind w:left="0" w:leftChars="0" w:right="0" w:rightChars="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内部管理制度建设：健全单位财务管理制度，制订内部控制管理制度，加强合理使用和管理；制定内部监督检查制度，强化内部制度执行的监督管理。</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项目绩效总目标完成情况：2022年我部门完成各项工作任务。</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从整体情况来看，严格按照年初预算进行部门整体支出。在支出过程中，能严格遵守各项规章制度。</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中华人民共和国预算法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pStyle w:val="7"/>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2023年绩效自评工作的通知》相关要求，对2022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2022年区级预算项目进行自查自评，形成绩效评价报告。</w:t>
      </w:r>
    </w:p>
    <w:p>
      <w:pPr>
        <w:pageBreakBefore w:val="0"/>
        <w:widowControl w:val="0"/>
        <w:numPr>
          <w:ilvl w:val="0"/>
          <w:numId w:val="4"/>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本次评价工作坚持“客观、公正、科学、规范”的原则，采</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用业务处室自评与工作组复评相结合的方式进行。在自评的基础</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上，通过多种方式，搜集并审核相关绩效材料，运用比较分析、</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因素分析、成本效益分析等方法，综合评价该项目绩效。</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pageBreakBefore w:val="0"/>
        <w:widowControl w:val="0"/>
        <w:numPr>
          <w:ilvl w:val="0"/>
          <w:numId w:val="5"/>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本年度专项工作经费管理规范，按计划基本完成，确保了</w:t>
      </w:r>
    </w:p>
    <w:p>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各项工作正常运转和圆满完成，各科室对该项工作总体较为满意。对各项职能指标完成情况进行了自检自查,各项工作均已</w:t>
      </w:r>
    </w:p>
    <w:p>
      <w:pPr>
        <w:widowControl w:val="0"/>
        <w:wordWrap/>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基本完成，专项资金绩效评价自评为优秀。</w:t>
      </w:r>
    </w:p>
    <w:p>
      <w:pPr>
        <w:widowControl w:val="0"/>
        <w:wordWrap/>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分项绩效目标实现情况及指标分析</w:t>
      </w:r>
    </w:p>
    <w:p>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落实区委全会精神，助推发展要有新作为。紧紧围绕区委三届二次全会确定的总体要求，强化大局观念，紧紧围绕全区中心工作履行政协职能，做到区委所指、政府所需，即是政协所向、委员所为。深刻领会全会精神。区委三届二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分量、有</w:t>
      </w:r>
      <w:bookmarkStart w:id="0" w:name="_GoBack"/>
      <w:bookmarkEnd w:id="0"/>
      <w:r>
        <w:rPr>
          <w:rFonts w:hint="eastAsia" w:ascii="仿宋" w:hAnsi="仿宋" w:eastAsia="仿宋" w:cs="仿宋"/>
          <w:kern w:val="2"/>
          <w:sz w:val="32"/>
          <w:szCs w:val="32"/>
          <w:lang w:val="en-US" w:eastAsia="zh-CN" w:bidi="ar-SA"/>
        </w:rPr>
        <w:t>质量的参谋意见。广大政协委员要在提案撰写、专题协商、社情民意征集等工作中，深入基层掌握第一手情况，从而做到言之有据、言之有理、言之有度。</w:t>
      </w:r>
    </w:p>
    <w:p>
      <w:pPr>
        <w:pStyle w:val="13"/>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习近平总书记新时代中国特色社会主义新思想，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pageBreakBefore w:val="0"/>
        <w:widowControl w:val="0"/>
        <w:kinsoku/>
        <w:wordWrap/>
        <w:overflowPunct/>
        <w:topLinePunct w:val="0"/>
        <w:autoSpaceDE/>
        <w:autoSpaceDN/>
        <w:bidi w:val="0"/>
        <w:spacing w:line="540" w:lineRule="exact"/>
        <w:ind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val="en-US" w:eastAsia="zh-CN"/>
        </w:rPr>
        <w:t>部门</w:t>
      </w:r>
      <w:r>
        <w:rPr>
          <w:rFonts w:hint="eastAsia" w:ascii="仿宋" w:hAnsi="仿宋" w:eastAsia="仿宋"/>
          <w:sz w:val="32"/>
          <w:szCs w:val="32"/>
          <w:lang w:eastAsia="zh-CN"/>
        </w:rPr>
        <w:t>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val="en-US" w:eastAsia="zh-CN"/>
        </w:rPr>
        <w:t>部门</w:t>
      </w:r>
      <w:r>
        <w:rPr>
          <w:rFonts w:hint="eastAsia" w:ascii="仿宋" w:hAnsi="仿宋" w:eastAsia="仿宋"/>
          <w:sz w:val="32"/>
          <w:szCs w:val="32"/>
          <w:lang w:eastAsia="zh-CN"/>
        </w:rPr>
        <w:t>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9"/>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项目名称</w:t>
            </w:r>
          </w:p>
        </w:tc>
        <w:tc>
          <w:tcPr>
            <w:tcW w:w="1935" w:type="dxa"/>
          </w:tcPr>
          <w:p>
            <w:pPr>
              <w:pStyle w:val="2"/>
              <w:jc w:val="center"/>
              <w:rPr>
                <w:vertAlign w:val="baseline"/>
              </w:rPr>
            </w:pPr>
            <w:r>
              <w:rPr>
                <w:rFonts w:hint="eastAsia"/>
                <w:vertAlign w:val="baseline"/>
              </w:rPr>
              <w:t>自评得分</w:t>
            </w:r>
          </w:p>
        </w:tc>
        <w:tc>
          <w:tcPr>
            <w:tcW w:w="2193" w:type="dxa"/>
          </w:tcPr>
          <w:p>
            <w:pPr>
              <w:pStyle w:val="2"/>
              <w:jc w:val="center"/>
              <w:rPr>
                <w:vertAlign w:val="baseline"/>
              </w:rPr>
            </w:pPr>
            <w:r>
              <w:rPr>
                <w:rFonts w:hint="eastAsia"/>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pPr>
              <w:pStyle w:val="2"/>
              <w:jc w:val="center"/>
              <w:rPr>
                <w:vertAlign w:val="baseline"/>
              </w:rPr>
            </w:pPr>
            <w:r>
              <w:rPr>
                <w:rFonts w:hint="eastAsia"/>
                <w:vertAlign w:val="baseline"/>
              </w:rPr>
              <w:t>政协委员工作站（室）建设活动经费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rFonts w:hint="eastAsia" w:eastAsia="仿宋_GB2312"/>
                <w:vertAlign w:val="baseline"/>
                <w:lang w:val="en-US" w:eastAsia="zh-CN"/>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政协委员专项经费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政协文史资料编印费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政协委员报刊、杂志书籍订阅费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工商联专项业务费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政协会议政务外网使用费、“智慧政协”移动云服务费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政协会议费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涉军公益岗工资</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bl>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pPr>
        <w:pageBreakBefore w:val="0"/>
        <w:widowControl w:val="0"/>
        <w:numPr>
          <w:ilvl w:val="0"/>
          <w:numId w:val="5"/>
        </w:numPr>
        <w:kinsoku/>
        <w:wordWrap/>
        <w:overflowPunct/>
        <w:topLinePunct w:val="0"/>
        <w:autoSpaceDE/>
        <w:autoSpaceDN/>
        <w:bidi w:val="0"/>
        <w:spacing w:line="540" w:lineRule="exact"/>
        <w:ind w:left="0" w:leftChars="0" w:right="0" w:rightChars="0" w:firstLine="643" w:firstLineChars="200"/>
        <w:textAlignment w:val="auto"/>
        <w:outlineLvl w:val="9"/>
        <w:rPr>
          <w:b/>
          <w:bCs/>
        </w:rPr>
      </w:pPr>
      <w:r>
        <w:rPr>
          <w:rFonts w:hint="eastAsia" w:ascii="仿宋" w:hAnsi="仿宋" w:eastAsia="仿宋"/>
          <w:b/>
          <w:bCs/>
          <w:sz w:val="32"/>
          <w:szCs w:val="32"/>
        </w:rPr>
        <w:t>针对问题提出具体的改进措施或建议</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1、完善相关制度，推进制度落实。</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2、细化预算编制工作，认真做好预算编制。</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3、加强财务管理，严格财务审核。</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4、加强项目开展进度的跟踪，开展项目事前、事中、事后绩效跟踪评价。</w:t>
      </w:r>
    </w:p>
    <w:p>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仿宋" w:hAnsi="仿宋" w:eastAsia="仿宋"/>
          <w:b/>
          <w:bCs/>
          <w:sz w:val="32"/>
          <w:szCs w:val="32"/>
          <w:lang w:val="en-US" w:eastAsia="zh-CN"/>
        </w:rPr>
      </w:pPr>
      <w:r>
        <w:rPr>
          <w:rFonts w:hint="eastAsia" w:ascii="黑体" w:hAnsi="黑体" w:eastAsia="黑体" w:cs="黑体"/>
          <w:sz w:val="32"/>
          <w:szCs w:val="32"/>
        </w:rPr>
        <w:t>六、评价工作组人员名单及签字（姓名、工作单位、职务、职称）</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9"/>
        <w:tblW w:w="7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3051"/>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3051"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梁宝昆</w:t>
            </w:r>
          </w:p>
        </w:tc>
        <w:tc>
          <w:tcPr>
            <w:tcW w:w="305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刘慧君</w:t>
            </w:r>
          </w:p>
        </w:tc>
        <w:tc>
          <w:tcPr>
            <w:tcW w:w="305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sz w:val="21"/>
                <w:szCs w:val="21"/>
                <w:vertAlign w:val="baseline"/>
                <w:lang w:val="en-US" w:eastAsia="zh-CN"/>
              </w:rPr>
              <w:t>鹿泉区政协</w:t>
            </w:r>
          </w:p>
        </w:tc>
        <w:tc>
          <w:tcPr>
            <w:tcW w:w="291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经技委主任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王爱华</w:t>
            </w:r>
          </w:p>
        </w:tc>
        <w:tc>
          <w:tcPr>
            <w:tcW w:w="305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pPr>
              <w:pStyle w:val="7"/>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rPr>
          <w:rFonts w:hint="default"/>
          <w:lang w:val="en-US" w:eastAsia="zh-CN"/>
        </w:rPr>
      </w:pP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37D3D6"/>
    <w:multiLevelType w:val="singleLevel"/>
    <w:tmpl w:val="9437D3D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652D033E"/>
    <w:multiLevelType w:val="singleLevel"/>
    <w:tmpl w:val="652D033E"/>
    <w:lvl w:ilvl="0" w:tentative="0">
      <w:start w:val="2"/>
      <w:numFmt w:val="decimal"/>
      <w:suff w:val="nothing"/>
      <w:lvlText w:val="%1、"/>
      <w:lvlJc w:val="left"/>
    </w:lvl>
  </w:abstractNum>
  <w:abstractNum w:abstractNumId="4">
    <w:nsid w:val="652D049B"/>
    <w:multiLevelType w:val="singleLevel"/>
    <w:tmpl w:val="652D049B"/>
    <w:lvl w:ilvl="0" w:tentative="0">
      <w:start w:val="3"/>
      <w:numFmt w:val="decimal"/>
      <w:suff w:val="nothing"/>
      <w:lvlText w:val="%1、"/>
      <w:lvlJc w:val="left"/>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TQzMjg3ZmRiZDRkNzEwZDM5NWJjZmUzNDMwNDIifQ=="/>
  </w:docVars>
  <w:rsids>
    <w:rsidRoot w:val="0EBD2122"/>
    <w:rsid w:val="007E6C1F"/>
    <w:rsid w:val="00AF566A"/>
    <w:rsid w:val="00B6553A"/>
    <w:rsid w:val="01B104CA"/>
    <w:rsid w:val="02106AB0"/>
    <w:rsid w:val="02B43A28"/>
    <w:rsid w:val="03E27A5C"/>
    <w:rsid w:val="046F331E"/>
    <w:rsid w:val="067833C6"/>
    <w:rsid w:val="07811EAA"/>
    <w:rsid w:val="07956271"/>
    <w:rsid w:val="09721397"/>
    <w:rsid w:val="0BB63BED"/>
    <w:rsid w:val="0E7F750B"/>
    <w:rsid w:val="0EB97A43"/>
    <w:rsid w:val="0EBD2122"/>
    <w:rsid w:val="0F214EAE"/>
    <w:rsid w:val="11B71E6A"/>
    <w:rsid w:val="1AAF0063"/>
    <w:rsid w:val="1BE140DE"/>
    <w:rsid w:val="1C181228"/>
    <w:rsid w:val="1E2E30C5"/>
    <w:rsid w:val="235D5EFA"/>
    <w:rsid w:val="248C197D"/>
    <w:rsid w:val="252959AF"/>
    <w:rsid w:val="277A6671"/>
    <w:rsid w:val="27E43164"/>
    <w:rsid w:val="292D35B7"/>
    <w:rsid w:val="2A594280"/>
    <w:rsid w:val="2C5B5923"/>
    <w:rsid w:val="2D7C0ACE"/>
    <w:rsid w:val="319A21F9"/>
    <w:rsid w:val="33EB6CFF"/>
    <w:rsid w:val="34631C06"/>
    <w:rsid w:val="35A12947"/>
    <w:rsid w:val="37387040"/>
    <w:rsid w:val="386322AD"/>
    <w:rsid w:val="3B625C0A"/>
    <w:rsid w:val="3CEE1963"/>
    <w:rsid w:val="3D4A490C"/>
    <w:rsid w:val="3DD02567"/>
    <w:rsid w:val="3F960755"/>
    <w:rsid w:val="40D35985"/>
    <w:rsid w:val="43B97F20"/>
    <w:rsid w:val="456521BC"/>
    <w:rsid w:val="4B6C19E7"/>
    <w:rsid w:val="4C9C27FE"/>
    <w:rsid w:val="4F2459E3"/>
    <w:rsid w:val="503B4723"/>
    <w:rsid w:val="512260B4"/>
    <w:rsid w:val="52BD6ACB"/>
    <w:rsid w:val="532C5C05"/>
    <w:rsid w:val="54BE6D44"/>
    <w:rsid w:val="55537534"/>
    <w:rsid w:val="561A74F1"/>
    <w:rsid w:val="58495619"/>
    <w:rsid w:val="597244E8"/>
    <w:rsid w:val="5C261254"/>
    <w:rsid w:val="5DEC05B4"/>
    <w:rsid w:val="5EB71C30"/>
    <w:rsid w:val="66AF0CE5"/>
    <w:rsid w:val="6A9C07BC"/>
    <w:rsid w:val="6AC537CF"/>
    <w:rsid w:val="6CB57293"/>
    <w:rsid w:val="6D2909E1"/>
    <w:rsid w:val="6E5B14A6"/>
    <w:rsid w:val="711B255E"/>
    <w:rsid w:val="7317199D"/>
    <w:rsid w:val="770F2EEA"/>
    <w:rsid w:val="7BB51E06"/>
    <w:rsid w:val="7C387F7C"/>
    <w:rsid w:val="7C3E2C2A"/>
    <w:rsid w:val="7D840B36"/>
    <w:rsid w:val="7F38439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qFormat/>
    <w:uiPriority w:val="0"/>
    <w:pPr>
      <w:ind w:firstLine="420"/>
    </w:pPr>
    <w:rPr>
      <w:rFonts w:ascii="Times New Roman" w:hAnsi="Times New Roman" w:eastAsia="宋体" w:cs="Times New Roman"/>
    </w:rPr>
  </w:style>
  <w:style w:type="table" w:styleId="9">
    <w:name w:val="Table Grid"/>
    <w:basedOn w:val="8"/>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4</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2023-10-18T06:08:00Z</cp:lastPrinted>
  <dcterms:modified xsi:type="dcterms:W3CDTF">2024-07-09T02:04:48Z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B5E2118241F840D2BBE2F2A2D9CDF494_12</vt:lpwstr>
  </property>
</Properties>
</file>