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石家庄市鹿泉区科学技术和工业信息化局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鹿泉区科工局对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（一）部门概况：</w:t>
      </w:r>
    </w:p>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sz w:val="32"/>
          <w:szCs w:val="32"/>
        </w:rPr>
      </w:pPr>
      <w:bookmarkStart w:id="0" w:name="_GoBack"/>
      <w:r>
        <w:rPr>
          <w:rFonts w:hint="eastAsia" w:ascii="仿宋" w:hAnsi="仿宋" w:eastAsia="仿宋" w:cs="仿宋"/>
          <w:sz w:val="32"/>
          <w:szCs w:val="32"/>
        </w:rPr>
        <w:t>石家庄市鹿泉区</w:t>
      </w:r>
      <w:r>
        <w:rPr>
          <w:rFonts w:hint="eastAsia" w:ascii="仿宋" w:hAnsi="仿宋" w:eastAsia="仿宋" w:cs="仿宋"/>
          <w:sz w:val="32"/>
          <w:szCs w:val="32"/>
          <w:lang w:eastAsia="zh-CN"/>
        </w:rPr>
        <w:t>科学技术和工业信息化局</w:t>
      </w:r>
      <w:r>
        <w:rPr>
          <w:rFonts w:hint="eastAsia" w:ascii="仿宋" w:hAnsi="仿宋" w:eastAsia="仿宋" w:cs="仿宋"/>
          <w:sz w:val="32"/>
          <w:szCs w:val="32"/>
        </w:rPr>
        <w:t>为</w:t>
      </w:r>
      <w:r>
        <w:rPr>
          <w:rFonts w:hint="eastAsia" w:ascii="仿宋" w:hAnsi="仿宋" w:eastAsia="仿宋" w:cs="仿宋"/>
          <w:sz w:val="32"/>
          <w:szCs w:val="32"/>
          <w:lang w:eastAsia="zh-CN"/>
        </w:rPr>
        <w:t>正科级行政单位，下设鹿泉区工业企业服务中心和鹿泉区科技情报研究所两个全额拨款事业单位</w:t>
      </w:r>
      <w:r>
        <w:rPr>
          <w:rFonts w:hint="eastAsia" w:ascii="仿宋" w:hAnsi="仿宋" w:eastAsia="仿宋" w:cs="仿宋"/>
          <w:sz w:val="32"/>
          <w:szCs w:val="32"/>
        </w:rPr>
        <w:t>。</w:t>
      </w:r>
      <w:r>
        <w:rPr>
          <w:rFonts w:hint="eastAsia" w:ascii="仿宋" w:hAnsi="仿宋" w:eastAsia="仿宋" w:cs="仿宋"/>
          <w:sz w:val="32"/>
          <w:szCs w:val="32"/>
          <w:lang w:eastAsia="zh-CN"/>
        </w:rPr>
        <w:t>现有行政在编人员</w:t>
      </w:r>
      <w:r>
        <w:rPr>
          <w:rFonts w:hint="eastAsia" w:ascii="仿宋" w:hAnsi="仿宋" w:eastAsia="仿宋" w:cs="仿宋"/>
          <w:sz w:val="32"/>
          <w:szCs w:val="32"/>
          <w:lang w:val="en-US" w:eastAsia="zh-CN"/>
        </w:rPr>
        <w:t>24人，事业人员在编20人，离退休人员50人，劳动聘用人员13人，合计107人。</w:t>
      </w:r>
    </w:p>
    <w:bookmarkEnd w:id="0"/>
    <w:p>
      <w:pPr>
        <w:keepNext w:val="0"/>
        <w:keepLines w:val="0"/>
        <w:pageBreakBefore w:val="0"/>
        <w:widowControl w:val="0"/>
        <w:numPr>
          <w:numId w:val="0"/>
        </w:numPr>
        <w:kinsoku/>
        <w:wordWrap/>
        <w:overflowPunct/>
        <w:topLinePunct w:val="0"/>
        <w:autoSpaceDE/>
        <w:autoSpaceDN/>
        <w:bidi w:val="0"/>
        <w:adjustRightInd w:val="0"/>
        <w:snapToGrid w:val="0"/>
        <w:spacing w:line="500" w:lineRule="exact"/>
        <w:ind w:leftChars="0" w:right="0" w:rightChars="0"/>
        <w:jc w:val="left"/>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 xml:space="preserve">    （二）</w:t>
      </w:r>
      <w:r>
        <w:rPr>
          <w:rFonts w:hint="eastAsia" w:ascii="仿宋" w:hAnsi="仿宋" w:eastAsia="仿宋" w:cs="楷体_GB2312"/>
          <w:b/>
          <w:bCs/>
          <w:sz w:val="32"/>
          <w:szCs w:val="32"/>
          <w:lang w:eastAsia="zh-CN"/>
        </w:rPr>
        <w:t>部门收支预决算情况</w:t>
      </w:r>
    </w:p>
    <w:p>
      <w:pPr>
        <w:pStyle w:val="10"/>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2022年收入预算11503.14万元，其中：一般公共预算收入9921.84万元，基金预算收入0万元，上年结转结余1581.3万元。2022年支出预算为11503.14万元，其中基本支出1086.85万元，包括人员经费981.49万元和日常公用经费105.36万元；项目支出8834.99万元，主要为创新创业奖励、创新中心运营、用江水重点企业用水补贴、西安电子科技大学河北研究院建设、普兴电子电力专线等；上年结转安排1581.3万元，主要为中小企业发展专项、高新技术企业奖补等。</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2022年度收入决算合计23489.51万元，其中：财政拨款收入22289.51万元，占94.9%；其他收入1200万元，占5.1%。2022年度支出决算合计23493.11万元，其中：基本支出1217.47万元，占5.2%；项目支出22275.65万元，占94.9%；</w:t>
      </w:r>
    </w:p>
    <w:p>
      <w:pPr>
        <w:keepNext w:val="0"/>
        <w:keepLines w:val="0"/>
        <w:pageBreakBefore w:val="0"/>
        <w:widowControl w:val="0"/>
        <w:kinsoku/>
        <w:wordWrap/>
        <w:overflowPunct/>
        <w:topLinePunct w:val="0"/>
        <w:autoSpaceDE/>
        <w:autoSpaceDN/>
        <w:bidi w:val="0"/>
        <w:adjustRightInd w:val="0"/>
        <w:snapToGrid w:val="0"/>
        <w:spacing w:line="500" w:lineRule="exact"/>
        <w:ind w:right="0" w:firstLine="643" w:firstLineChars="200"/>
        <w:jc w:val="left"/>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pStyle w:val="11"/>
        <w:keepNext w:val="0"/>
        <w:keepLines w:val="0"/>
        <w:pageBreakBefore w:val="0"/>
        <w:widowControl w:val="0"/>
        <w:kinsoku/>
        <w:wordWrap/>
        <w:overflowPunct/>
        <w:topLinePunct w:val="0"/>
        <w:autoSpaceDE/>
        <w:autoSpaceDN/>
        <w:bidi w:val="0"/>
        <w:adjustRightInd/>
        <w:snapToGrid/>
        <w:spacing w:line="360" w:lineRule="auto"/>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是做好规上企业运行监测工作，确保完成经济社会主要预期目标；二是积极申报工业转型升级、高新科小等项目，争取上级资金，加快企业科技创新步伐；三是完善创新中心建设，积极跑办协调推动项目洽谈对接，提升中小企业服务水平，为项目落地提供决策咨询保障；四是扎实推动宣传服务对接等基础工作，谋划一系列活动，如创新创业大赛行业赛、电子信息高峰论坛等活动，加强孵化企业落地，将扶持政策落到实处。</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1、促进工业转型升级：加大我区工业转型升级步伐，加快制造强区建设，提升工业发展的质量和效益。提升行业管理水平，促进行业健康发展。</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绩效目标：加快项目建设进度，带动就业，增加营业额，实现科技成果转化。</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绩效指标：项目完工率达100%，营业额增加值同比增长20%，生产效率提高25%。</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2、科技创新项目支撑：为产业转型升级、现代农业建设、和谐宜居环境创建和民生改善提供创新支撑；提升科技开放与合作的水平，提高科技成果转化和产业化能力。</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绩效目标：根据文件奖补范围，对企业给予资金支持，激发企业发展，促进全社会创新创业活力。</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绩效指标：实际奖励的企业数量占上报企业达到奖励条件企业数量的比例达到100%，实际奖励企业数量全部符合文件奖励范围。增加的上报企业数量同比增长30%，被补贴的对象满意度达95%以上。</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3、科技创新环境建设：创新体系进一步完善，政策环境进一步优化，人才团队进一步壮大，创新平台对产业技术创新的支撑和服务能力进一步增强。</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绩效目标：通过举办专业技术培训5次，组织企业160多家800余人次，进一步提高企业创新能力建设，提升科技人员的能力水平，为鹿泉经济转型升级，高质量发展做贡献。</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绩效指标：整合技术资源达到10万项。展厅接待政府、军队、学校、企业等单位达到180次以上。展厅参展接待达3000人次，宣传鹿泉产业优势。</w:t>
      </w:r>
    </w:p>
    <w:p>
      <w:pPr>
        <w:pStyle w:val="12"/>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4、做好我区医疗卫生物资保障工作：采购储备管理和发放疫情防控物资，满足各医疗机构、隔离观察点和疫情防控小组工作需求，维护社会稳定。</w:t>
      </w:r>
    </w:p>
    <w:p>
      <w:pPr>
        <w:pStyle w:val="11"/>
        <w:keepNext w:val="0"/>
        <w:keepLines w:val="0"/>
        <w:pageBreakBefore w:val="0"/>
        <w:widowControl w:val="0"/>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绩效目标：购买口罩、防护服、病毒采样管、核酸试剂盒等，根据采购需求，及时精准发放至各需求点。满足隔离观察点、各医疗机构和各疫情防控小组需求，足额调配，维护社会稳定。</w:t>
      </w:r>
    </w:p>
    <w:p>
      <w:pPr>
        <w:pStyle w:val="11"/>
        <w:keepNext w:val="0"/>
        <w:keepLines w:val="0"/>
        <w:pageBreakBefore w:val="0"/>
        <w:widowControl w:val="0"/>
        <w:kinsoku/>
        <w:wordWrap/>
        <w:overflowPunct/>
        <w:topLinePunct w:val="0"/>
        <w:autoSpaceDE/>
        <w:autoSpaceDN/>
        <w:bidi w:val="0"/>
        <w:spacing w:line="500" w:lineRule="exact"/>
        <w:ind w:firstLine="560" w:firstLineChars="200"/>
        <w:jc w:val="left"/>
        <w:textAlignment w:val="auto"/>
        <w:rPr>
          <w:rFonts w:hint="eastAsia" w:ascii="Calibri" w:hAnsi="Calibri" w:eastAsia="方正仿宋_GBK" w:cs="黑体"/>
          <w:kern w:val="2"/>
          <w:sz w:val="28"/>
          <w:szCs w:val="22"/>
          <w:lang w:val="en-US" w:eastAsia="zh-CN" w:bidi="ar-SA"/>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360" w:lineRule="auto"/>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keepNext w:val="0"/>
        <w:keepLines w:val="0"/>
        <w:pageBreakBefore w:val="0"/>
        <w:widowControl w:val="0"/>
        <w:numPr>
          <w:ilvl w:val="0"/>
          <w:numId w:val="1"/>
        </w:numPr>
        <w:kinsoku/>
        <w:wordWrap/>
        <w:overflowPunct/>
        <w:topLinePunct w:val="0"/>
        <w:autoSpaceDE/>
        <w:autoSpaceDN/>
        <w:bidi w:val="0"/>
        <w:spacing w:line="360" w:lineRule="auto"/>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keepNext w:val="0"/>
        <w:keepLines w:val="0"/>
        <w:pageBreakBefore w:val="0"/>
        <w:widowControl w:val="0"/>
        <w:kinsoku/>
        <w:wordWrap/>
        <w:overflowPunct/>
        <w:topLinePunct w:val="0"/>
        <w:autoSpaceDE/>
        <w:autoSpaceDN/>
        <w:bidi w:val="0"/>
        <w:spacing w:line="360" w:lineRule="auto"/>
        <w:ind w:firstLine="643" w:firstLineChars="200"/>
        <w:textAlignment w:val="auto"/>
        <w:rPr>
          <w:rFonts w:hint="eastAsia" w:ascii="仿宋" w:hAnsi="仿宋" w:eastAsia="仿宋" w:cs="仿宋"/>
          <w:sz w:val="32"/>
          <w:szCs w:val="32"/>
        </w:rPr>
      </w:pPr>
      <w:r>
        <w:rPr>
          <w:rFonts w:hint="eastAsia" w:ascii="仿宋" w:hAnsi="仿宋" w:eastAsia="仿宋" w:cs="楷体_GB2312"/>
          <w:b/>
          <w:bCs/>
          <w:sz w:val="32"/>
          <w:szCs w:val="32"/>
        </w:rPr>
        <w:t>（三）评价工作过程</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keepNext w:val="0"/>
        <w:keepLines w:val="0"/>
        <w:pageBreakBefore w:val="0"/>
        <w:widowControl w:val="0"/>
        <w:kinsoku/>
        <w:wordWrap/>
        <w:overflowPunct/>
        <w:topLinePunct w:val="0"/>
        <w:autoSpaceDE/>
        <w:autoSpaceDN/>
        <w:bidi w:val="0"/>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第二阶段：按照区财政局要求，进行自查。</w:t>
      </w:r>
    </w:p>
    <w:p>
      <w:pPr>
        <w:keepNext w:val="0"/>
        <w:keepLines w:val="0"/>
        <w:pageBreakBefore w:val="0"/>
        <w:widowControl w:val="0"/>
        <w:kinsoku/>
        <w:wordWrap/>
        <w:overflowPunct/>
        <w:topLinePunct w:val="0"/>
        <w:autoSpaceDE/>
        <w:autoSpaceDN/>
        <w:bidi w:val="0"/>
        <w:spacing w:line="360" w:lineRule="auto"/>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cs="仿宋"/>
          <w:sz w:val="32"/>
          <w:szCs w:val="32"/>
        </w:rPr>
        <w:t>第三阶段：由评价工作小组对项目进行抽样核查，总结评价结论，最终形成自评价报告，报区财政局。</w:t>
      </w:r>
    </w:p>
    <w:p>
      <w:pPr>
        <w:widowControl w:val="0"/>
        <w:wordWrap/>
        <w:spacing w:line="560" w:lineRule="exact"/>
        <w:ind w:left="0" w:leftChars="0" w:right="0"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2"/>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left"/>
        <w:textAlignment w:val="auto"/>
        <w:rPr>
          <w:rFonts w:ascii="仿宋" w:hAnsi="仿宋" w:eastAsia="仿宋"/>
          <w:sz w:val="32"/>
          <w:szCs w:val="32"/>
        </w:rPr>
      </w:pPr>
      <w:r>
        <w:rPr>
          <w:rFonts w:hint="eastAsia" w:ascii="仿宋" w:hAnsi="仿宋" w:eastAsia="仿宋" w:cs="仿宋"/>
          <w:sz w:val="32"/>
          <w:szCs w:val="32"/>
          <w:lang w:eastAsia="zh-CN"/>
        </w:rPr>
        <w:t>我单位</w:t>
      </w:r>
      <w:r>
        <w:rPr>
          <w:rFonts w:hint="eastAsia" w:ascii="仿宋" w:hAnsi="仿宋" w:eastAsia="仿宋" w:cs="仿宋"/>
          <w:kern w:val="0"/>
          <w:sz w:val="32"/>
          <w:szCs w:val="32"/>
        </w:rPr>
        <w:t>组织对202</w:t>
      </w: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年度一般公共预算</w:t>
      </w:r>
      <w:r>
        <w:rPr>
          <w:rFonts w:hint="eastAsia" w:ascii="仿宋" w:hAnsi="仿宋" w:eastAsia="仿宋" w:cs="仿宋"/>
          <w:kern w:val="0"/>
          <w:sz w:val="32"/>
          <w:szCs w:val="32"/>
          <w:lang w:val="en-US" w:eastAsia="zh-CN"/>
        </w:rPr>
        <w:t>14</w:t>
      </w:r>
      <w:r>
        <w:rPr>
          <w:rFonts w:hint="eastAsia" w:ascii="仿宋" w:hAnsi="仿宋" w:eastAsia="仿宋" w:cs="仿宋"/>
          <w:kern w:val="0"/>
          <w:sz w:val="32"/>
          <w:szCs w:val="32"/>
        </w:rPr>
        <w:t>个项目全面开展绩效自评，</w:t>
      </w:r>
      <w:r>
        <w:rPr>
          <w:rFonts w:hint="eastAsia" w:ascii="仿宋" w:hAnsi="仿宋" w:eastAsia="仿宋" w:cs="仿宋"/>
          <w:kern w:val="0"/>
          <w:sz w:val="32"/>
          <w:szCs w:val="32"/>
          <w:lang w:eastAsia="zh-CN"/>
        </w:rPr>
        <w:t>其中，一级项目</w:t>
      </w:r>
      <w:r>
        <w:rPr>
          <w:rFonts w:hint="eastAsia" w:ascii="仿宋" w:hAnsi="仿宋" w:eastAsia="仿宋" w:cs="仿宋"/>
          <w:kern w:val="0"/>
          <w:sz w:val="32"/>
          <w:szCs w:val="32"/>
          <w:lang w:val="en-US" w:eastAsia="zh-CN"/>
        </w:rPr>
        <w:t>14个，</w:t>
      </w:r>
      <w:r>
        <w:rPr>
          <w:rFonts w:hint="eastAsia" w:ascii="仿宋" w:hAnsi="仿宋" w:eastAsia="仿宋" w:cs="仿宋"/>
          <w:kern w:val="0"/>
          <w:sz w:val="32"/>
          <w:szCs w:val="32"/>
        </w:rPr>
        <w:t>共涉及资金</w:t>
      </w:r>
      <w:r>
        <w:rPr>
          <w:rFonts w:hint="eastAsia" w:ascii="仿宋" w:hAnsi="仿宋" w:eastAsia="仿宋" w:cs="仿宋"/>
          <w:kern w:val="0"/>
          <w:sz w:val="32"/>
          <w:szCs w:val="32"/>
          <w:lang w:val="en-US" w:eastAsia="zh-CN"/>
        </w:rPr>
        <w:t>8096.07</w:t>
      </w:r>
      <w:r>
        <w:rPr>
          <w:rFonts w:hint="eastAsia" w:ascii="仿宋" w:hAnsi="仿宋" w:eastAsia="仿宋" w:cs="仿宋"/>
          <w:kern w:val="0"/>
          <w:sz w:val="32"/>
          <w:szCs w:val="32"/>
        </w:rPr>
        <w:t>万元。</w:t>
      </w:r>
      <w:r>
        <w:rPr>
          <w:rFonts w:hint="eastAsia" w:ascii="仿宋" w:hAnsi="仿宋" w:eastAsia="仿宋" w:cs="仿宋"/>
          <w:sz w:val="32"/>
          <w:szCs w:val="32"/>
        </w:rPr>
        <w:t>项目的实施，形成了较好的成果，</w:t>
      </w:r>
      <w:r>
        <w:rPr>
          <w:rFonts w:hint="eastAsia" w:ascii="仿宋_GB2312" w:eastAsia="仿宋_GB2312"/>
          <w:color w:val="000000"/>
          <w:sz w:val="32"/>
          <w:szCs w:val="32"/>
        </w:rPr>
        <w:t>促进我区企业发展，激发创新创业活力，环境保护</w:t>
      </w:r>
      <w:r>
        <w:rPr>
          <w:rFonts w:hint="eastAsia" w:ascii="仿宋_GB2312" w:eastAsia="仿宋_GB2312"/>
          <w:color w:val="000000"/>
          <w:sz w:val="32"/>
          <w:szCs w:val="32"/>
          <w:lang w:eastAsia="zh-CN"/>
        </w:rPr>
        <w:t>，</w:t>
      </w:r>
      <w:r>
        <w:rPr>
          <w:rFonts w:hint="eastAsia" w:ascii="仿宋_GB2312" w:eastAsia="仿宋_GB2312"/>
          <w:color w:val="000000"/>
          <w:sz w:val="32"/>
          <w:szCs w:val="32"/>
        </w:rPr>
        <w:t>维护社会稳定等方面均起到了积极意义，对鹿泉区经济社会发展提出了较好的意见建议，为政策制定提供了参考依据，为区领导提供了较好参谋成果，助推了鹿泉区经济发展。</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val="en-US" w:eastAsia="zh-CN"/>
        </w:rPr>
        <w:t xml:space="preserve"> </w:t>
      </w: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年本</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绩效自评项目共</w:t>
      </w:r>
      <w:r>
        <w:rPr>
          <w:rFonts w:hint="eastAsia" w:ascii="仿宋_GB2312" w:hAnsi="仿宋_GB2312" w:eastAsia="仿宋_GB2312" w:cs="仿宋_GB2312"/>
          <w:kern w:val="0"/>
          <w:sz w:val="32"/>
          <w:szCs w:val="32"/>
          <w:lang w:val="en-US" w:eastAsia="zh-CN"/>
        </w:rPr>
        <w:t>14</w:t>
      </w:r>
      <w:r>
        <w:rPr>
          <w:rFonts w:hint="eastAsia" w:ascii="仿宋_GB2312" w:hAnsi="仿宋_GB2312" w:eastAsia="仿宋_GB2312" w:cs="仿宋_GB2312"/>
          <w:kern w:val="0"/>
          <w:sz w:val="32"/>
          <w:szCs w:val="32"/>
        </w:rPr>
        <w:t>个，其中评价等级为“优”项目</w:t>
      </w: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个，评优率为</w:t>
      </w:r>
      <w:r>
        <w:rPr>
          <w:rFonts w:hint="eastAsia" w:ascii="仿宋_GB2312" w:hAnsi="仿宋_GB2312" w:eastAsia="仿宋_GB2312" w:cs="仿宋_GB2312"/>
          <w:kern w:val="0"/>
          <w:sz w:val="32"/>
          <w:szCs w:val="32"/>
          <w:lang w:val="en-US" w:eastAsia="zh-CN"/>
        </w:rPr>
        <w:t>64.3</w:t>
      </w:r>
      <w:r>
        <w:rPr>
          <w:rFonts w:hint="eastAsia" w:ascii="仿宋_GB2312" w:hAnsi="仿宋_GB2312" w:eastAsia="仿宋_GB2312" w:cs="仿宋_GB2312"/>
          <w:kern w:val="0"/>
          <w:sz w:val="32"/>
          <w:szCs w:val="32"/>
        </w:rPr>
        <w:t>%。详见下表</w:t>
      </w:r>
      <w:r>
        <w:rPr>
          <w:rFonts w:hint="eastAsia" w:ascii="仿宋_GB2312" w:hAnsi="仿宋_GB2312" w:eastAsia="仿宋_GB2312" w:cs="仿宋_GB2312"/>
          <w:kern w:val="0"/>
          <w:sz w:val="32"/>
          <w:szCs w:val="32"/>
          <w:lang w:eastAsia="zh-CN"/>
        </w:rPr>
        <w:t>。</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pPr>
    </w:p>
    <w:p>
      <w:pPr>
        <w:keepNext w:val="0"/>
        <w:keepLines w:val="0"/>
        <w:widowControl/>
        <w:suppressLineNumbers w:val="0"/>
        <w:jc w:val="center"/>
        <w:textAlignment w:val="center"/>
        <w:rPr>
          <w:rFonts w:hint="eastAsia" w:ascii="宋体" w:hAnsi="宋体" w:eastAsia="宋体" w:cs="宋体"/>
          <w:i w:val="0"/>
          <w:iCs w:val="0"/>
          <w:color w:val="000000"/>
          <w:kern w:val="0"/>
          <w:sz w:val="44"/>
          <w:szCs w:val="44"/>
          <w:u w:val="none"/>
          <w:bdr w:val="none" w:color="auto" w:sz="0" w:space="0"/>
          <w:lang w:val="en-US" w:eastAsia="zh-CN" w:bidi="ar"/>
        </w:rPr>
        <w:sectPr>
          <w:footerReference r:id="rId3" w:type="default"/>
          <w:pgSz w:w="11906" w:h="16838"/>
          <w:pgMar w:top="1440" w:right="1474" w:bottom="1440" w:left="1587" w:header="851" w:footer="992" w:gutter="0"/>
          <w:pgNumType w:fmt="numberInDash"/>
          <w:cols w:space="0" w:num="1"/>
          <w:rtlGutter w:val="0"/>
          <w:docGrid w:type="lines" w:linePitch="312" w:charSpace="0"/>
        </w:sectPr>
      </w:pPr>
    </w:p>
    <w:tbl>
      <w:tblPr>
        <w:tblW w:w="147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794"/>
        <w:gridCol w:w="3945"/>
        <w:gridCol w:w="1260"/>
        <w:gridCol w:w="1350"/>
        <w:gridCol w:w="1196"/>
        <w:gridCol w:w="919"/>
        <w:gridCol w:w="675"/>
        <w:gridCol w:w="46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85" w:hRule="atLeast"/>
          <w:jc w:val="center"/>
        </w:trPr>
        <w:tc>
          <w:tcPr>
            <w:tcW w:w="14744" w:type="dxa"/>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bdr w:val="none" w:color="auto" w:sz="0" w:space="0"/>
                <w:lang w:val="en-US" w:eastAsia="zh-CN" w:bidi="ar"/>
              </w:rPr>
              <w:t>部门绩效自评结果公开汇总表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5" w:hRule="atLeast"/>
          <w:jc w:val="center"/>
        </w:trPr>
        <w:tc>
          <w:tcPr>
            <w:tcW w:w="5999" w:type="dxa"/>
            <w:gridSpan w:val="3"/>
            <w:tcBorders>
              <w:top w:val="nil"/>
              <w:left w:val="nil"/>
              <w:bottom w:val="single" w:color="000000" w:sz="4" w:space="0"/>
              <w:right w:val="nil"/>
            </w:tcBorders>
            <w:shd w:val="clear"/>
            <w:noWrap/>
            <w:vAlign w:val="center"/>
          </w:tcPr>
          <w:p>
            <w:pP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bdr w:val="none" w:color="auto" w:sz="0" w:space="0"/>
                <w:lang w:val="en-US" w:eastAsia="zh-CN" w:bidi="ar"/>
              </w:rPr>
              <w:t>主管部门：鹿泉区科工局</w:t>
            </w:r>
          </w:p>
        </w:tc>
        <w:tc>
          <w:tcPr>
            <w:tcW w:w="1350" w:type="dxa"/>
            <w:tcBorders>
              <w:top w:val="nil"/>
              <w:left w:val="nil"/>
              <w:bottom w:val="single" w:color="000000" w:sz="4" w:space="0"/>
              <w:right w:val="nil"/>
            </w:tcBorders>
            <w:shd w:val="clear"/>
            <w:noWrap/>
            <w:vAlign w:val="center"/>
          </w:tcPr>
          <w:p>
            <w:pPr>
              <w:jc w:val="center"/>
              <w:rPr>
                <w:rFonts w:hint="eastAsia" w:ascii="仿宋" w:hAnsi="仿宋" w:eastAsia="仿宋" w:cs="仿宋"/>
                <w:i w:val="0"/>
                <w:iCs w:val="0"/>
                <w:color w:val="000000"/>
                <w:sz w:val="28"/>
                <w:szCs w:val="28"/>
                <w:u w:val="none"/>
              </w:rPr>
            </w:pPr>
          </w:p>
        </w:tc>
        <w:tc>
          <w:tcPr>
            <w:tcW w:w="1196" w:type="dxa"/>
            <w:tcBorders>
              <w:top w:val="nil"/>
              <w:left w:val="nil"/>
              <w:bottom w:val="single" w:color="000000" w:sz="4" w:space="0"/>
              <w:right w:val="nil"/>
            </w:tcBorders>
            <w:shd w:val="clear"/>
            <w:noWrap/>
            <w:vAlign w:val="center"/>
          </w:tcPr>
          <w:p>
            <w:pPr>
              <w:jc w:val="center"/>
              <w:rPr>
                <w:rFonts w:hint="eastAsia" w:ascii="仿宋" w:hAnsi="仿宋" w:eastAsia="仿宋" w:cs="仿宋"/>
                <w:i w:val="0"/>
                <w:iCs w:val="0"/>
                <w:color w:val="000000"/>
                <w:sz w:val="28"/>
                <w:szCs w:val="28"/>
                <w:u w:val="none"/>
              </w:rPr>
            </w:pPr>
          </w:p>
        </w:tc>
        <w:tc>
          <w:tcPr>
            <w:tcW w:w="6199" w:type="dxa"/>
            <w:gridSpan w:val="3"/>
            <w:tcBorders>
              <w:top w:val="nil"/>
              <w:left w:val="nil"/>
              <w:bottom w:val="single" w:color="000000" w:sz="4" w:space="0"/>
              <w:right w:val="nil"/>
            </w:tcBorders>
            <w:shd w:val="clear"/>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794"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序号</w:t>
            </w:r>
          </w:p>
        </w:tc>
        <w:tc>
          <w:tcPr>
            <w:tcW w:w="394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项目名称</w:t>
            </w:r>
          </w:p>
        </w:tc>
        <w:tc>
          <w:tcPr>
            <w:tcW w:w="126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项目实施单位</w:t>
            </w:r>
          </w:p>
        </w:tc>
        <w:tc>
          <w:tcPr>
            <w:tcW w:w="1350"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预算数</w:t>
            </w:r>
            <w:r>
              <w:rPr>
                <w:rFonts w:hint="eastAsia" w:ascii="仿宋" w:hAnsi="仿宋" w:eastAsia="仿宋" w:cs="仿宋"/>
                <w:i w:val="0"/>
                <w:iCs w:val="0"/>
                <w:color w:val="000000"/>
                <w:kern w:val="0"/>
                <w:sz w:val="24"/>
                <w:szCs w:val="24"/>
                <w:u w:val="none"/>
                <w:bdr w:val="none" w:color="auto" w:sz="0" w:space="0"/>
                <w:lang w:val="en-US" w:eastAsia="zh-CN" w:bidi="ar"/>
              </w:rPr>
              <w:br w:type="textWrapping"/>
            </w:r>
            <w:r>
              <w:rPr>
                <w:rFonts w:hint="eastAsia" w:ascii="仿宋" w:hAnsi="仿宋" w:eastAsia="仿宋" w:cs="仿宋"/>
                <w:i w:val="0"/>
                <w:iCs w:val="0"/>
                <w:color w:val="000000"/>
                <w:kern w:val="0"/>
                <w:sz w:val="24"/>
                <w:szCs w:val="24"/>
                <w:u w:val="none"/>
                <w:bdr w:val="none" w:color="auto" w:sz="0" w:space="0"/>
                <w:lang w:val="en-US" w:eastAsia="zh-CN" w:bidi="ar"/>
              </w:rPr>
              <w:t>（调整后）</w:t>
            </w:r>
          </w:p>
        </w:tc>
        <w:tc>
          <w:tcPr>
            <w:tcW w:w="1196"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执行数</w:t>
            </w:r>
            <w:r>
              <w:rPr>
                <w:rFonts w:hint="eastAsia" w:ascii="仿宋" w:hAnsi="仿宋" w:eastAsia="仿宋" w:cs="仿宋"/>
                <w:i w:val="0"/>
                <w:iCs w:val="0"/>
                <w:color w:val="000000"/>
                <w:kern w:val="0"/>
                <w:sz w:val="24"/>
                <w:szCs w:val="24"/>
                <w:u w:val="none"/>
                <w:bdr w:val="none" w:color="auto" w:sz="0" w:space="0"/>
                <w:lang w:val="en-US" w:eastAsia="zh-CN" w:bidi="ar"/>
              </w:rPr>
              <w:br w:type="textWrapping"/>
            </w:r>
            <w:r>
              <w:rPr>
                <w:rFonts w:hint="eastAsia" w:ascii="仿宋" w:hAnsi="仿宋" w:eastAsia="仿宋" w:cs="仿宋"/>
                <w:i w:val="0"/>
                <w:iCs w:val="0"/>
                <w:color w:val="000000"/>
                <w:kern w:val="0"/>
                <w:sz w:val="24"/>
                <w:szCs w:val="24"/>
                <w:u w:val="none"/>
                <w:bdr w:val="none" w:color="auto" w:sz="0" w:space="0"/>
                <w:lang w:val="en-US" w:eastAsia="zh-CN" w:bidi="ar"/>
              </w:rPr>
              <w:t>（至2022年底）</w:t>
            </w:r>
          </w:p>
        </w:tc>
        <w:tc>
          <w:tcPr>
            <w:tcW w:w="919"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结余交回财政数</w:t>
            </w:r>
          </w:p>
        </w:tc>
        <w:tc>
          <w:tcPr>
            <w:tcW w:w="67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自评得分</w:t>
            </w:r>
          </w:p>
        </w:tc>
        <w:tc>
          <w:tcPr>
            <w:tcW w:w="4605"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自评结果应用意见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创新创业奖励资金</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1443</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1408</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35</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无问题，继续对符合政策项目予以支持。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创新中心运营经费</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156</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150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6</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无问题，引进多样化宣传形式，扩大影响力。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3</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电子信息成果转换对接会</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项目未执行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4</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创新创业大赛资金</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项目未执行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5</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退役人员工资及相关经费</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88.05</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69.43</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18.62</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98</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无问题，继续做好退役人员帮扶工作。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6</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科普经费</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项目未执行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7</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防疫物资应急保障</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2580.24</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2259.24</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321</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98</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8</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用江水重点企业用水补贴</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2761.4</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2761.4</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9</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鹿泉区免费wifi二期项目服务费</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40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40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项目未执行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西安电子科技大学河北研究院</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21.67</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21.67</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项目暂时搁置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11</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普兴电子项目电力专线工程</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52.75</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52.75</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12</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石家庄鹿创科技服务公司资本金</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750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750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13</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森思泰克公司科研经费</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500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500</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0</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79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14</w:t>
            </w:r>
          </w:p>
        </w:tc>
        <w:tc>
          <w:tcPr>
            <w:tcW w:w="394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购置350台空气消毒机</w:t>
            </w:r>
          </w:p>
        </w:tc>
        <w:tc>
          <w:tcPr>
            <w:tcW w:w="126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科工局</w:t>
            </w:r>
          </w:p>
        </w:tc>
        <w:tc>
          <w:tcPr>
            <w:tcW w:w="1350"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150</w:t>
            </w:r>
          </w:p>
        </w:tc>
        <w:tc>
          <w:tcPr>
            <w:tcW w:w="1196"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145.25</w:t>
            </w:r>
          </w:p>
        </w:tc>
        <w:tc>
          <w:tcPr>
            <w:tcW w:w="91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4.75</w:t>
            </w:r>
          </w:p>
        </w:tc>
        <w:tc>
          <w:tcPr>
            <w:tcW w:w="67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100</w:t>
            </w:r>
          </w:p>
        </w:tc>
        <w:tc>
          <w:tcPr>
            <w:tcW w:w="460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无问题</w:t>
            </w:r>
          </w:p>
        </w:tc>
      </w:tr>
    </w:tbl>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kern w:val="0"/>
          <w:sz w:val="32"/>
          <w:szCs w:val="32"/>
          <w:lang w:eastAsia="zh-CN"/>
        </w:rPr>
        <w:sectPr>
          <w:pgSz w:w="16838" w:h="11906" w:orient="landscape"/>
          <w:pgMar w:top="1587" w:right="1440" w:bottom="1474" w:left="1440" w:header="851" w:footer="992" w:gutter="0"/>
          <w:paperSrc/>
          <w:pgNumType w:fmt="numberInDash"/>
          <w:cols w:space="0" w:num="1"/>
          <w:rtlGutter w:val="0"/>
          <w:docGrid w:type="lines" w:linePitch="315" w:charSpace="0"/>
        </w:sect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keepNext w:val="0"/>
        <w:keepLines w:val="0"/>
        <w:pageBreakBefore w:val="0"/>
        <w:widowControl w:val="0"/>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sz w:val="32"/>
          <w:szCs w:val="32"/>
        </w:rPr>
      </w:pPr>
      <w:r>
        <w:rPr>
          <w:rFonts w:hint="eastAsia" w:ascii="仿宋_GB2312" w:eastAsia="仿宋_GB2312"/>
          <w:color w:val="000000"/>
          <w:sz w:val="32"/>
          <w:szCs w:val="32"/>
          <w:lang w:eastAsia="zh-CN"/>
        </w:rPr>
        <w:t>总体来看项目投入合理，</w:t>
      </w:r>
      <w:r>
        <w:rPr>
          <w:rFonts w:hint="eastAsia" w:ascii="仿宋_GB2312" w:eastAsia="仿宋_GB2312"/>
          <w:color w:val="000000"/>
          <w:sz w:val="32"/>
          <w:szCs w:val="32"/>
        </w:rPr>
        <w:t>资金</w:t>
      </w:r>
      <w:r>
        <w:rPr>
          <w:rFonts w:hint="eastAsia" w:ascii="仿宋_GB2312" w:eastAsia="仿宋_GB2312"/>
          <w:color w:val="000000"/>
          <w:sz w:val="32"/>
          <w:szCs w:val="32"/>
          <w:lang w:eastAsia="zh-CN"/>
        </w:rPr>
        <w:t>落实</w:t>
      </w:r>
      <w:r>
        <w:rPr>
          <w:rFonts w:hint="eastAsia" w:ascii="仿宋_GB2312" w:eastAsia="仿宋_GB2312"/>
          <w:color w:val="000000"/>
          <w:sz w:val="32"/>
          <w:szCs w:val="32"/>
        </w:rPr>
        <w:t>到位，使用</w:t>
      </w:r>
      <w:r>
        <w:rPr>
          <w:rFonts w:hint="eastAsia" w:ascii="仿宋_GB2312" w:eastAsia="仿宋_GB2312"/>
          <w:color w:val="000000"/>
          <w:sz w:val="32"/>
          <w:szCs w:val="32"/>
          <w:lang w:eastAsia="zh-CN"/>
        </w:rPr>
        <w:t>规范透明，监督及时有效</w:t>
      </w:r>
      <w:r>
        <w:rPr>
          <w:rFonts w:hint="eastAsia" w:ascii="仿宋_GB2312" w:eastAsia="仿宋_GB2312"/>
          <w:color w:val="000000"/>
          <w:sz w:val="32"/>
          <w:szCs w:val="32"/>
        </w:rPr>
        <w:t>。资金拨付程序从申请、审核、审查、审批到最后发放都按照中央、省、市相关财政政策实施，使用符合财务管理规定。</w:t>
      </w:r>
      <w:r>
        <w:rPr>
          <w:rFonts w:hint="eastAsia" w:ascii="仿宋_GB2312" w:eastAsia="仿宋_GB2312"/>
          <w:color w:val="000000"/>
          <w:sz w:val="32"/>
          <w:szCs w:val="32"/>
          <w:lang w:val="en-US" w:eastAsia="zh-CN"/>
        </w:rPr>
        <w:t>2022年部门整体支出综合绩效</w:t>
      </w:r>
      <w:r>
        <w:rPr>
          <w:rFonts w:hint="eastAsia" w:ascii="仿宋_GB2312" w:eastAsia="仿宋_GB2312"/>
          <w:color w:val="000000"/>
          <w:sz w:val="32"/>
          <w:szCs w:val="32"/>
        </w:rPr>
        <w:t>评价总体得分为9</w:t>
      </w:r>
      <w:r>
        <w:rPr>
          <w:rFonts w:hint="eastAsia" w:ascii="仿宋_GB2312" w:eastAsia="仿宋_GB2312"/>
          <w:color w:val="000000"/>
          <w:sz w:val="32"/>
          <w:szCs w:val="32"/>
          <w:lang w:val="en-US" w:eastAsia="zh-CN"/>
        </w:rPr>
        <w:t>4</w:t>
      </w:r>
      <w:r>
        <w:rPr>
          <w:rFonts w:hint="eastAsia" w:ascii="仿宋_GB2312" w:eastAsia="仿宋_GB2312"/>
          <w:color w:val="000000"/>
          <w:sz w:val="32"/>
          <w:szCs w:val="32"/>
        </w:rPr>
        <w:t>分，为优秀等次。</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）部分项目预算执行率偏低。预算编制过于笼统不细化，资金用途不明确，对项目经费缺乏前瞻性和计划性。</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绩效监控质量不达标，填报内容相对简单，对绩效目标偏差问题缺乏有效分析，无法监控绩效目标的实现程度。</w:t>
      </w:r>
    </w:p>
    <w:p>
      <w:pPr>
        <w:keepNext w:val="0"/>
        <w:keepLines w:val="0"/>
        <w:pageBreakBefore w:val="0"/>
        <w:widowControl w:val="0"/>
        <w:kinsoku/>
        <w:wordWrap/>
        <w:overflowPunct/>
        <w:topLinePunct w:val="0"/>
        <w:autoSpaceDE/>
        <w:autoSpaceDN/>
        <w:bidi w:val="0"/>
        <w:spacing w:line="360" w:lineRule="auto"/>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（1）提高预算编制水平，强化财政预算执行刚性，编细编实预算，对预算的事前、事中、事后进行全过程控制，进一步提高财政资金使用效益。</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（2）加强绩效监控，根据监控结果通过中期合理调配资金，增强与各业务股室协调合作，进一步提升项目业务股室整体绩效管理理念，提高项目执行率，提高资金支付效率。</w:t>
      </w:r>
    </w:p>
    <w:p>
      <w:pPr>
        <w:widowControl w:val="0"/>
        <w:wordWrap/>
        <w:adjustRightInd w:val="0"/>
        <w:snapToGrid w:val="0"/>
        <w:spacing w:line="560" w:lineRule="exact"/>
        <w:ind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王  平        局  长</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杨爱民        党组成员、办公室负责人</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刘永民        运行股负责人</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高振涛        科技股负责人</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李彦鹏        发展股负责人 </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李计辉        军民融合股负责人</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解晓静        财务股负责人</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right="0" w:firstLine="640"/>
        <w:textAlignment w:val="auto"/>
        <w:outlineLvl w:val="9"/>
        <w:rPr>
          <w:rFonts w:hint="eastAsia" w:ascii="仿宋" w:hAnsi="仿宋" w:eastAsia="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right="0" w:firstLine="6086" w:firstLineChars="1902"/>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2023年9月25日</w:t>
      </w:r>
    </w:p>
    <w:p>
      <w:pPr>
        <w:widowControl w:val="0"/>
        <w:wordWrap/>
        <w:adjustRightInd w:val="0"/>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p>
    <w:p>
      <w:pPr>
        <w:widowControl w:val="0"/>
        <w:wordWrap/>
        <w:spacing w:line="560" w:lineRule="exact"/>
        <w:ind w:left="0" w:leftChars="0" w:right="0"/>
        <w:textAlignment w:val="auto"/>
        <w:outlineLvl w:val="9"/>
        <w:rPr>
          <w:rFonts w:ascii="仿宋" w:hAnsi="仿宋" w:eastAsia="仿宋"/>
        </w:rPr>
      </w:pPr>
    </w:p>
    <w:sectPr>
      <w:pgSz w:w="11906" w:h="16838"/>
      <w:pgMar w:top="1440" w:right="1474" w:bottom="1440" w:left="1587" w:header="851" w:footer="992" w:gutter="0"/>
      <w:paperSrc/>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黑体_GBK">
    <w:altName w:val="宋体"/>
    <w:panose1 w:val="00000000000000000000"/>
    <w:charset w:val="86"/>
    <w:family w:val="roman"/>
    <w:pitch w:val="default"/>
    <w:sig w:usb0="00000000" w:usb1="00000000" w:usb2="00000000" w:usb3="00000000" w:csb0="00000000" w:csb1="00000000"/>
  </w:font>
  <w:font w:name="Cambria">
    <w:panose1 w:val="02040503050406030204"/>
    <w:charset w:val="00"/>
    <w:family w:val="auto"/>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NiZjI1NjkyMGQ0ODg0M2RiNDA2NmNmYzQyMzAyYzcifQ=="/>
  </w:docVars>
  <w:rsids>
    <w:rsidRoot w:val="0EBD2122"/>
    <w:rsid w:val="00005402"/>
    <w:rsid w:val="007E6C1F"/>
    <w:rsid w:val="00AF566A"/>
    <w:rsid w:val="00B6553A"/>
    <w:rsid w:val="01A87AFF"/>
    <w:rsid w:val="01B104CA"/>
    <w:rsid w:val="02106AB0"/>
    <w:rsid w:val="02B43A28"/>
    <w:rsid w:val="046F331E"/>
    <w:rsid w:val="07956271"/>
    <w:rsid w:val="09721397"/>
    <w:rsid w:val="0BB63BED"/>
    <w:rsid w:val="0EB97A43"/>
    <w:rsid w:val="0EBD2122"/>
    <w:rsid w:val="0F214EAE"/>
    <w:rsid w:val="0F543200"/>
    <w:rsid w:val="0FD35650"/>
    <w:rsid w:val="10BF49D8"/>
    <w:rsid w:val="11B71E6A"/>
    <w:rsid w:val="15631296"/>
    <w:rsid w:val="1AAF0063"/>
    <w:rsid w:val="1BE140DE"/>
    <w:rsid w:val="1E6D1634"/>
    <w:rsid w:val="248C197D"/>
    <w:rsid w:val="252959AF"/>
    <w:rsid w:val="26154EB4"/>
    <w:rsid w:val="277A6671"/>
    <w:rsid w:val="27F65B44"/>
    <w:rsid w:val="292D35B7"/>
    <w:rsid w:val="29E65604"/>
    <w:rsid w:val="2A594280"/>
    <w:rsid w:val="2B6C746E"/>
    <w:rsid w:val="2C335742"/>
    <w:rsid w:val="31901DBB"/>
    <w:rsid w:val="325F5E35"/>
    <w:rsid w:val="32E8633B"/>
    <w:rsid w:val="33EB6CFF"/>
    <w:rsid w:val="35A12947"/>
    <w:rsid w:val="37387040"/>
    <w:rsid w:val="3781684D"/>
    <w:rsid w:val="3B625C0A"/>
    <w:rsid w:val="3CEE1963"/>
    <w:rsid w:val="3D0243C1"/>
    <w:rsid w:val="3EF76BEA"/>
    <w:rsid w:val="3F022566"/>
    <w:rsid w:val="414158EF"/>
    <w:rsid w:val="4801165F"/>
    <w:rsid w:val="4C9C27FE"/>
    <w:rsid w:val="509B22D6"/>
    <w:rsid w:val="50E61077"/>
    <w:rsid w:val="512260B4"/>
    <w:rsid w:val="52BD6ACB"/>
    <w:rsid w:val="55537534"/>
    <w:rsid w:val="561A74F1"/>
    <w:rsid w:val="56423727"/>
    <w:rsid w:val="597244E8"/>
    <w:rsid w:val="5A7B332F"/>
    <w:rsid w:val="5EB71C30"/>
    <w:rsid w:val="5EC24ED2"/>
    <w:rsid w:val="5FF84DFD"/>
    <w:rsid w:val="608F6033"/>
    <w:rsid w:val="667367CC"/>
    <w:rsid w:val="66AF0CE5"/>
    <w:rsid w:val="69236EB5"/>
    <w:rsid w:val="6A8120E5"/>
    <w:rsid w:val="6AC537CF"/>
    <w:rsid w:val="6C8E6F5F"/>
    <w:rsid w:val="6D351B47"/>
    <w:rsid w:val="6E5B14A6"/>
    <w:rsid w:val="711B255E"/>
    <w:rsid w:val="7317199D"/>
    <w:rsid w:val="733B4203"/>
    <w:rsid w:val="73A8281C"/>
    <w:rsid w:val="7B2013F5"/>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0"/>
    <w:pPr>
      <w:spacing w:line="500" w:lineRule="exact"/>
      <w:ind w:firstLine="560"/>
    </w:pPr>
    <w:rPr>
      <w:rFonts w:eastAsia="方正仿宋_GBK"/>
      <w:sz w:val="28"/>
    </w:rPr>
  </w:style>
  <w:style w:type="paragraph" w:customStyle="1" w:styleId="7">
    <w:name w:val="单元格样式1"/>
    <w:basedOn w:val="1"/>
    <w:qFormat/>
    <w:uiPriority w:val="99"/>
    <w:pPr>
      <w:jc w:val="center"/>
    </w:pPr>
    <w:rPr>
      <w:rFonts w:ascii="方正书宋_GBK" w:hAnsi="方正书宋_GBK" w:eastAsia="方正书宋_GBK" w:cs="方正书宋_GBK"/>
      <w:b/>
      <w:sz w:val="21"/>
    </w:rPr>
  </w:style>
  <w:style w:type="paragraph" w:customStyle="1" w:styleId="8">
    <w:name w:val="单元格样式2"/>
    <w:basedOn w:val="1"/>
    <w:uiPriority w:val="99"/>
    <w:rPr>
      <w:rFonts w:ascii="方正书宋_GBK" w:hAnsi="方正书宋_GBK" w:eastAsia="方正书宋_GBK" w:cs="方正书宋_GBK"/>
      <w:sz w:val="21"/>
    </w:rPr>
  </w:style>
  <w:style w:type="paragraph" w:customStyle="1" w:styleId="9">
    <w:name w:val="单元格样式3"/>
    <w:basedOn w:val="1"/>
    <w:uiPriority w:val="99"/>
    <w:pPr>
      <w:jc w:val="center"/>
    </w:pPr>
    <w:rPr>
      <w:rFonts w:ascii="方正书宋_GBK" w:hAnsi="方正书宋_GBK" w:eastAsia="方正书宋_GBK" w:cs="方正书宋_GBK"/>
      <w:sz w:val="21"/>
    </w:rPr>
  </w:style>
  <w:style w:type="paragraph" w:customStyle="1" w:styleId="10">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11">
    <w:name w:val="插入文本样式-插入总体目标文件"/>
    <w:basedOn w:val="1"/>
    <w:qFormat/>
    <w:uiPriority w:val="0"/>
    <w:pPr>
      <w:spacing w:line="500" w:lineRule="exact"/>
      <w:ind w:firstLine="560"/>
    </w:pPr>
    <w:rPr>
      <w:rFonts w:eastAsia="方正仿宋_GBK"/>
      <w:sz w:val="28"/>
    </w:rPr>
  </w:style>
  <w:style w:type="paragraph" w:customStyle="1" w:styleId="12">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5</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水舞娃娃</cp:lastModifiedBy>
  <cp:lastPrinted>2022-01-19T07:24:00Z</cp:lastPrinted>
  <dcterms:modified xsi:type="dcterms:W3CDTF">2023-10-17T06:56:09Z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5328839E059C4CB6BA903E1E5DB47334_12</vt:lpwstr>
  </property>
</Properties>
</file>