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石家庄市鹿泉区人民政府办公室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贯彻落实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2019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﹞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8号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石家庄市鹿泉区人民政府办公室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2022年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整体支出情况</w:t>
      </w:r>
      <w:r>
        <w:rPr>
          <w:rFonts w:hint="eastAsia" w:ascii="仿宋" w:hAnsi="仿宋" w:eastAsia="仿宋" w:cs="仿宋"/>
          <w:sz w:val="28"/>
          <w:szCs w:val="28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一、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部门</w:t>
      </w:r>
      <w:r>
        <w:rPr>
          <w:rFonts w:hint="eastAsia" w:ascii="仿宋" w:hAnsi="仿宋" w:eastAsia="仿宋" w:cs="仿宋"/>
          <w:sz w:val="28"/>
          <w:szCs w:val="28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（一）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概况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我部门主要</w:t>
      </w:r>
      <w:r>
        <w:rPr>
          <w:rFonts w:hint="eastAsia" w:ascii="仿宋" w:hAnsi="仿宋" w:eastAsia="仿宋" w:cs="仿宋"/>
          <w:sz w:val="28"/>
          <w:szCs w:val="28"/>
        </w:rPr>
        <w:t>负责区政府决议、决定的起草与审核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重大事项向市委、市政府请示报告及反馈等工作。区政府年度工作计划、工作总结、工作汇报、会议纪要等各种文件、领导讲话材料的起草、审核和印发工作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以区政府名义印发的各类公文文稿的审核与印发工作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区政府领导各类重要活动、会议通知的组织安排工作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督导检查区政府各项决议、决定和区领导批示具体事项的执行情况，并及时向区政府和办公室领导报告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各类文件的登记、收发、传阅及各部门往来行文的呈批、转办、催办和管理工作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组织受理人大代表议案、建议、批评和意见及政协委员提案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区政府及办公室印章的保管与使用工作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区政府办公室全天24小时值班工作。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本部门下设正科级单位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鹿泉区人民政府办公室本级，副科级单位鹿泉区电子政务信息中心，股级单位鹿泉区信息保障中心。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截</w:t>
      </w:r>
      <w:r>
        <w:rPr>
          <w:rFonts w:hint="eastAsia" w:ascii="仿宋" w:hAnsi="仿宋" w:eastAsia="仿宋" w:cs="仿宋"/>
          <w:sz w:val="28"/>
          <w:szCs w:val="28"/>
          <w:lang w:eastAsia="zh"/>
        </w:rPr>
        <w:t>至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2022年12月31日，我单位实有人数44人，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本年末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资产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  <w:lang w:eastAsia="zh-CN"/>
        </w:rPr>
        <w:t>总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额为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  <w:lang w:val="en-US" w:eastAsia="zh-CN"/>
        </w:rPr>
        <w:t>1187.23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万元。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部门收支预决算情况</w:t>
      </w:r>
    </w:p>
    <w:p>
      <w:pPr>
        <w:spacing w:line="500" w:lineRule="exact"/>
        <w:ind w:firstLine="562" w:firstLineChars="20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本部门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2022年度预算收支情况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1、收入说明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反映本部门当年全部收入。2022年预算收入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1403.97</w:t>
      </w:r>
      <w:r>
        <w:rPr>
          <w:rFonts w:hint="eastAsia" w:ascii="仿宋" w:hAnsi="仿宋" w:eastAsia="仿宋" w:cs="仿宋"/>
          <w:sz w:val="28"/>
          <w:szCs w:val="28"/>
        </w:rPr>
        <w:t>万元，其中：一般公共预算收入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1403.97</w:t>
      </w:r>
      <w:r>
        <w:rPr>
          <w:rFonts w:hint="eastAsia" w:ascii="仿宋" w:hAnsi="仿宋" w:eastAsia="仿宋" w:cs="仿宋"/>
          <w:sz w:val="28"/>
          <w:szCs w:val="28"/>
        </w:rPr>
        <w:t>万元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50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2、支出说明</w:t>
      </w:r>
    </w:p>
    <w:p>
      <w:pPr>
        <w:spacing w:line="500" w:lineRule="exact"/>
        <w:ind w:firstLine="64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2022年支出预算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1403.97</w:t>
      </w:r>
      <w:r>
        <w:rPr>
          <w:rFonts w:hint="eastAsia" w:ascii="仿宋" w:hAnsi="仿宋" w:eastAsia="仿宋" w:cs="仿宋"/>
          <w:sz w:val="28"/>
          <w:szCs w:val="28"/>
        </w:rPr>
        <w:t>万元，其中基本支出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953.47</w:t>
      </w:r>
      <w:r>
        <w:rPr>
          <w:rFonts w:hint="eastAsia" w:ascii="仿宋" w:hAnsi="仿宋" w:eastAsia="仿宋" w:cs="仿宋"/>
          <w:sz w:val="28"/>
          <w:szCs w:val="28"/>
        </w:rPr>
        <w:t>万元，包括人员经费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782.09</w:t>
      </w:r>
      <w:r>
        <w:rPr>
          <w:rFonts w:hint="eastAsia" w:ascii="仿宋" w:hAnsi="仿宋" w:eastAsia="仿宋" w:cs="仿宋"/>
          <w:sz w:val="28"/>
          <w:szCs w:val="28"/>
        </w:rPr>
        <w:t>万元和日常公用经费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171.38</w:t>
      </w:r>
      <w:r>
        <w:rPr>
          <w:rFonts w:hint="eastAsia" w:ascii="仿宋" w:hAnsi="仿宋" w:eastAsia="仿宋" w:cs="仿宋"/>
          <w:sz w:val="28"/>
          <w:szCs w:val="28"/>
        </w:rPr>
        <w:t>万元；项目支出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450.5</w:t>
      </w:r>
      <w:r>
        <w:rPr>
          <w:rFonts w:hint="eastAsia" w:ascii="仿宋" w:hAnsi="仿宋" w:eastAsia="仿宋" w:cs="仿宋"/>
          <w:sz w:val="28"/>
          <w:szCs w:val="28"/>
        </w:rPr>
        <w:t>万元，主要为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电子政务外网服务费、市民服务热线经费、信息化运行服务费等。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本部门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2022年度决算收支情况</w:t>
      </w:r>
    </w:p>
    <w:p>
      <w:pPr>
        <w:adjustRightInd w:val="0"/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sz w:val="28"/>
          <w:szCs w:val="28"/>
        </w:rPr>
        <w:t>收入决算情况说明</w:t>
      </w:r>
    </w:p>
    <w:p>
      <w:pPr>
        <w:autoSpaceDE w:val="0"/>
        <w:autoSpaceDN w:val="0"/>
        <w:adjustRightInd w:val="0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本部门2022年度收入合计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1476.27</w:t>
      </w:r>
      <w:r>
        <w:rPr>
          <w:rFonts w:hint="eastAsia" w:ascii="仿宋" w:hAnsi="仿宋" w:eastAsia="仿宋" w:cs="仿宋"/>
          <w:sz w:val="28"/>
          <w:szCs w:val="28"/>
        </w:rPr>
        <w:t>万元，其中：财政拨款收入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1476.27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</w:t>
      </w:r>
      <w:r>
        <w:rPr>
          <w:rFonts w:hint="eastAsia" w:ascii="仿宋" w:hAnsi="仿宋" w:eastAsia="仿宋" w:cs="仿宋"/>
          <w:sz w:val="28"/>
          <w:szCs w:val="28"/>
        </w:rPr>
        <w:t>%。</w:t>
      </w:r>
    </w:p>
    <w:p>
      <w:pPr>
        <w:adjustRightInd w:val="0"/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sz w:val="28"/>
          <w:szCs w:val="28"/>
        </w:rPr>
        <w:t>支出决算情况说明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56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本部门2022年度支出合计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1476.27</w:t>
      </w:r>
      <w:r>
        <w:rPr>
          <w:rFonts w:hint="eastAsia" w:ascii="仿宋" w:hAnsi="仿宋" w:eastAsia="仿宋" w:cs="仿宋"/>
          <w:sz w:val="28"/>
          <w:szCs w:val="28"/>
        </w:rPr>
        <w:t>万元，其中：基本支出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1141.61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77.33</w:t>
      </w:r>
      <w:r>
        <w:rPr>
          <w:rFonts w:hint="eastAsia" w:ascii="仿宋" w:hAnsi="仿宋" w:eastAsia="仿宋" w:cs="仿宋"/>
          <w:sz w:val="28"/>
          <w:szCs w:val="28"/>
        </w:rPr>
        <w:t>%；项目支出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334.65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22.67%。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（三）部门整体支出绩效目标、指标</w:t>
      </w:r>
    </w:p>
    <w:p>
      <w:pPr>
        <w:numPr>
          <w:ilvl w:val="0"/>
          <w:numId w:val="0"/>
        </w:numPr>
        <w:spacing w:line="578" w:lineRule="exact"/>
        <w:ind w:firstLine="560" w:firstLineChars="200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以习近平新时代中国特色社会主义思想为指导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，做好政府重大活动组织、会务安排工作，做好应急处置及应急值守工作，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做好政府门户网站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和内网办公系统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维护和建设工作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公开电话实行24小时办公，提高了我区公开电话办理质量,提升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群众满意度。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二、自评工作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开展</w:t>
      </w:r>
      <w:r>
        <w:rPr>
          <w:rFonts w:hint="eastAsia" w:ascii="仿宋" w:hAnsi="仿宋" w:eastAsia="仿宋" w:cs="仿宋"/>
          <w:sz w:val="28"/>
          <w:szCs w:val="28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（一）自评的组织工作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本次绩效评价自评价工作分为三个阶段：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第一阶段：根据成立评价工作小组，制定项目绩效评价具体实施方案。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第二阶段：按照区财政局要求，进行自查。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第三阶段：由评价工作小组对项目总结评价结论，最终形成自评价报告，报区财政局。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自评的方法和过程</w:t>
      </w:r>
    </w:p>
    <w:p>
      <w:pPr>
        <w:spacing w:line="560" w:lineRule="exact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自评价采取数据收集汇总、指标分析、询问查证等方法，形成了自评价报告。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评价小组对项目进行了实地调查，了解项目实施单位项目管理和项目资金使用的情况，听取他们对项目支出绩效评价的意见和建议，收集项目相关资料。</w:t>
      </w:r>
    </w:p>
    <w:p>
      <w:pPr>
        <w:spacing w:line="560" w:lineRule="exact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利用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数量指标、社会效益指标、可持续影响指标。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，对绩效评价指标逐项分解落实，并对照各项指标进行分析研究，制定项目支出绩效评价个性指标并进行评分。</w:t>
      </w:r>
    </w:p>
    <w:p>
      <w:pPr>
        <w:widowControl w:val="0"/>
        <w:wordWrap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三、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部门整体支出</w:t>
      </w:r>
      <w:r>
        <w:rPr>
          <w:rFonts w:hint="eastAsia" w:ascii="仿宋" w:hAnsi="仿宋" w:eastAsia="仿宋" w:cs="仿宋"/>
          <w:sz w:val="28"/>
          <w:szCs w:val="28"/>
        </w:rPr>
        <w:t>绩效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总体绩效目标实现情况</w:t>
      </w:r>
    </w:p>
    <w:p>
      <w:pPr>
        <w:numPr>
          <w:ilvl w:val="0"/>
          <w:numId w:val="0"/>
        </w:numPr>
        <w:spacing w:line="578" w:lineRule="exact"/>
        <w:ind w:firstLine="560" w:firstLineChars="200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以习近平新时代中国特色社会主义思想为指导，全面落实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群众来访工作，完成了政府重大活动组织、会务安排工作，应急处置及应急值守工作，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政府门户网站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和内网办公系统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维护和建设工作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公开电话实行24小时办公，进一步提高了我区公开电话办理质量,提升了群众满意度。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 xml:space="preserve">    （二）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分项绩效目标实现情况及指标分析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（1）专项公用经费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绩效目标：1、对外招商考察2、通过政务公开及政务督查力求上级政策落到实处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绩效指标：对外招商考察 3 次，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通过外出考察，推广我区优质形象，吸引更多客商来我区投资，吸取外区先进经验，助力我区发展建设。</w:t>
      </w:r>
      <w:r>
        <w:rPr>
          <w:rFonts w:hint="eastAsia" w:ascii="仿宋" w:hAnsi="仿宋" w:eastAsia="仿宋" w:cs="仿宋"/>
          <w:sz w:val="28"/>
          <w:szCs w:val="28"/>
        </w:rPr>
        <w:t>通过政务公开及政务督查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使</w:t>
      </w:r>
      <w:r>
        <w:rPr>
          <w:rFonts w:hint="eastAsia" w:ascii="仿宋" w:hAnsi="仿宋" w:eastAsia="仿宋" w:cs="仿宋"/>
          <w:sz w:val="28"/>
          <w:szCs w:val="28"/>
        </w:rPr>
        <w:t>上级政策落到实处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numPr>
          <w:ilvl w:val="0"/>
          <w:numId w:val="4"/>
        </w:num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市民服务热线经费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绩效目标：公开电话实行24小时办公，进一步提高我区公开电话办理质量,提升群众满意度,解决群众的烦心事、揪心事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绩效指标：公开电话实行24小时办公，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群众来电办理及时，办结率达到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100%，受理电话落实率85%，切实</w:t>
      </w:r>
      <w:r>
        <w:rPr>
          <w:rFonts w:hint="eastAsia" w:ascii="仿宋" w:hAnsi="仿宋" w:eastAsia="仿宋" w:cs="仿宋"/>
          <w:sz w:val="28"/>
          <w:szCs w:val="28"/>
        </w:rPr>
        <w:t>解决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sz w:val="28"/>
          <w:szCs w:val="28"/>
        </w:rPr>
        <w:t>群众的烦心事、揪心事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，群众满意度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85%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电子政务外网服务费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绩效目标：通过设备服务、软件服务、信息系统集成、运行维护服务、技术服务，达到鹿泉区电子政务外网安全高效运行。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绩效指标：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硬件维护数量完成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40个，系统故障率&lt;10%，系统故障修复及时性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达到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100%，资金成本83万，系统正常使用年限3年，服务对象满意度达到95%。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信息化运行维护费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绩效目标：1.保障全区各部门、乡镇正常发布网站信息。2.及时收发通知、公文。3.2套系统正常维护。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绩效指标：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软件维护数量完成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2个，系统故障率&lt;10%，业务处理及时性100%，线路租用成本28万，软件正常使用年限大于1年，服务对象满意度达到99%。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四、评价结论和评价等级</w:t>
      </w:r>
    </w:p>
    <w:tbl>
      <w:tblPr>
        <w:tblStyle w:val="5"/>
        <w:tblW w:w="88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"/>
        <w:gridCol w:w="2219"/>
        <w:gridCol w:w="3138"/>
        <w:gridCol w:w="26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90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电子政务外网服务费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市民服务热线经费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信息化运行维护费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99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专项工作经费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96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人防经费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公务接待费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99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国家赔偿金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因公出国费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大气办工作经费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</w:tbl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项目的完成进度和预计效果的实现程度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没有做到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及时跟踪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对预算资金拨付和实际执行情况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没有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实时统计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3、预算绩效编制有待进一步完善。</w:t>
      </w:r>
    </w:p>
    <w:p>
      <w:pPr>
        <w:widowControl w:val="0"/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（二）针对问题提出具体的改进措施或建议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绩效运行监控工作事关预算执行和绩效目标实现，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我部门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统筹各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科室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进一步提高思想认识，提升标准要求，树立大局意识，遵循实事求是原则，及时准确分析项目情况，科学合理开展绩效运行监控工作，确保监控到位、分析到位、目标到位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围绕绩效目标实现程度和预算执行进度两个关键点，全面推进绩效运行监控工作，把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各股室年初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预算项目全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纳入日常监控范围。依托预算管理一体化系统对所有项目支出全面实行实时监控，以绩效目标执行情况为重点，包括资金支出进度、项目实施情况等，收集绩效监控信息。对项目预计产出的完成进度和预计效果的实现程度及时跟踪，对预算资金拨付和实际执行情况实时统计，确保跟踪监控落到实处。同时，选取部分重点项目开展重点监控，形成监控报告，覆盖全面，突出重点，促进单位职能作用有效发挥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六、评价工作组人员名单及签字（姓名、工作单位、职务、职称）</w:t>
      </w:r>
    </w:p>
    <w:tbl>
      <w:tblPr>
        <w:tblStyle w:val="5"/>
        <w:tblW w:w="88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6"/>
        <w:gridCol w:w="3420"/>
        <w:gridCol w:w="2580"/>
        <w:gridCol w:w="17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签名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董锋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政府办党组成员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451"/>
              </w:tabs>
              <w:ind w:firstLine="240" w:firstLineChars="10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张少斌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政府办行政股负责人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桂敏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政府办电子政务负责人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温敬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政府办督查室八级职员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曹岚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政府办行政股八级职员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2PddNagBAABV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6510F0EA"/>
    <w:multiLevelType w:val="singleLevel"/>
    <w:tmpl w:val="6510F0EA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5377B9B"/>
    <w:multiLevelType w:val="singleLevel"/>
    <w:tmpl w:val="65377B9B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266A4"/>
    <w:rsid w:val="00B6553A"/>
    <w:rsid w:val="01184634"/>
    <w:rsid w:val="017152B1"/>
    <w:rsid w:val="01B104CA"/>
    <w:rsid w:val="02106AB0"/>
    <w:rsid w:val="02B43A28"/>
    <w:rsid w:val="038D0691"/>
    <w:rsid w:val="046F331E"/>
    <w:rsid w:val="04A514A3"/>
    <w:rsid w:val="04F743CC"/>
    <w:rsid w:val="07956271"/>
    <w:rsid w:val="09721397"/>
    <w:rsid w:val="0ACA56EF"/>
    <w:rsid w:val="0B4F0E41"/>
    <w:rsid w:val="0B896587"/>
    <w:rsid w:val="0BB63BED"/>
    <w:rsid w:val="0CAA53A1"/>
    <w:rsid w:val="0CC24FB0"/>
    <w:rsid w:val="0EB97A43"/>
    <w:rsid w:val="0EBD2122"/>
    <w:rsid w:val="0F214EAE"/>
    <w:rsid w:val="0F3A6188"/>
    <w:rsid w:val="10070372"/>
    <w:rsid w:val="104F79CE"/>
    <w:rsid w:val="11A679AF"/>
    <w:rsid w:val="11B71E6A"/>
    <w:rsid w:val="12A721E1"/>
    <w:rsid w:val="14031606"/>
    <w:rsid w:val="14D429C3"/>
    <w:rsid w:val="14FF58EF"/>
    <w:rsid w:val="15221469"/>
    <w:rsid w:val="16F95ABD"/>
    <w:rsid w:val="17FE207C"/>
    <w:rsid w:val="1A4536D0"/>
    <w:rsid w:val="1A5E186A"/>
    <w:rsid w:val="1A804623"/>
    <w:rsid w:val="1AAF0063"/>
    <w:rsid w:val="1BB15F24"/>
    <w:rsid w:val="1BE140DE"/>
    <w:rsid w:val="1D611C94"/>
    <w:rsid w:val="1F3125B6"/>
    <w:rsid w:val="22252C38"/>
    <w:rsid w:val="22F8561F"/>
    <w:rsid w:val="23BA6FC4"/>
    <w:rsid w:val="24521C52"/>
    <w:rsid w:val="248C197D"/>
    <w:rsid w:val="252959AF"/>
    <w:rsid w:val="2570590C"/>
    <w:rsid w:val="25D03CF6"/>
    <w:rsid w:val="277A6671"/>
    <w:rsid w:val="29161224"/>
    <w:rsid w:val="292D35B7"/>
    <w:rsid w:val="2A2C3A83"/>
    <w:rsid w:val="2A594280"/>
    <w:rsid w:val="2CF772A2"/>
    <w:rsid w:val="2D8C3EA4"/>
    <w:rsid w:val="2EC161BA"/>
    <w:rsid w:val="32722353"/>
    <w:rsid w:val="33EB6CFF"/>
    <w:rsid w:val="34DE6D43"/>
    <w:rsid w:val="35A12947"/>
    <w:rsid w:val="36E31019"/>
    <w:rsid w:val="37387040"/>
    <w:rsid w:val="397422C6"/>
    <w:rsid w:val="3ADE16A5"/>
    <w:rsid w:val="3B625C0A"/>
    <w:rsid w:val="3C67191E"/>
    <w:rsid w:val="3CEE1963"/>
    <w:rsid w:val="3E34389A"/>
    <w:rsid w:val="3E7C166B"/>
    <w:rsid w:val="3EF44D6F"/>
    <w:rsid w:val="3FE22E47"/>
    <w:rsid w:val="402208E2"/>
    <w:rsid w:val="40F2659A"/>
    <w:rsid w:val="457D1DC0"/>
    <w:rsid w:val="46C159BE"/>
    <w:rsid w:val="478A5A81"/>
    <w:rsid w:val="4BC126D4"/>
    <w:rsid w:val="4C6F7EA4"/>
    <w:rsid w:val="4C9C27FE"/>
    <w:rsid w:val="4DC11B53"/>
    <w:rsid w:val="4E2C2268"/>
    <w:rsid w:val="50C712F7"/>
    <w:rsid w:val="512260B4"/>
    <w:rsid w:val="52BD6ACB"/>
    <w:rsid w:val="52F85E9E"/>
    <w:rsid w:val="552F4A2F"/>
    <w:rsid w:val="55537534"/>
    <w:rsid w:val="55ED27CD"/>
    <w:rsid w:val="561A74F1"/>
    <w:rsid w:val="57DE2E2D"/>
    <w:rsid w:val="58DC00BF"/>
    <w:rsid w:val="59643248"/>
    <w:rsid w:val="597244E8"/>
    <w:rsid w:val="5A620AC1"/>
    <w:rsid w:val="5E2F614B"/>
    <w:rsid w:val="5E772132"/>
    <w:rsid w:val="5EB71C30"/>
    <w:rsid w:val="60DC7F24"/>
    <w:rsid w:val="629A6A96"/>
    <w:rsid w:val="642226E7"/>
    <w:rsid w:val="655B2723"/>
    <w:rsid w:val="65ED695E"/>
    <w:rsid w:val="66AF0CE5"/>
    <w:rsid w:val="6731184F"/>
    <w:rsid w:val="67984AE1"/>
    <w:rsid w:val="695D1F96"/>
    <w:rsid w:val="6A992DB9"/>
    <w:rsid w:val="6AB27074"/>
    <w:rsid w:val="6AC537CF"/>
    <w:rsid w:val="6D383F29"/>
    <w:rsid w:val="6E5B14A6"/>
    <w:rsid w:val="6ED7658E"/>
    <w:rsid w:val="6F0A4669"/>
    <w:rsid w:val="6F2F4CA3"/>
    <w:rsid w:val="6F4B5E2B"/>
    <w:rsid w:val="6F9E2BE0"/>
    <w:rsid w:val="6FB315F3"/>
    <w:rsid w:val="711B255E"/>
    <w:rsid w:val="726100A8"/>
    <w:rsid w:val="726A067F"/>
    <w:rsid w:val="7317199D"/>
    <w:rsid w:val="7807794B"/>
    <w:rsid w:val="78934300"/>
    <w:rsid w:val="7BB51E06"/>
    <w:rsid w:val="7C387F7C"/>
    <w:rsid w:val="7D3D01D3"/>
    <w:rsid w:val="7DE313AB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0</TotalTime>
  <ScaleCrop>false</ScaleCrop>
  <LinksUpToDate>false</LinksUpToDate>
  <CharactersWithSpaces>0</CharactersWithSpaces>
  <Application>WPS Office_11.8.2.10195_F1E327BC-269C-435d-A152-05C5408002CA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2022-01-19T15:24:00Z</cp:lastPrinted>
  <dcterms:modified xsi:type="dcterms:W3CDTF">2024-01-29T10:30:53Z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2052-11.8.2.10195</vt:lpwstr>
  </property>
  <property fmtid="{D5CDD505-2E9C-101B-9397-08002B2CF9AE}" pid="3" name="ICV">
    <vt:lpwstr>53FF691B91FF46C489F7DF78A959A156</vt:lpwstr>
  </property>
</Properties>
</file>