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石家庄市鹿泉区公用事业管理中心</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部门</w:t>
      </w: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石家庄市鹿泉区人民政府《关于全面实施预算绩效管理的实施意见》（鹿发﹝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w:t>
      </w:r>
      <w:r>
        <w:rPr>
          <w:rFonts w:hint="eastAsia" w:ascii="仿宋" w:hAnsi="仿宋" w:eastAsia="仿宋" w:cs="仿宋"/>
          <w:sz w:val="32"/>
          <w:szCs w:val="32"/>
          <w:lang w:eastAsia="zh-CN"/>
        </w:rPr>
        <w:t>石家庄市鹿泉区公用事业管理中心部门对</w:t>
      </w:r>
      <w:r>
        <w:rPr>
          <w:rFonts w:hint="eastAsia" w:ascii="仿宋" w:hAnsi="仿宋" w:eastAsia="仿宋" w:cs="仿宋"/>
          <w:sz w:val="32"/>
          <w:szCs w:val="32"/>
          <w:lang w:val="en-US" w:eastAsia="zh-CN"/>
        </w:rPr>
        <w:t>2022年</w:t>
      </w:r>
      <w:r>
        <w:rPr>
          <w:rFonts w:hint="eastAsia" w:ascii="仿宋" w:hAnsi="仿宋" w:eastAsia="仿宋" w:cs="仿宋"/>
          <w:sz w:val="32"/>
          <w:szCs w:val="32"/>
          <w:lang w:eastAsia="zh-CN"/>
        </w:rPr>
        <w:t>整体支出情况</w:t>
      </w:r>
      <w:r>
        <w:rPr>
          <w:rFonts w:hint="eastAsia" w:ascii="仿宋" w:hAnsi="仿宋" w:eastAsia="仿宋" w:cs="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部门职责：</w:t>
      </w:r>
    </w:p>
    <w:p>
      <w:pPr>
        <w:spacing w:line="600" w:lineRule="exact"/>
        <w:ind w:firstLine="420" w:firstLineChars="200"/>
        <w:jc w:val="left"/>
        <w:rPr>
          <w:rFonts w:hint="eastAsia" w:ascii="仿宋" w:hAnsi="仿宋" w:eastAsia="仿宋" w:cs="仿宋"/>
          <w:bCs/>
          <w:szCs w:val="32"/>
        </w:rPr>
      </w:pPr>
      <w:r>
        <w:rPr>
          <w:rFonts w:hint="eastAsia" w:ascii="仿宋" w:hAnsi="仿宋" w:eastAsia="仿宋" w:cs="仿宋"/>
          <w:lang w:val="en-US"/>
        </w:rPr>
        <w:t xml:space="preserve">  </w:t>
      </w:r>
      <w:r>
        <w:rPr>
          <w:rFonts w:hint="eastAsia" w:ascii="仿宋" w:hAnsi="仿宋" w:eastAsia="仿宋" w:cs="仿宋"/>
          <w:bCs/>
          <w:sz w:val="32"/>
          <w:szCs w:val="32"/>
          <w:lang w:bidi="ar"/>
        </w:rP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spacing w:line="600" w:lineRule="exact"/>
        <w:ind w:firstLine="640" w:firstLineChars="200"/>
        <w:rPr>
          <w:rFonts w:hint="eastAsia" w:ascii="仿宋" w:hAnsi="仿宋" w:eastAsia="仿宋" w:cs="仿宋"/>
          <w:bCs/>
          <w:szCs w:val="32"/>
        </w:rPr>
      </w:pPr>
      <w:r>
        <w:rPr>
          <w:rFonts w:hint="eastAsia" w:ascii="仿宋" w:hAnsi="仿宋" w:eastAsia="仿宋" w:cs="仿宋"/>
          <w:bCs/>
          <w:sz w:val="32"/>
          <w:szCs w:val="32"/>
          <w:lang w:bidi="ar"/>
        </w:rPr>
        <w:t>2、负责全市城乡公园绿地、风景林地和主要道路绿化的方案设计和建设管理；负责城市绿化“绿线”管理，并监督检查；参与风景名胜区的规划编制、建设工作。</w:t>
      </w:r>
    </w:p>
    <w:p>
      <w:pPr>
        <w:spacing w:line="600" w:lineRule="exact"/>
        <w:ind w:firstLine="640" w:firstLineChars="200"/>
        <w:rPr>
          <w:rFonts w:hint="eastAsia" w:ascii="仿宋" w:hAnsi="仿宋" w:eastAsia="仿宋" w:cs="仿宋"/>
          <w:bCs/>
          <w:szCs w:val="32"/>
        </w:rPr>
      </w:pPr>
      <w:r>
        <w:rPr>
          <w:rFonts w:hint="eastAsia" w:ascii="仿宋" w:hAnsi="仿宋" w:eastAsia="仿宋" w:cs="仿宋"/>
          <w:bCs/>
          <w:sz w:val="32"/>
          <w:szCs w:val="32"/>
          <w:lang w:bidi="ar"/>
        </w:rPr>
        <w:t>3、负责全市城乡新、扩、改建项目配套绿地审查和绿化工程竣工验收；负责全市政府投资城乡园林绿化工程的设计、建设和维护管理并行使法律、法规规定的行政处罚权。</w:t>
      </w:r>
    </w:p>
    <w:p>
      <w:pPr>
        <w:spacing w:line="600" w:lineRule="exact"/>
        <w:ind w:firstLine="640" w:firstLineChars="200"/>
        <w:rPr>
          <w:rFonts w:hint="eastAsia" w:ascii="仿宋" w:hAnsi="仿宋" w:eastAsia="仿宋" w:cs="仿宋"/>
          <w:bCs/>
          <w:szCs w:val="32"/>
        </w:rPr>
      </w:pPr>
      <w:r>
        <w:rPr>
          <w:rFonts w:hint="eastAsia" w:ascii="仿宋" w:hAnsi="仿宋" w:eastAsia="仿宋" w:cs="仿宋"/>
          <w:bCs/>
          <w:sz w:val="32"/>
          <w:szCs w:val="32"/>
          <w:lang w:bidi="ar"/>
        </w:rPr>
        <w:t>4、负责城市规划区内砍伐移植树木、绿地占用、异地绿化的审批工作；参与审查新建各类公园的选址定点、规划设计方案和已建成公园规划调整方案。</w:t>
      </w:r>
    </w:p>
    <w:p>
      <w:pPr>
        <w:spacing w:line="600" w:lineRule="exact"/>
        <w:ind w:firstLine="640" w:firstLineChars="200"/>
        <w:rPr>
          <w:rFonts w:hint="eastAsia" w:ascii="仿宋" w:hAnsi="仿宋" w:eastAsia="仿宋" w:cs="仿宋"/>
          <w:bCs/>
          <w:szCs w:val="32"/>
        </w:rPr>
      </w:pPr>
      <w:r>
        <w:rPr>
          <w:rFonts w:hint="eastAsia" w:ascii="仿宋" w:hAnsi="仿宋" w:eastAsia="仿宋" w:cs="仿宋"/>
          <w:bCs/>
          <w:sz w:val="32"/>
          <w:szCs w:val="32"/>
          <w:lang w:bidi="ar"/>
        </w:rPr>
        <w:t>5、负责全市城乡绿地广场、公园、小游园等管理工作；监督指导全市企事业单位、住宅小区等绿化达标；组织申报“园林式单位”和“园林式小区”。</w:t>
      </w:r>
    </w:p>
    <w:p>
      <w:pPr>
        <w:numPr>
          <w:ilvl w:val="0"/>
          <w:numId w:val="1"/>
        </w:numPr>
        <w:spacing w:line="600" w:lineRule="exact"/>
        <w:rPr>
          <w:rFonts w:hint="eastAsia" w:ascii="仿宋" w:hAnsi="仿宋" w:eastAsia="仿宋" w:cs="仿宋"/>
          <w:bCs/>
          <w:szCs w:val="32"/>
        </w:rPr>
      </w:pPr>
      <w:r>
        <w:rPr>
          <w:rFonts w:hint="eastAsia" w:ascii="仿宋" w:hAnsi="仿宋" w:eastAsia="仿宋" w:cs="仿宋"/>
          <w:bCs/>
          <w:sz w:val="32"/>
          <w:szCs w:val="32"/>
          <w:lang w:bidi="ar"/>
        </w:rPr>
        <w:t>负责园林绿化的普法教育和宣传工作。</w:t>
      </w:r>
    </w:p>
    <w:p>
      <w:pPr>
        <w:spacing w:line="600" w:lineRule="exact"/>
        <w:ind w:firstLine="640" w:firstLineChars="200"/>
        <w:rPr>
          <w:rFonts w:hint="eastAsia" w:ascii="仿宋" w:hAnsi="仿宋" w:eastAsia="仿宋" w:cs="仿宋"/>
          <w:bCs/>
          <w:sz w:val="32"/>
          <w:szCs w:val="32"/>
          <w:lang w:bidi="ar"/>
        </w:rPr>
      </w:pPr>
      <w:r>
        <w:rPr>
          <w:rFonts w:hint="eastAsia" w:ascii="仿宋" w:hAnsi="仿宋" w:eastAsia="仿宋" w:cs="仿宋"/>
          <w:bCs/>
          <w:sz w:val="32"/>
          <w:szCs w:val="32"/>
          <w:lang w:bidi="ar"/>
        </w:rPr>
        <w:t>7、加强城区市政基础设施维护、绿化、亮化、城区防汛及公园管理。</w:t>
      </w:r>
    </w:p>
    <w:p>
      <w:pPr>
        <w:spacing w:line="600" w:lineRule="exact"/>
        <w:ind w:firstLine="640" w:firstLineChars="200"/>
        <w:rPr>
          <w:rFonts w:hint="eastAsia" w:ascii="仿宋" w:hAnsi="仿宋" w:eastAsia="仿宋" w:cs="仿宋"/>
          <w:bCs/>
          <w:szCs w:val="32"/>
        </w:rPr>
      </w:pPr>
      <w:r>
        <w:rPr>
          <w:rFonts w:hint="eastAsia" w:ascii="仿宋" w:hAnsi="仿宋" w:eastAsia="仿宋" w:cs="仿宋"/>
          <w:bCs/>
          <w:sz w:val="32"/>
          <w:szCs w:val="32"/>
          <w:lang w:bidi="ar"/>
        </w:rPr>
        <w:t>8、依法查处破坏市政基础设施行为。</w:t>
      </w:r>
    </w:p>
    <w:p>
      <w:pPr>
        <w:spacing w:line="600" w:lineRule="exact"/>
        <w:ind w:firstLine="640" w:firstLineChars="200"/>
        <w:rPr>
          <w:rFonts w:hint="eastAsia" w:ascii="仿宋" w:hAnsi="仿宋" w:eastAsia="仿宋" w:cs="仿宋"/>
          <w:bCs/>
          <w:szCs w:val="32"/>
        </w:rPr>
      </w:pPr>
      <w:r>
        <w:rPr>
          <w:rFonts w:hint="eastAsia" w:ascii="仿宋" w:hAnsi="仿宋" w:eastAsia="仿宋" w:cs="仿宋"/>
          <w:bCs/>
          <w:sz w:val="32"/>
          <w:szCs w:val="32"/>
          <w:lang w:bidi="ar"/>
        </w:rPr>
        <w:t>9、审批占用、挖掘市政基础设施、绿化设施项目。</w:t>
      </w:r>
    </w:p>
    <w:p>
      <w:pPr>
        <w:spacing w:line="600" w:lineRule="exact"/>
        <w:ind w:firstLine="640" w:firstLineChars="200"/>
        <w:rPr>
          <w:rFonts w:hint="eastAsia" w:ascii="仿宋" w:hAnsi="仿宋" w:eastAsia="仿宋" w:cs="仿宋"/>
          <w:bCs/>
          <w:szCs w:val="32"/>
        </w:rPr>
      </w:pPr>
      <w:r>
        <w:rPr>
          <w:rFonts w:hint="eastAsia" w:ascii="仿宋" w:hAnsi="仿宋" w:eastAsia="仿宋" w:cs="仿宋"/>
          <w:bCs/>
          <w:sz w:val="32"/>
          <w:szCs w:val="32"/>
          <w:lang w:bidi="ar"/>
        </w:rPr>
        <w:t>10、负责城区集中供热管理及液化气供应保障工作。</w:t>
      </w:r>
    </w:p>
    <w:p>
      <w:pPr>
        <w:spacing w:line="600" w:lineRule="exact"/>
        <w:ind w:firstLine="640" w:firstLineChars="200"/>
        <w:rPr>
          <w:rFonts w:ascii="仿宋_GB2312" w:hAnsi="宋体" w:eastAsia="仿宋_GB2312" w:cs="仿宋_GB2312"/>
          <w:bCs/>
          <w:sz w:val="32"/>
          <w:szCs w:val="32"/>
          <w:lang w:bidi="ar"/>
        </w:rPr>
      </w:pPr>
      <w:r>
        <w:rPr>
          <w:rFonts w:hint="eastAsia" w:ascii="仿宋" w:hAnsi="仿宋" w:eastAsia="仿宋" w:cs="仿宋"/>
          <w:bCs/>
          <w:sz w:val="32"/>
          <w:szCs w:val="32"/>
          <w:lang w:bidi="ar"/>
        </w:rPr>
        <w:t>11、承办市委、市政府交办的其他事项。</w:t>
      </w:r>
    </w:p>
    <w:p>
      <w:pPr>
        <w:keepNext/>
        <w:keepLines/>
        <w:spacing w:line="580" w:lineRule="exact"/>
        <w:jc w:val="left"/>
        <w:outlineLvl w:val="0"/>
        <w:rPr>
          <w:rFonts w:ascii="黑体" w:eastAsia="黑体" w:cs="Times New Roman"/>
          <w:kern w:val="0"/>
          <w:sz w:val="32"/>
          <w:szCs w:val="32"/>
        </w:rPr>
      </w:pPr>
      <w:r>
        <w:rPr>
          <w:rFonts w:hint="eastAsia" w:ascii="黑体" w:eastAsia="黑体" w:cs="黑体"/>
          <w:kern w:val="0"/>
          <w:sz w:val="32"/>
          <w:szCs w:val="32"/>
        </w:rPr>
        <w:t>机构设置</w:t>
      </w:r>
    </w:p>
    <w:p>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 xml:space="preserve">从决算编报单位构成看，纳入2022年度本部门决算汇编范围的独立核算单位（以下简称“单位”）共 </w:t>
      </w:r>
      <w:r>
        <w:rPr>
          <w:rFonts w:hint="eastAsia" w:ascii="仿宋" w:hAnsi="仿宋" w:eastAsia="仿宋" w:cs="仿宋"/>
          <w:kern w:val="0"/>
          <w:sz w:val="32"/>
          <w:szCs w:val="32"/>
          <w:lang w:val="en-US"/>
        </w:rPr>
        <w:t>4</w:t>
      </w:r>
      <w:r>
        <w:rPr>
          <w:rFonts w:hint="eastAsia" w:ascii="仿宋" w:hAnsi="仿宋" w:eastAsia="仿宋" w:cs="仿宋"/>
          <w:kern w:val="0"/>
          <w:sz w:val="32"/>
          <w:szCs w:val="32"/>
        </w:rPr>
        <w:t xml:space="preserve"> 个，具体情况如下：</w:t>
      </w:r>
    </w:p>
    <w:tbl>
      <w:tblPr>
        <w:tblStyle w:val="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35"/>
        <w:gridCol w:w="2355"/>
        <w:gridCol w:w="24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hint="eastAsia" w:ascii="仿宋" w:hAnsi="仿宋" w:eastAsia="仿宋" w:cs="仿宋"/>
                <w:b/>
                <w:bCs/>
                <w:kern w:val="0"/>
                <w:sz w:val="28"/>
                <w:szCs w:val="28"/>
              </w:rPr>
            </w:pPr>
            <w:r>
              <w:rPr>
                <w:rFonts w:hint="eastAsia" w:ascii="仿宋" w:hAnsi="仿宋" w:eastAsia="仿宋" w:cs="仿宋"/>
                <w:b/>
                <w:bCs/>
                <w:kern w:val="0"/>
                <w:sz w:val="28"/>
                <w:szCs w:val="28"/>
              </w:rPr>
              <w:t>序号</w:t>
            </w:r>
          </w:p>
        </w:tc>
        <w:tc>
          <w:tcPr>
            <w:tcW w:w="3835" w:type="dxa"/>
            <w:vAlign w:val="center"/>
          </w:tcPr>
          <w:p>
            <w:pPr>
              <w:spacing w:line="560" w:lineRule="exact"/>
              <w:jc w:val="center"/>
              <w:rPr>
                <w:rFonts w:hint="eastAsia" w:ascii="仿宋" w:hAnsi="仿宋" w:eastAsia="仿宋" w:cs="仿宋"/>
                <w:b/>
                <w:bCs/>
                <w:kern w:val="0"/>
                <w:sz w:val="28"/>
                <w:szCs w:val="28"/>
              </w:rPr>
            </w:pPr>
            <w:r>
              <w:rPr>
                <w:rFonts w:hint="eastAsia" w:ascii="仿宋" w:hAnsi="仿宋" w:eastAsia="仿宋" w:cs="仿宋"/>
                <w:b/>
                <w:bCs/>
                <w:kern w:val="0"/>
                <w:sz w:val="28"/>
                <w:szCs w:val="28"/>
              </w:rPr>
              <w:t>单位名称</w:t>
            </w:r>
          </w:p>
        </w:tc>
        <w:tc>
          <w:tcPr>
            <w:tcW w:w="2355" w:type="dxa"/>
            <w:vAlign w:val="center"/>
          </w:tcPr>
          <w:p>
            <w:pPr>
              <w:spacing w:line="560" w:lineRule="exact"/>
              <w:jc w:val="center"/>
              <w:rPr>
                <w:rFonts w:hint="eastAsia" w:ascii="仿宋" w:hAnsi="仿宋" w:eastAsia="仿宋" w:cs="仿宋"/>
                <w:b/>
                <w:bCs/>
                <w:kern w:val="0"/>
                <w:sz w:val="28"/>
                <w:szCs w:val="28"/>
              </w:rPr>
            </w:pPr>
            <w:r>
              <w:rPr>
                <w:rFonts w:hint="eastAsia" w:ascii="仿宋" w:hAnsi="仿宋" w:eastAsia="仿宋" w:cs="仿宋"/>
                <w:b/>
                <w:bCs/>
                <w:kern w:val="0"/>
                <w:sz w:val="28"/>
                <w:szCs w:val="28"/>
              </w:rPr>
              <w:t>单位基本性质</w:t>
            </w:r>
          </w:p>
        </w:tc>
        <w:tc>
          <w:tcPr>
            <w:tcW w:w="2405" w:type="dxa"/>
            <w:vAlign w:val="center"/>
          </w:tcPr>
          <w:p>
            <w:pPr>
              <w:spacing w:line="560" w:lineRule="exact"/>
              <w:jc w:val="center"/>
              <w:rPr>
                <w:rFonts w:hint="eastAsia" w:ascii="仿宋" w:hAnsi="仿宋" w:eastAsia="仿宋" w:cs="仿宋"/>
                <w:b/>
                <w:bCs/>
                <w:kern w:val="0"/>
                <w:sz w:val="28"/>
                <w:szCs w:val="28"/>
              </w:rPr>
            </w:pPr>
            <w:r>
              <w:rPr>
                <w:rFonts w:hint="eastAsia" w:ascii="仿宋" w:hAnsi="仿宋" w:eastAsia="仿宋" w:cs="仿宋"/>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pPr>
              <w:spacing w:line="560" w:lineRule="exact"/>
              <w:jc w:val="center"/>
              <w:rPr>
                <w:rFonts w:hint="eastAsia" w:ascii="仿宋" w:hAnsi="仿宋" w:eastAsia="仿宋" w:cs="仿宋"/>
                <w:kern w:val="0"/>
                <w:sz w:val="28"/>
                <w:szCs w:val="28"/>
              </w:rPr>
            </w:pPr>
            <w:r>
              <w:rPr>
                <w:rFonts w:hint="eastAsia" w:ascii="仿宋" w:hAnsi="仿宋" w:eastAsia="仿宋" w:cs="仿宋"/>
                <w:kern w:val="0"/>
                <w:sz w:val="28"/>
                <w:szCs w:val="28"/>
              </w:rPr>
              <w:t>1</w:t>
            </w:r>
          </w:p>
        </w:tc>
        <w:tc>
          <w:tcPr>
            <w:tcW w:w="3835" w:type="dxa"/>
            <w:vAlign w:val="center"/>
          </w:tcPr>
          <w:p>
            <w:pPr>
              <w:spacing w:line="560" w:lineRule="exact"/>
              <w:jc w:val="center"/>
              <w:rPr>
                <w:rFonts w:hint="eastAsia" w:ascii="仿宋" w:hAnsi="仿宋" w:eastAsia="仿宋" w:cs="仿宋"/>
                <w:kern w:val="0"/>
                <w:sz w:val="24"/>
              </w:rPr>
            </w:pPr>
            <w:r>
              <w:rPr>
                <w:rFonts w:hint="eastAsia" w:ascii="仿宋" w:hAnsi="仿宋" w:eastAsia="仿宋" w:cs="仿宋"/>
                <w:kern w:val="0"/>
                <w:sz w:val="24"/>
              </w:rPr>
              <w:t>石家庄市鹿泉区公用事业管理中心</w:t>
            </w:r>
          </w:p>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(本级)</w:t>
            </w:r>
          </w:p>
        </w:tc>
        <w:tc>
          <w:tcPr>
            <w:tcW w:w="235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财政补助事业单位</w:t>
            </w:r>
          </w:p>
        </w:tc>
        <w:tc>
          <w:tcPr>
            <w:tcW w:w="240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pPr>
              <w:spacing w:line="560" w:lineRule="exact"/>
              <w:jc w:val="center"/>
              <w:rPr>
                <w:rFonts w:hint="eastAsia" w:ascii="仿宋" w:hAnsi="仿宋" w:eastAsia="仿宋" w:cs="仿宋"/>
                <w:kern w:val="0"/>
                <w:sz w:val="28"/>
                <w:szCs w:val="28"/>
              </w:rPr>
            </w:pPr>
            <w:r>
              <w:rPr>
                <w:rFonts w:hint="eastAsia" w:ascii="仿宋" w:hAnsi="仿宋" w:eastAsia="仿宋" w:cs="仿宋"/>
                <w:kern w:val="0"/>
                <w:sz w:val="28"/>
                <w:szCs w:val="28"/>
              </w:rPr>
              <w:t>2</w:t>
            </w:r>
          </w:p>
        </w:tc>
        <w:tc>
          <w:tcPr>
            <w:tcW w:w="3835" w:type="dxa"/>
            <w:vAlign w:val="center"/>
          </w:tcPr>
          <w:p>
            <w:pPr>
              <w:spacing w:line="560" w:lineRule="exact"/>
              <w:jc w:val="center"/>
              <w:rPr>
                <w:rFonts w:hint="eastAsia" w:ascii="仿宋" w:hAnsi="仿宋" w:eastAsia="仿宋" w:cs="仿宋"/>
                <w:kern w:val="0"/>
                <w:sz w:val="24"/>
              </w:rPr>
            </w:pPr>
            <w:r>
              <w:rPr>
                <w:rFonts w:hint="eastAsia" w:ascii="仿宋" w:hAnsi="仿宋" w:eastAsia="仿宋" w:cs="仿宋"/>
                <w:kern w:val="0"/>
                <w:sz w:val="24"/>
              </w:rPr>
              <w:t>石家庄市鹿泉区市政公用设施</w:t>
            </w:r>
          </w:p>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管理维护中心</w:t>
            </w:r>
          </w:p>
        </w:tc>
        <w:tc>
          <w:tcPr>
            <w:tcW w:w="235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经费自理事业单位</w:t>
            </w:r>
          </w:p>
        </w:tc>
        <w:tc>
          <w:tcPr>
            <w:tcW w:w="2405" w:type="dxa"/>
            <w:vAlign w:val="center"/>
          </w:tcPr>
          <w:p>
            <w:pPr>
              <w:spacing w:line="560" w:lineRule="exact"/>
              <w:jc w:val="center"/>
              <w:rPr>
                <w:rFonts w:hint="eastAsia" w:ascii="仿宋" w:hAnsi="仿宋" w:eastAsia="仿宋" w:cs="仿宋"/>
                <w:kern w:val="0"/>
                <w:sz w:val="24"/>
              </w:rPr>
            </w:pPr>
            <w:r>
              <w:rPr>
                <w:rFonts w:hint="eastAsia" w:ascii="仿宋" w:hAnsi="仿宋" w:eastAsia="仿宋" w:cs="仿宋"/>
                <w:kern w:val="0"/>
                <w:sz w:val="24"/>
              </w:rPr>
              <w:t>财政性资金定额或</w:t>
            </w:r>
          </w:p>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pPr>
              <w:spacing w:line="560" w:lineRule="exact"/>
              <w:jc w:val="center"/>
              <w:rPr>
                <w:rFonts w:hint="eastAsia" w:ascii="仿宋" w:hAnsi="仿宋" w:eastAsia="仿宋" w:cs="仿宋"/>
                <w:kern w:val="0"/>
                <w:sz w:val="28"/>
                <w:szCs w:val="28"/>
              </w:rPr>
            </w:pPr>
            <w:r>
              <w:rPr>
                <w:rFonts w:hint="eastAsia" w:ascii="仿宋" w:hAnsi="仿宋" w:eastAsia="仿宋" w:cs="仿宋"/>
                <w:kern w:val="0"/>
                <w:sz w:val="28"/>
                <w:szCs w:val="28"/>
              </w:rPr>
              <w:t>3</w:t>
            </w:r>
          </w:p>
        </w:tc>
        <w:tc>
          <w:tcPr>
            <w:tcW w:w="383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石家庄市鹿泉区海山公园</w:t>
            </w:r>
          </w:p>
        </w:tc>
        <w:tc>
          <w:tcPr>
            <w:tcW w:w="235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经费自理事业单位</w:t>
            </w:r>
          </w:p>
        </w:tc>
        <w:tc>
          <w:tcPr>
            <w:tcW w:w="240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vAlign w:val="center"/>
          </w:tcPr>
          <w:p>
            <w:pPr>
              <w:spacing w:line="560" w:lineRule="exact"/>
              <w:jc w:val="center"/>
              <w:rPr>
                <w:rFonts w:hint="eastAsia" w:ascii="仿宋" w:hAnsi="仿宋" w:eastAsia="仿宋" w:cs="仿宋"/>
                <w:kern w:val="0"/>
                <w:sz w:val="28"/>
                <w:szCs w:val="28"/>
              </w:rPr>
            </w:pPr>
            <w:r>
              <w:rPr>
                <w:rFonts w:hint="eastAsia" w:ascii="仿宋" w:hAnsi="仿宋" w:eastAsia="仿宋" w:cs="仿宋"/>
                <w:kern w:val="0"/>
                <w:sz w:val="28"/>
                <w:szCs w:val="28"/>
                <w:lang w:val="en-US"/>
              </w:rPr>
              <w:t>4</w:t>
            </w:r>
          </w:p>
        </w:tc>
        <w:tc>
          <w:tcPr>
            <w:tcW w:w="383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石家庄市鹿泉区石柏公园</w:t>
            </w:r>
          </w:p>
        </w:tc>
        <w:tc>
          <w:tcPr>
            <w:tcW w:w="235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经费自理事业单位</w:t>
            </w:r>
          </w:p>
        </w:tc>
        <w:tc>
          <w:tcPr>
            <w:tcW w:w="2405" w:type="dxa"/>
            <w:vAlign w:val="center"/>
          </w:tcPr>
          <w:p>
            <w:pPr>
              <w:spacing w:line="560" w:lineRule="exact"/>
              <w:jc w:val="center"/>
              <w:rPr>
                <w:rFonts w:hint="eastAsia" w:ascii="仿宋" w:hAnsi="仿宋" w:eastAsia="仿宋" w:cs="仿宋"/>
                <w:kern w:val="0"/>
                <w:sz w:val="24"/>
                <w:szCs w:val="21"/>
                <w:lang w:val="en-US" w:eastAsia="zh-CN" w:bidi="ar-SA"/>
              </w:rPr>
            </w:pPr>
            <w:r>
              <w:rPr>
                <w:rFonts w:hint="eastAsia" w:ascii="仿宋" w:hAnsi="仿宋" w:eastAsia="仿宋" w:cs="仿宋"/>
                <w:kern w:val="0"/>
                <w:sz w:val="24"/>
              </w:rPr>
              <w:t>财政性资金基本保证</w:t>
            </w:r>
          </w:p>
        </w:tc>
      </w:tr>
    </w:tbl>
    <w:p>
      <w:pPr>
        <w:widowControl w:val="0"/>
        <w:numPr>
          <w:ilvl w:val="0"/>
          <w:numId w:val="2"/>
        </w:numPr>
        <w:wordWrap/>
        <w:adjustRightInd w:val="0"/>
        <w:snapToGrid w:val="0"/>
        <w:spacing w:line="560" w:lineRule="exact"/>
        <w:ind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widowControl w:val="0"/>
        <w:kinsoku/>
        <w:wordWrap/>
        <w:overflowPunct/>
        <w:topLinePunct w:val="0"/>
        <w:autoSpaceDE w:val="0"/>
        <w:autoSpaceDN w:val="0"/>
        <w:bidi w:val="0"/>
        <w:adjustRightInd w:val="0"/>
        <w:spacing w:line="240" w:lineRule="auto"/>
        <w:ind w:left="20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本部门2022年度收入合计</w:t>
      </w:r>
      <w:r>
        <w:rPr>
          <w:rFonts w:hint="eastAsia" w:ascii="仿宋" w:hAnsi="仿宋" w:eastAsia="仿宋" w:cs="仿宋"/>
          <w:sz w:val="32"/>
          <w:szCs w:val="32"/>
          <w:lang w:val="en-US"/>
        </w:rPr>
        <w:t>13544.19</w:t>
      </w:r>
      <w:r>
        <w:rPr>
          <w:rFonts w:hint="eastAsia" w:ascii="仿宋" w:hAnsi="仿宋" w:eastAsia="仿宋" w:cs="仿宋"/>
          <w:sz w:val="32"/>
          <w:szCs w:val="32"/>
        </w:rPr>
        <w:t>万元，其中：财政拨款收入</w:t>
      </w:r>
      <w:r>
        <w:rPr>
          <w:rFonts w:hint="eastAsia" w:ascii="仿宋" w:hAnsi="仿宋" w:eastAsia="仿宋" w:cs="仿宋"/>
          <w:sz w:val="32"/>
          <w:szCs w:val="32"/>
          <w:lang w:val="en-US"/>
        </w:rPr>
        <w:t>13300.47</w:t>
      </w:r>
      <w:r>
        <w:rPr>
          <w:rFonts w:hint="eastAsia" w:ascii="仿宋" w:hAnsi="仿宋" w:eastAsia="仿宋" w:cs="仿宋"/>
          <w:sz w:val="32"/>
          <w:szCs w:val="32"/>
        </w:rPr>
        <w:t>万元，占</w:t>
      </w:r>
      <w:r>
        <w:rPr>
          <w:rFonts w:hint="eastAsia" w:ascii="仿宋" w:hAnsi="仿宋" w:eastAsia="仿宋" w:cs="仿宋"/>
          <w:sz w:val="32"/>
          <w:szCs w:val="32"/>
          <w:lang w:val="en-US"/>
        </w:rPr>
        <w:t>98.2</w:t>
      </w:r>
      <w:r>
        <w:rPr>
          <w:rFonts w:hint="eastAsia" w:ascii="仿宋" w:hAnsi="仿宋" w:eastAsia="仿宋" w:cs="仿宋"/>
          <w:sz w:val="32"/>
          <w:szCs w:val="32"/>
        </w:rPr>
        <w:t>%；</w:t>
      </w:r>
      <w:r>
        <w:rPr>
          <w:rFonts w:hint="eastAsia" w:ascii="仿宋" w:hAnsi="仿宋" w:eastAsia="仿宋" w:cs="仿宋"/>
          <w:sz w:val="32"/>
          <w:szCs w:val="32"/>
          <w:lang w:eastAsia="zh-CN"/>
        </w:rPr>
        <w:t>上级补助收入</w:t>
      </w:r>
      <w:r>
        <w:rPr>
          <w:rFonts w:hint="eastAsia" w:ascii="仿宋" w:hAnsi="仿宋" w:eastAsia="仿宋" w:cs="仿宋"/>
          <w:sz w:val="32"/>
          <w:szCs w:val="32"/>
          <w:lang w:val="en-US" w:eastAsia="zh-CN"/>
        </w:rPr>
        <w:t>0万元，占0%；</w:t>
      </w:r>
      <w:r>
        <w:rPr>
          <w:rFonts w:hint="eastAsia" w:ascii="仿宋" w:hAnsi="仿宋" w:eastAsia="仿宋" w:cs="仿宋"/>
          <w:sz w:val="32"/>
          <w:szCs w:val="32"/>
        </w:rPr>
        <w:t>事业收入</w:t>
      </w:r>
      <w:r>
        <w:rPr>
          <w:rFonts w:hint="eastAsia" w:ascii="仿宋" w:hAnsi="仿宋" w:eastAsia="仿宋" w:cs="仿宋"/>
          <w:sz w:val="32"/>
          <w:szCs w:val="32"/>
          <w:lang w:val="en-US"/>
        </w:rPr>
        <w:t>0</w:t>
      </w:r>
      <w:r>
        <w:rPr>
          <w:rFonts w:hint="eastAsia" w:ascii="仿宋" w:hAnsi="仿宋" w:eastAsia="仿宋" w:cs="仿宋"/>
          <w:sz w:val="32"/>
          <w:szCs w:val="32"/>
        </w:rPr>
        <w:t>万元，占</w:t>
      </w:r>
      <w:r>
        <w:rPr>
          <w:rFonts w:hint="eastAsia" w:ascii="仿宋" w:hAnsi="仿宋" w:eastAsia="仿宋" w:cs="仿宋"/>
          <w:sz w:val="32"/>
          <w:szCs w:val="32"/>
          <w:lang w:val="en-US"/>
        </w:rPr>
        <w:t>0</w:t>
      </w:r>
      <w:r>
        <w:rPr>
          <w:rFonts w:hint="eastAsia" w:ascii="仿宋" w:hAnsi="仿宋" w:eastAsia="仿宋" w:cs="仿宋"/>
          <w:sz w:val="32"/>
          <w:szCs w:val="32"/>
        </w:rPr>
        <w:t>%；经营收入</w:t>
      </w:r>
      <w:r>
        <w:rPr>
          <w:rFonts w:hint="eastAsia" w:ascii="仿宋" w:hAnsi="仿宋" w:eastAsia="仿宋" w:cs="仿宋"/>
          <w:sz w:val="32"/>
          <w:szCs w:val="32"/>
          <w:lang w:val="en-US"/>
        </w:rPr>
        <w:t>207.56</w:t>
      </w:r>
      <w:r>
        <w:rPr>
          <w:rFonts w:hint="eastAsia" w:ascii="仿宋" w:hAnsi="仿宋" w:eastAsia="仿宋" w:cs="仿宋"/>
          <w:sz w:val="32"/>
          <w:szCs w:val="32"/>
        </w:rPr>
        <w:t>万元，占</w:t>
      </w:r>
      <w:r>
        <w:rPr>
          <w:rFonts w:hint="eastAsia" w:ascii="仿宋" w:hAnsi="仿宋" w:eastAsia="仿宋" w:cs="仿宋"/>
          <w:sz w:val="32"/>
          <w:szCs w:val="32"/>
          <w:lang w:val="en-US"/>
        </w:rPr>
        <w:t>1.53</w:t>
      </w:r>
      <w:r>
        <w:rPr>
          <w:rFonts w:hint="eastAsia" w:ascii="仿宋" w:hAnsi="仿宋" w:eastAsia="仿宋" w:cs="仿宋"/>
          <w:sz w:val="32"/>
          <w:szCs w:val="32"/>
        </w:rPr>
        <w:t>%；附属单位上缴收入</w:t>
      </w:r>
      <w:r>
        <w:rPr>
          <w:rFonts w:hint="eastAsia" w:ascii="仿宋" w:hAnsi="仿宋" w:eastAsia="仿宋" w:cs="仿宋"/>
          <w:sz w:val="32"/>
          <w:szCs w:val="32"/>
          <w:lang w:val="en-US"/>
        </w:rPr>
        <w:t>0</w:t>
      </w:r>
      <w:r>
        <w:rPr>
          <w:rFonts w:hint="eastAsia" w:ascii="仿宋" w:hAnsi="仿宋" w:eastAsia="仿宋" w:cs="仿宋"/>
          <w:sz w:val="32"/>
          <w:szCs w:val="32"/>
        </w:rPr>
        <w:t>万元，占</w:t>
      </w:r>
      <w:r>
        <w:rPr>
          <w:rFonts w:hint="eastAsia" w:ascii="仿宋" w:hAnsi="仿宋" w:eastAsia="仿宋" w:cs="仿宋"/>
          <w:sz w:val="32"/>
          <w:szCs w:val="32"/>
          <w:lang w:val="en-US"/>
        </w:rPr>
        <w:t>0</w:t>
      </w:r>
      <w:r>
        <w:rPr>
          <w:rFonts w:hint="eastAsia" w:ascii="仿宋" w:hAnsi="仿宋" w:eastAsia="仿宋" w:cs="仿宋"/>
          <w:sz w:val="32"/>
          <w:szCs w:val="32"/>
        </w:rPr>
        <w:t>%；其他收入</w:t>
      </w:r>
      <w:r>
        <w:rPr>
          <w:rFonts w:hint="eastAsia" w:ascii="仿宋" w:hAnsi="仿宋" w:eastAsia="仿宋" w:cs="仿宋"/>
          <w:sz w:val="32"/>
          <w:szCs w:val="32"/>
          <w:lang w:val="en-US"/>
        </w:rPr>
        <w:t>36.16</w:t>
      </w:r>
      <w:r>
        <w:rPr>
          <w:rFonts w:hint="eastAsia" w:ascii="仿宋" w:hAnsi="仿宋" w:eastAsia="仿宋" w:cs="仿宋"/>
          <w:sz w:val="32"/>
          <w:szCs w:val="32"/>
        </w:rPr>
        <w:t>万元，占</w:t>
      </w:r>
      <w:r>
        <w:rPr>
          <w:rFonts w:hint="eastAsia" w:ascii="仿宋" w:hAnsi="仿宋" w:eastAsia="仿宋" w:cs="仿宋"/>
          <w:sz w:val="32"/>
          <w:szCs w:val="32"/>
          <w:lang w:val="en-US"/>
        </w:rPr>
        <w:t>0.27</w:t>
      </w:r>
      <w:r>
        <w:rPr>
          <w:rFonts w:hint="eastAsia" w:ascii="仿宋" w:hAnsi="仿宋" w:eastAsia="仿宋" w:cs="仿宋"/>
          <w:sz w:val="32"/>
          <w:szCs w:val="32"/>
        </w:rPr>
        <w:t>%；</w:t>
      </w:r>
    </w:p>
    <w:p>
      <w:pPr>
        <w:autoSpaceDE w:val="0"/>
        <w:autoSpaceDN w:val="0"/>
        <w:adjustRightInd w:val="0"/>
        <w:ind w:left="200" w:firstLine="640" w:firstLineChars="200"/>
        <w:jc w:val="left"/>
        <w:rPr>
          <w:rFonts w:hint="eastAsia" w:ascii="仿宋" w:hAnsi="仿宋" w:eastAsia="仿宋" w:cs="仿宋"/>
          <w:sz w:val="32"/>
          <w:szCs w:val="32"/>
        </w:rPr>
      </w:pPr>
      <w:r>
        <w:rPr>
          <w:rFonts w:hint="eastAsia" w:ascii="仿宋" w:hAnsi="仿宋" w:eastAsia="仿宋" w:cs="仿宋"/>
          <w:sz w:val="32"/>
          <w:szCs w:val="32"/>
        </w:rPr>
        <w:t>本部门2022年度支出合计</w:t>
      </w:r>
      <w:r>
        <w:rPr>
          <w:rFonts w:hint="eastAsia" w:ascii="仿宋" w:hAnsi="仿宋" w:eastAsia="仿宋" w:cs="仿宋"/>
          <w:sz w:val="32"/>
          <w:szCs w:val="32"/>
          <w:lang w:val="en-US"/>
        </w:rPr>
        <w:t>13530.59</w:t>
      </w:r>
      <w:r>
        <w:rPr>
          <w:rFonts w:hint="eastAsia" w:ascii="仿宋" w:hAnsi="仿宋" w:eastAsia="仿宋" w:cs="仿宋"/>
          <w:sz w:val="32"/>
          <w:szCs w:val="32"/>
        </w:rPr>
        <w:t>万元，其中：基本支出</w:t>
      </w:r>
      <w:r>
        <w:rPr>
          <w:rFonts w:hint="eastAsia" w:ascii="仿宋" w:hAnsi="仿宋" w:eastAsia="仿宋" w:cs="仿宋"/>
          <w:sz w:val="32"/>
          <w:szCs w:val="32"/>
          <w:lang w:val="en-US"/>
        </w:rPr>
        <w:t>4033.31</w:t>
      </w:r>
      <w:r>
        <w:rPr>
          <w:rFonts w:hint="eastAsia" w:ascii="仿宋" w:hAnsi="仿宋" w:eastAsia="仿宋" w:cs="仿宋"/>
          <w:sz w:val="32"/>
          <w:szCs w:val="32"/>
        </w:rPr>
        <w:t>万元，占</w:t>
      </w:r>
      <w:r>
        <w:rPr>
          <w:rFonts w:hint="eastAsia" w:ascii="仿宋" w:hAnsi="仿宋" w:eastAsia="仿宋" w:cs="仿宋"/>
          <w:sz w:val="32"/>
          <w:szCs w:val="32"/>
          <w:lang w:val="en-US"/>
        </w:rPr>
        <w:t>29.81</w:t>
      </w:r>
      <w:r>
        <w:rPr>
          <w:rFonts w:hint="eastAsia" w:ascii="仿宋" w:hAnsi="仿宋" w:eastAsia="仿宋" w:cs="仿宋"/>
          <w:sz w:val="32"/>
          <w:szCs w:val="32"/>
        </w:rPr>
        <w:t>%；项目支出</w:t>
      </w:r>
      <w:r>
        <w:rPr>
          <w:rFonts w:hint="eastAsia" w:ascii="仿宋" w:hAnsi="仿宋" w:eastAsia="仿宋" w:cs="仿宋"/>
          <w:sz w:val="32"/>
          <w:szCs w:val="32"/>
          <w:lang w:val="en-US"/>
        </w:rPr>
        <w:t>9289.72</w:t>
      </w:r>
      <w:r>
        <w:rPr>
          <w:rFonts w:hint="eastAsia" w:ascii="仿宋" w:hAnsi="仿宋" w:eastAsia="仿宋" w:cs="仿宋"/>
          <w:sz w:val="32"/>
          <w:szCs w:val="32"/>
        </w:rPr>
        <w:t>万元，占</w:t>
      </w:r>
      <w:r>
        <w:rPr>
          <w:rFonts w:hint="eastAsia" w:ascii="仿宋" w:hAnsi="仿宋" w:eastAsia="仿宋" w:cs="仿宋"/>
          <w:sz w:val="32"/>
          <w:szCs w:val="32"/>
          <w:lang w:val="en-US"/>
        </w:rPr>
        <w:t>68.66</w:t>
      </w:r>
      <w:r>
        <w:rPr>
          <w:rFonts w:hint="eastAsia" w:ascii="仿宋" w:hAnsi="仿宋" w:eastAsia="仿宋" w:cs="仿宋"/>
          <w:sz w:val="32"/>
          <w:szCs w:val="32"/>
        </w:rPr>
        <w:t>%；经营支出</w:t>
      </w:r>
      <w:r>
        <w:rPr>
          <w:rFonts w:hint="eastAsia" w:ascii="仿宋" w:hAnsi="仿宋" w:eastAsia="仿宋" w:cs="仿宋"/>
          <w:sz w:val="32"/>
          <w:szCs w:val="32"/>
          <w:lang w:val="en-US"/>
        </w:rPr>
        <w:t>207.56</w:t>
      </w:r>
      <w:r>
        <w:rPr>
          <w:rFonts w:hint="eastAsia" w:ascii="仿宋" w:hAnsi="仿宋" w:eastAsia="仿宋" w:cs="仿宋"/>
          <w:sz w:val="32"/>
          <w:szCs w:val="32"/>
        </w:rPr>
        <w:t>万元，占</w:t>
      </w:r>
      <w:r>
        <w:rPr>
          <w:rFonts w:hint="eastAsia" w:ascii="仿宋" w:hAnsi="仿宋" w:eastAsia="仿宋" w:cs="仿宋"/>
          <w:sz w:val="32"/>
          <w:szCs w:val="32"/>
          <w:lang w:val="en-US"/>
        </w:rPr>
        <w:t>1.53</w:t>
      </w:r>
      <w:r>
        <w:rPr>
          <w:rFonts w:hint="eastAsia" w:ascii="仿宋" w:hAnsi="仿宋" w:eastAsia="仿宋" w:cs="仿宋"/>
          <w:sz w:val="32"/>
          <w:szCs w:val="32"/>
        </w:rPr>
        <w:t>%；对附属单位补助支出</w:t>
      </w:r>
      <w:r>
        <w:rPr>
          <w:rFonts w:hint="eastAsia" w:ascii="仿宋" w:hAnsi="仿宋" w:eastAsia="仿宋" w:cs="仿宋"/>
          <w:sz w:val="32"/>
          <w:szCs w:val="32"/>
          <w:lang w:val="en-US"/>
        </w:rPr>
        <w:t>0</w:t>
      </w:r>
      <w:r>
        <w:rPr>
          <w:rFonts w:hint="eastAsia" w:ascii="仿宋" w:hAnsi="仿宋" w:eastAsia="仿宋" w:cs="仿宋"/>
          <w:sz w:val="32"/>
          <w:szCs w:val="32"/>
        </w:rPr>
        <w:t>万元，占</w:t>
      </w:r>
      <w:r>
        <w:rPr>
          <w:rFonts w:hint="eastAsia" w:ascii="仿宋" w:hAnsi="仿宋" w:eastAsia="仿宋" w:cs="仿宋"/>
          <w:sz w:val="32"/>
          <w:szCs w:val="32"/>
          <w:lang w:val="en-US"/>
        </w:rPr>
        <w:t>0</w:t>
      </w:r>
      <w:r>
        <w:rPr>
          <w:rFonts w:hint="eastAsia" w:ascii="仿宋" w:hAnsi="仿宋" w:eastAsia="仿宋" w:cs="仿宋"/>
          <w:sz w:val="32"/>
          <w:szCs w:val="32"/>
        </w:rPr>
        <w:t>%。</w:t>
      </w:r>
    </w:p>
    <w:p>
      <w:pPr>
        <w:widowControl w:val="0"/>
        <w:numPr>
          <w:ilvl w:val="0"/>
          <w:numId w:val="2"/>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pPr>
        <w:spacing w:before="10" w:after="10"/>
        <w:ind w:firstLine="560"/>
        <w:jc w:val="left"/>
        <w:outlineLvl w:val="1"/>
        <w:rPr>
          <w:rFonts w:hint="eastAsia" w:ascii="仿宋" w:hAnsi="仿宋" w:eastAsia="仿宋" w:cs="仿宋"/>
          <w:sz w:val="32"/>
          <w:szCs w:val="32"/>
        </w:rPr>
      </w:pPr>
      <w:bookmarkStart w:id="0" w:name="_Toc_2_2_0000000001"/>
      <w:r>
        <w:rPr>
          <w:rFonts w:hint="eastAsia" w:ascii="仿宋" w:hAnsi="仿宋" w:eastAsia="仿宋" w:cs="仿宋"/>
          <w:color w:val="000000"/>
          <w:sz w:val="32"/>
          <w:szCs w:val="32"/>
        </w:rPr>
        <w:t>一、总体绩效目标</w:t>
      </w:r>
      <w:bookmarkEnd w:id="0"/>
    </w:p>
    <w:p>
      <w:pPr>
        <w:pStyle w:val="6"/>
        <w:rPr>
          <w:rFonts w:hint="eastAsia" w:ascii="仿宋" w:hAnsi="仿宋" w:eastAsia="仿宋" w:cs="仿宋"/>
          <w:sz w:val="32"/>
          <w:szCs w:val="32"/>
        </w:rPr>
      </w:pPr>
      <w:r>
        <w:rPr>
          <w:rFonts w:hint="eastAsia" w:ascii="仿宋" w:hAnsi="仿宋" w:eastAsia="仿宋" w:cs="仿宋"/>
          <w:sz w:val="32"/>
          <w:szCs w:val="32"/>
        </w:rPr>
        <w:t>2022年，我们将根据城市规划和区政府工作部署，积极参与北部区域振兴，加快区基础设施建设，不断提高保障和服务水平，增强城市综合承载力。突出功能完善，着力提升城市品质。聚焦“民生实事”，持续增强供热保障能力。为满足主城区供热管网运行需要，进一步提高主城区供热质量，计划实施城区高温水管道铺设项目。为了弥补主城区东部区域热源不足问题，在2022年华能上安电厂长输管线二期实施时，我区同时启动主城区供热主管网对接及配套泵站建设，实现主城区管网与现有华能一期管网连接互备互用，确保主城区供热安全。完成南太平河综合整治工程一期延续工程和海山湖清淤治理等工程。开展景观打造，实现设计规划效果，提升城市建设品位。着力完善基础设施、补齐发展短板，完成对健康路（向阳街-石井桥）道路提升改造，改善出行环境。2022年，我中心将继续以习近平新时代中国特色社会主义思想为指导，围绕区委、区政府的中心任务、重点工作，主动作为、奋勇争先，创造性地开展工作，全身心投入到城市建设管理者中，为建设“经济强区、魅力鹿泉、宜居宜业宜游新城区”做出积极贡献。</w:t>
      </w:r>
    </w:p>
    <w:p>
      <w:pPr>
        <w:spacing w:before="10" w:after="10"/>
        <w:ind w:firstLine="560"/>
        <w:jc w:val="left"/>
        <w:outlineLvl w:val="1"/>
        <w:rPr>
          <w:rFonts w:hint="eastAsia" w:ascii="仿宋" w:hAnsi="仿宋" w:eastAsia="仿宋" w:cs="仿宋"/>
          <w:sz w:val="32"/>
          <w:szCs w:val="32"/>
        </w:rPr>
      </w:pPr>
      <w:bookmarkStart w:id="1" w:name="_Toc_2_2_0000000002"/>
      <w:r>
        <w:rPr>
          <w:rFonts w:hint="eastAsia" w:ascii="仿宋" w:hAnsi="仿宋" w:eastAsia="仿宋" w:cs="仿宋"/>
          <w:color w:val="000000"/>
          <w:sz w:val="32"/>
          <w:szCs w:val="32"/>
        </w:rPr>
        <w:t>二、分项绩效目标</w:t>
      </w:r>
      <w:bookmarkEnd w:id="1"/>
    </w:p>
    <w:p>
      <w:pPr>
        <w:pStyle w:val="7"/>
        <w:rPr>
          <w:rFonts w:hint="eastAsia" w:ascii="仿宋" w:hAnsi="仿宋" w:eastAsia="仿宋" w:cs="仿宋"/>
          <w:sz w:val="32"/>
          <w:szCs w:val="32"/>
        </w:rPr>
      </w:pPr>
      <w:r>
        <w:rPr>
          <w:rFonts w:hint="eastAsia" w:ascii="仿宋" w:hAnsi="仿宋" w:eastAsia="仿宋" w:cs="仿宋"/>
          <w:sz w:val="32"/>
          <w:szCs w:val="32"/>
        </w:rPr>
        <w:t>（一）重点民生项目推进方面</w:t>
      </w:r>
    </w:p>
    <w:p>
      <w:pPr>
        <w:pStyle w:val="7"/>
        <w:rPr>
          <w:rFonts w:hint="eastAsia" w:ascii="仿宋" w:hAnsi="仿宋" w:eastAsia="仿宋" w:cs="仿宋"/>
          <w:sz w:val="32"/>
          <w:szCs w:val="32"/>
        </w:rPr>
      </w:pPr>
      <w:r>
        <w:rPr>
          <w:rFonts w:hint="eastAsia" w:ascii="仿宋" w:hAnsi="仿宋" w:eastAsia="仿宋" w:cs="仿宋"/>
          <w:sz w:val="32"/>
          <w:szCs w:val="32"/>
        </w:rPr>
        <w:t>绩效目标1：为满足主城区供热管网运行需要，进一步提高主城区供热质量，计划自山前大道沿健康路至经贸小区进行高温水管道铺设。</w:t>
      </w:r>
    </w:p>
    <w:p>
      <w:pPr>
        <w:pStyle w:val="7"/>
        <w:rPr>
          <w:rFonts w:hint="eastAsia" w:ascii="仿宋" w:hAnsi="仿宋" w:eastAsia="仿宋" w:cs="仿宋"/>
          <w:sz w:val="32"/>
          <w:szCs w:val="32"/>
        </w:rPr>
      </w:pPr>
      <w:r>
        <w:rPr>
          <w:rFonts w:hint="eastAsia" w:ascii="仿宋" w:hAnsi="仿宋" w:eastAsia="仿宋" w:cs="仿宋"/>
          <w:sz w:val="32"/>
          <w:szCs w:val="32"/>
        </w:rPr>
        <w:t>绩效指标1：完成城区高温水管网铺设项目。铺设DN600高温水管道约4000米、自南太平河北路与翠屏大街交口东侧沿翠屏大街至热力站铺设高温水管道约1800米、自新康路与向阳街交口至翠屏大街老旧高温水管网708米更新改造。该项目计划2022年3月开始施工，2023年3月竣工，计划投资3256.5万元。</w:t>
      </w:r>
    </w:p>
    <w:p>
      <w:pPr>
        <w:pStyle w:val="7"/>
        <w:rPr>
          <w:rFonts w:hint="eastAsia" w:ascii="仿宋" w:hAnsi="仿宋" w:eastAsia="仿宋" w:cs="仿宋"/>
          <w:sz w:val="32"/>
          <w:szCs w:val="32"/>
        </w:rPr>
      </w:pPr>
      <w:r>
        <w:rPr>
          <w:rFonts w:hint="eastAsia" w:ascii="仿宋" w:hAnsi="仿宋" w:eastAsia="仿宋" w:cs="仿宋"/>
          <w:sz w:val="32"/>
          <w:szCs w:val="32"/>
        </w:rPr>
        <w:t>绩效目标2：为保障居民夜间出行安全，计划对新宁街北段、健康路、翠屏大街安装路灯。</w:t>
      </w:r>
    </w:p>
    <w:p>
      <w:pPr>
        <w:pStyle w:val="7"/>
        <w:rPr>
          <w:rFonts w:hint="eastAsia" w:ascii="仿宋" w:hAnsi="仿宋" w:eastAsia="仿宋" w:cs="仿宋"/>
          <w:sz w:val="32"/>
          <w:szCs w:val="32"/>
        </w:rPr>
      </w:pPr>
      <w:r>
        <w:rPr>
          <w:rFonts w:hint="eastAsia" w:ascii="仿宋" w:hAnsi="仿宋" w:eastAsia="仿宋" w:cs="仿宋"/>
          <w:sz w:val="32"/>
          <w:szCs w:val="32"/>
        </w:rPr>
        <w:t>绩效指标2：长度2700米，安装10米LED路灯102盏，铺设电缆，新建变台等，保障居民夜间出行安全。</w:t>
      </w:r>
    </w:p>
    <w:p>
      <w:pPr>
        <w:pStyle w:val="7"/>
        <w:rPr>
          <w:rFonts w:hint="eastAsia" w:ascii="仿宋" w:hAnsi="仿宋" w:eastAsia="仿宋" w:cs="仿宋"/>
          <w:sz w:val="32"/>
          <w:szCs w:val="32"/>
        </w:rPr>
      </w:pPr>
      <w:r>
        <w:rPr>
          <w:rFonts w:hint="eastAsia" w:ascii="仿宋" w:hAnsi="仿宋" w:eastAsia="仿宋" w:cs="仿宋"/>
          <w:sz w:val="32"/>
          <w:szCs w:val="32"/>
        </w:rPr>
        <w:t>（二）城乡建设方面</w:t>
      </w:r>
    </w:p>
    <w:p>
      <w:pPr>
        <w:pStyle w:val="7"/>
        <w:rPr>
          <w:rFonts w:hint="eastAsia" w:ascii="仿宋" w:hAnsi="仿宋" w:eastAsia="仿宋" w:cs="仿宋"/>
          <w:sz w:val="32"/>
          <w:szCs w:val="32"/>
        </w:rPr>
      </w:pPr>
      <w:r>
        <w:rPr>
          <w:rFonts w:hint="eastAsia" w:ascii="仿宋" w:hAnsi="仿宋" w:eastAsia="仿宋" w:cs="仿宋"/>
          <w:sz w:val="32"/>
          <w:szCs w:val="32"/>
        </w:rPr>
        <w:t xml:space="preserve">绩效目标1：为了提高城市品位，改善生态环境，计划对南太平河综合整治工程一期-续建进行施工建设。                           </w:t>
      </w:r>
    </w:p>
    <w:p>
      <w:pPr>
        <w:pStyle w:val="7"/>
        <w:rPr>
          <w:rFonts w:hint="eastAsia" w:ascii="仿宋" w:hAnsi="仿宋" w:eastAsia="仿宋" w:cs="仿宋"/>
          <w:sz w:val="32"/>
          <w:szCs w:val="32"/>
        </w:rPr>
      </w:pPr>
      <w:r>
        <w:rPr>
          <w:rFonts w:hint="eastAsia" w:ascii="仿宋" w:hAnsi="仿宋" w:eastAsia="仿宋" w:cs="仿宋"/>
          <w:sz w:val="32"/>
          <w:szCs w:val="32"/>
        </w:rPr>
        <w:t>绩效指标1：完成混凝土坝墙铅丝石笼3029立方米、安装栏杆1483米，旧墙加固喷射混凝土1480平方米等。</w:t>
      </w:r>
    </w:p>
    <w:p>
      <w:pPr>
        <w:pStyle w:val="7"/>
        <w:rPr>
          <w:rFonts w:hint="eastAsia" w:ascii="仿宋" w:hAnsi="仿宋" w:eastAsia="仿宋" w:cs="仿宋"/>
          <w:sz w:val="32"/>
          <w:szCs w:val="32"/>
        </w:rPr>
      </w:pPr>
      <w:r>
        <w:rPr>
          <w:rFonts w:hint="eastAsia" w:ascii="仿宋" w:hAnsi="仿宋" w:eastAsia="仿宋" w:cs="仿宋"/>
          <w:sz w:val="32"/>
          <w:szCs w:val="32"/>
        </w:rPr>
        <w:t>绩效目标2：为弥补主城区东部区域热源不足问题，计划实施主城区供热主管网对接及配套泵站建设项目。</w:t>
      </w:r>
    </w:p>
    <w:p>
      <w:pPr>
        <w:pStyle w:val="7"/>
        <w:rPr>
          <w:rFonts w:hint="eastAsia" w:ascii="仿宋" w:hAnsi="仿宋" w:eastAsia="仿宋" w:cs="仿宋"/>
          <w:sz w:val="32"/>
          <w:szCs w:val="32"/>
        </w:rPr>
      </w:pPr>
      <w:r>
        <w:rPr>
          <w:rFonts w:hint="eastAsia" w:ascii="仿宋" w:hAnsi="仿宋" w:eastAsia="仿宋" w:cs="仿宋"/>
          <w:sz w:val="32"/>
          <w:szCs w:val="32"/>
        </w:rPr>
        <w:t>绩效指标2：完成铺设管网16100米。</w:t>
      </w:r>
    </w:p>
    <w:p>
      <w:pPr>
        <w:pStyle w:val="7"/>
        <w:rPr>
          <w:rFonts w:hint="eastAsia" w:ascii="仿宋" w:hAnsi="仿宋" w:eastAsia="仿宋" w:cs="仿宋"/>
          <w:sz w:val="32"/>
          <w:szCs w:val="32"/>
        </w:rPr>
      </w:pPr>
      <w:r>
        <w:rPr>
          <w:rFonts w:hint="eastAsia" w:ascii="仿宋" w:hAnsi="仿宋" w:eastAsia="仿宋" w:cs="仿宋"/>
          <w:sz w:val="32"/>
          <w:szCs w:val="32"/>
        </w:rPr>
        <w:t>绩效目标3：为了保证人民生命财产安全，维护海山公园水面景观，创造良好生态环境，计划实施海山湖清淤治理工程。</w:t>
      </w:r>
    </w:p>
    <w:p>
      <w:pPr>
        <w:pStyle w:val="7"/>
        <w:rPr>
          <w:rFonts w:hint="eastAsia" w:ascii="仿宋" w:hAnsi="仿宋" w:eastAsia="仿宋" w:cs="仿宋"/>
          <w:sz w:val="32"/>
          <w:szCs w:val="32"/>
        </w:rPr>
      </w:pPr>
      <w:r>
        <w:rPr>
          <w:rFonts w:hint="eastAsia" w:ascii="仿宋" w:hAnsi="仿宋" w:eastAsia="仿宋" w:cs="仿宋"/>
          <w:sz w:val="32"/>
          <w:szCs w:val="32"/>
        </w:rPr>
        <w:t>绩效指标3：海山湖清淤面积约为67.74亩（45161平方米），淤泥挖运工程量约8.6万立方米，平均挖深约1.9米，计划投资400多万元。</w:t>
      </w:r>
    </w:p>
    <w:p>
      <w:pPr>
        <w:pStyle w:val="7"/>
        <w:rPr>
          <w:rFonts w:hint="eastAsia" w:ascii="仿宋" w:hAnsi="仿宋" w:eastAsia="仿宋" w:cs="仿宋"/>
          <w:sz w:val="32"/>
          <w:szCs w:val="32"/>
        </w:rPr>
      </w:pPr>
      <w:r>
        <w:rPr>
          <w:rFonts w:hint="eastAsia" w:ascii="仿宋" w:hAnsi="仿宋" w:eastAsia="仿宋" w:cs="仿宋"/>
          <w:sz w:val="32"/>
          <w:szCs w:val="32"/>
        </w:rPr>
        <w:t>绩效目标4：为了确保市民出行安全，计划实施健康路（向阳街-石井桥）道路提升改造项目。</w:t>
      </w:r>
    </w:p>
    <w:p>
      <w:pPr>
        <w:pStyle w:val="7"/>
        <w:rPr>
          <w:rFonts w:hint="eastAsia" w:ascii="仿宋" w:hAnsi="仿宋" w:eastAsia="仿宋" w:cs="仿宋"/>
          <w:b/>
          <w:bCs/>
          <w:sz w:val="32"/>
          <w:szCs w:val="32"/>
          <w:lang w:eastAsia="zh-CN"/>
        </w:rPr>
      </w:pPr>
      <w:r>
        <w:rPr>
          <w:rFonts w:hint="eastAsia" w:ascii="仿宋" w:hAnsi="仿宋" w:eastAsia="仿宋" w:cs="仿宋"/>
          <w:sz w:val="32"/>
          <w:szCs w:val="32"/>
        </w:rPr>
        <w:t xml:space="preserve">绩效指标4：项目计划拆除现有路面，首先进行雨、污排水管道施工，之后做基层、面层以及铺设便道，预计投资约486万元。   </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评价资料收集：要求业务科室准备好绩效评价所需的佐证材料，其中评价指标应有对应的佐证材料相关指标的实现情况。</w:t>
      </w:r>
    </w:p>
    <w:p>
      <w:pPr>
        <w:widowControl w:val="0"/>
        <w:wordWrap/>
        <w:spacing w:line="560" w:lineRule="exact"/>
        <w:ind w:left="0" w:leftChars="0" w:right="0" w:firstLine="640"/>
        <w:textAlignment w:val="auto"/>
        <w:outlineLvl w:val="9"/>
        <w:rPr>
          <w:rFonts w:hint="default" w:ascii="仿宋" w:hAnsi="仿宋" w:eastAsia="仿宋"/>
          <w:sz w:val="32"/>
          <w:szCs w:val="32"/>
          <w:lang w:val="en-US" w:eastAsia="zh-CN"/>
        </w:rPr>
      </w:pPr>
      <w:r>
        <w:rPr>
          <w:rFonts w:hint="eastAsia" w:ascii="仿宋" w:hAnsi="仿宋" w:eastAsia="仿宋"/>
          <w:sz w:val="32"/>
          <w:szCs w:val="32"/>
          <w:lang w:eastAsia="zh-CN"/>
        </w:rPr>
        <w:t>评价过程：</w:t>
      </w:r>
      <w:r>
        <w:rPr>
          <w:rFonts w:hint="default" w:ascii="仿宋" w:hAnsi="仿宋" w:eastAsia="仿宋"/>
          <w:sz w:val="32"/>
          <w:szCs w:val="32"/>
          <w:lang w:val="en-US" w:eastAsia="zh-CN"/>
        </w:rPr>
        <w:t>1</w:t>
      </w:r>
      <w:r>
        <w:rPr>
          <w:rFonts w:hint="eastAsia" w:ascii="仿宋" w:hAnsi="仿宋" w:eastAsia="仿宋"/>
          <w:sz w:val="32"/>
          <w:szCs w:val="32"/>
          <w:lang w:val="en-US" w:eastAsia="zh-CN"/>
        </w:rPr>
        <w:t>、通过对相关资料的原件、数据来源及计算方法等，进一步核实自评材料及佐证材料的客观性、真实性、准确性，确保相关内容真实可靠、满足评价报告的需要。</w:t>
      </w:r>
      <w:r>
        <w:rPr>
          <w:rFonts w:hint="default" w:ascii="仿宋" w:hAnsi="仿宋" w:eastAsia="仿宋"/>
          <w:sz w:val="32"/>
          <w:szCs w:val="32"/>
          <w:lang w:val="en-US" w:eastAsia="zh-CN"/>
        </w:rPr>
        <w:t>2</w:t>
      </w:r>
      <w:r>
        <w:rPr>
          <w:rFonts w:hint="eastAsia" w:ascii="仿宋" w:hAnsi="仿宋" w:eastAsia="仿宋"/>
          <w:sz w:val="32"/>
          <w:szCs w:val="32"/>
          <w:lang w:val="en-US" w:eastAsia="zh-CN"/>
        </w:rPr>
        <w:t>、通过仔细查阅实施、管理等各项过程材料、补充评审评价深度的不足，进一步把握评价项目及预算执行的规范性。</w:t>
      </w:r>
    </w:p>
    <w:p>
      <w:pPr>
        <w:widowControl w:val="0"/>
        <w:numPr>
          <w:ilvl w:val="0"/>
          <w:numId w:val="3"/>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widowControl w:val="0"/>
        <w:numPr>
          <w:ilvl w:val="0"/>
          <w:numId w:val="0"/>
        </w:numPr>
        <w:wordWrap/>
        <w:spacing w:line="560" w:lineRule="exact"/>
        <w:ind w:right="0" w:rightChars="0" w:firstLine="640"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仿宋"/>
          <w:b w:val="0"/>
          <w:bCs w:val="0"/>
          <w:sz w:val="32"/>
          <w:szCs w:val="32"/>
          <w:lang w:val="en-US"/>
        </w:rPr>
        <w:t>2022</w:t>
      </w:r>
      <w:r>
        <w:rPr>
          <w:rFonts w:hint="eastAsia" w:ascii="仿宋" w:hAnsi="仿宋" w:eastAsia="仿宋" w:cs="仿宋"/>
          <w:b w:val="0"/>
          <w:bCs w:val="0"/>
          <w:sz w:val="32"/>
          <w:szCs w:val="32"/>
          <w:lang w:val="en-US" w:eastAsia="zh-CN"/>
        </w:rPr>
        <w:t>年度预算项目绩效自评采用对比法、因素分析法、审核法。主要由项目实施股室对各项目进行综合评价。包括项目预算资金的投入、执行及项目年度预期目标、产出指标、效益指标的预期指标值与实际完成值的评定，以打分的形式评价预算项目年度绩效指标的完成情况。</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4"/>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spacing w:line="560" w:lineRule="exact"/>
        <w:ind w:left="0" w:leftChars="0" w:right="0" w:firstLine="640" w:firstLineChars="200"/>
        <w:textAlignment w:val="auto"/>
        <w:outlineLvl w:val="9"/>
        <w:rPr>
          <w:rFonts w:hint="eastAsia" w:ascii="仿宋" w:hAnsi="仿宋" w:eastAsia="仿宋"/>
          <w:color w:val="000000" w:themeColor="text1"/>
          <w:sz w:val="32"/>
          <w:szCs w:val="32"/>
          <w:lang w:eastAsia="zh-CN"/>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2022年，我们将根据城市规划和区政府工作部署，积极参与北部区域振兴，加快区基础设施建设，不断提高保障和服务水平，增强城市综合承载力。突出功能完善，着力提升城市品质。</w:t>
      </w:r>
    </w:p>
    <w:p>
      <w:pPr>
        <w:widowControl w:val="0"/>
        <w:numPr>
          <w:ilvl w:val="0"/>
          <w:numId w:val="5"/>
        </w:numPr>
        <w:wordWrap/>
        <w:spacing w:line="560" w:lineRule="exact"/>
        <w:ind w:left="0" w:leftChars="0" w:right="0" w:firstLine="640" w:firstLineChars="200"/>
        <w:textAlignment w:val="auto"/>
        <w:outlineLvl w:val="9"/>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聚焦“民生实事”，持续增强供热保障能力。为满足主城区供热管网运行需要，进一步提高主城区供热质量，实施城区高温水管道铺设项目。</w:t>
      </w:r>
    </w:p>
    <w:p>
      <w:pPr>
        <w:widowControl w:val="0"/>
        <w:numPr>
          <w:ilvl w:val="0"/>
          <w:numId w:val="5"/>
        </w:numPr>
        <w:wordWrap/>
        <w:spacing w:line="560" w:lineRule="exact"/>
        <w:ind w:left="0" w:leftChars="0" w:right="0" w:firstLine="640" w:firstLineChars="200"/>
        <w:textAlignment w:val="auto"/>
        <w:outlineLvl w:val="9"/>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开展景观打造，实现设计规划效果，提升城市建设品位。完成南太平河综合整治工程一期延续工程。</w:t>
      </w:r>
    </w:p>
    <w:p>
      <w:pPr>
        <w:widowControl w:val="0"/>
        <w:numPr>
          <w:ilvl w:val="0"/>
          <w:numId w:val="5"/>
        </w:numPr>
        <w:wordWrap/>
        <w:spacing w:line="560" w:lineRule="exact"/>
        <w:ind w:left="0" w:leftChars="0" w:right="0" w:firstLine="640" w:firstLineChars="200"/>
        <w:textAlignment w:val="auto"/>
        <w:outlineLvl w:val="9"/>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着力完善基础设施、补齐发展短板，完成翠屏大街（海山大街-石柏大街）路灯工程及城区路灯工程、玉石路（向阳大街-石井桥）雨污水管网改造工程，改善出行环境。</w:t>
      </w:r>
    </w:p>
    <w:p>
      <w:pPr>
        <w:widowControl w:val="0"/>
        <w:numPr>
          <w:ilvl w:val="0"/>
          <w:numId w:val="0"/>
        </w:numPr>
        <w:wordWrap/>
        <w:spacing w:line="560" w:lineRule="exact"/>
        <w:ind w:leftChars="200" w:right="0" w:rightChars="0"/>
        <w:textAlignment w:val="auto"/>
        <w:outlineLvl w:val="9"/>
        <w:rPr>
          <w:rFonts w:hint="default" w:ascii="仿宋" w:hAnsi="仿宋" w:eastAsia="仿宋"/>
          <w:color w:val="000000" w:themeColor="text1"/>
          <w:sz w:val="32"/>
          <w:szCs w:val="32"/>
          <w:lang w:val="en-US"/>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 xml:space="preserve"> 通过自评，2022年完成了年初编制的预期绩效目标任务。</w:t>
      </w:r>
    </w:p>
    <w:p>
      <w:pPr>
        <w:widowControl w:val="0"/>
        <w:wordWrap/>
        <w:spacing w:line="560" w:lineRule="exact"/>
        <w:ind w:left="0" w:leftChars="0" w:right="0"/>
        <w:textAlignment w:val="auto"/>
        <w:outlineLvl w:val="9"/>
        <w:rPr>
          <w:rFonts w:hint="eastAsia" w:ascii="仿宋" w:hAnsi="仿宋" w:eastAsia="仿宋"/>
          <w:b/>
          <w:bCs/>
          <w:color w:val="0000FF"/>
          <w:sz w:val="32"/>
          <w:szCs w:val="32"/>
          <w:lang w:eastAsia="zh-CN"/>
        </w:rPr>
      </w:pPr>
      <w:r>
        <w:rPr>
          <w:rFonts w:hint="eastAsia" w:ascii="仿宋" w:hAnsi="仿宋" w:eastAsia="仿宋"/>
          <w:b/>
          <w:bCs/>
          <w:color w:val="0000FF"/>
          <w:sz w:val="32"/>
          <w:szCs w:val="32"/>
        </w:rPr>
        <w:t xml:space="preserve">   </w:t>
      </w:r>
      <w:r>
        <w:rPr>
          <w:rFonts w:hint="eastAsia" w:ascii="仿宋" w:hAnsi="仿宋" w:eastAsia="仿宋" w:cs="楷体_GB2312"/>
          <w:b/>
          <w:bCs/>
          <w:color w:val="0000FF"/>
          <w:sz w:val="32"/>
          <w:szCs w:val="32"/>
        </w:rPr>
        <w:t xml:space="preserve"> </w:t>
      </w:r>
      <w:r>
        <w:rPr>
          <w:rFonts w:hint="eastAsia" w:ascii="仿宋" w:hAnsi="仿宋" w:eastAsia="仿宋" w:cs="楷体_GB2312"/>
          <w:b/>
          <w:bCs/>
          <w:color w:val="000000" w:themeColor="text1"/>
          <w:sz w:val="32"/>
          <w:szCs w:val="32"/>
          <w14:textFill>
            <w14:solidFill>
              <w14:schemeClr w14:val="tx1"/>
            </w14:solidFill>
          </w14:textFill>
        </w:rPr>
        <w:t>（二）</w:t>
      </w:r>
      <w:r>
        <w:rPr>
          <w:rFonts w:hint="eastAsia" w:ascii="仿宋" w:hAnsi="仿宋" w:eastAsia="仿宋" w:cs="楷体_GB2312"/>
          <w:b/>
          <w:bCs/>
          <w:color w:val="000000" w:themeColor="text1"/>
          <w:sz w:val="32"/>
          <w:szCs w:val="32"/>
          <w:lang w:eastAsia="zh-CN"/>
          <w14:textFill>
            <w14:solidFill>
              <w14:schemeClr w14:val="tx1"/>
            </w14:solidFill>
          </w14:textFill>
        </w:rPr>
        <w:t>分项绩效目标实现情况及指标分析</w:t>
      </w:r>
    </w:p>
    <w:p>
      <w:pPr>
        <w:widowControl w:val="0"/>
        <w:wordWrap/>
        <w:spacing w:line="560" w:lineRule="exact"/>
        <w:ind w:left="0" w:leftChars="0" w:right="0" w:firstLine="640" w:firstLineChars="200"/>
        <w:textAlignment w:val="auto"/>
        <w:outlineLvl w:val="9"/>
        <w:rPr>
          <w:rFonts w:hint="eastAsia" w:ascii="仿宋" w:hAnsi="仿宋" w:eastAsia="仿宋"/>
          <w:color w:val="000000" w:themeColor="text1"/>
          <w:sz w:val="32"/>
          <w:szCs w:val="32"/>
          <w:lang w:val="en-US" w:eastAsia="zh-CN"/>
          <w14:textFill>
            <w14:solidFill>
              <w14:schemeClr w14:val="tx1"/>
            </w14:solidFill>
          </w14:textFill>
        </w:rPr>
      </w:pPr>
      <w:r>
        <w:rPr>
          <w:rFonts w:hint="default" w:ascii="仿宋" w:hAnsi="仿宋" w:eastAsia="仿宋"/>
          <w:color w:val="000000" w:themeColor="text1"/>
          <w:sz w:val="32"/>
          <w:szCs w:val="32"/>
          <w:lang w:val="en-US"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63500</wp:posOffset>
            </wp:positionH>
            <wp:positionV relativeFrom="paragraph">
              <wp:posOffset>495935</wp:posOffset>
            </wp:positionV>
            <wp:extent cx="5614670" cy="2550795"/>
            <wp:effectExtent l="0" t="0" r="5080" b="1905"/>
            <wp:wrapTopAndBottom/>
            <wp:docPr id="2" name="图片 2" descr="f079c117ce581c5290fff83fc36fa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f079c117ce581c5290fff83fc36fa3e"/>
                    <pic:cNvPicPr>
                      <a:picLocks noChangeAspect="1"/>
                    </pic:cNvPicPr>
                  </pic:nvPicPr>
                  <pic:blipFill>
                    <a:blip r:embed="rId5"/>
                    <a:stretch>
                      <a:fillRect/>
                    </a:stretch>
                  </pic:blipFill>
                  <pic:spPr>
                    <a:xfrm>
                      <a:off x="0" y="0"/>
                      <a:ext cx="5614670" cy="2550795"/>
                    </a:xfrm>
                    <a:prstGeom prst="rect">
                      <a:avLst/>
                    </a:prstGeom>
                  </pic:spPr>
                </pic:pic>
              </a:graphicData>
            </a:graphic>
          </wp:anchor>
        </w:drawing>
      </w:r>
      <w:r>
        <w:rPr>
          <w:rFonts w:hint="eastAsia" w:ascii="仿宋" w:hAnsi="仿宋" w:eastAsia="仿宋"/>
          <w:color w:val="000000" w:themeColor="text1"/>
          <w:sz w:val="32"/>
          <w:szCs w:val="32"/>
          <w:lang w:val="en-US" w:eastAsia="zh-CN"/>
          <w14:textFill>
            <w14:solidFill>
              <w14:schemeClr w14:val="tx1"/>
            </w14:solidFill>
          </w14:textFill>
        </w:rPr>
        <w:t>1、城区高温水管道铺设项目</w:t>
      </w:r>
    </w:p>
    <w:p>
      <w:pPr>
        <w:widowControl w:val="0"/>
        <w:wordWrap/>
        <w:spacing w:line="560" w:lineRule="exact"/>
        <w:ind w:left="0" w:leftChars="0" w:right="0" w:firstLine="640" w:firstLineChars="200"/>
        <w:textAlignment w:val="auto"/>
        <w:outlineLvl w:val="9"/>
        <w:rPr>
          <w:rFonts w:hint="eastAsia" w:ascii="仿宋" w:hAnsi="仿宋" w:eastAsia="仿宋"/>
          <w:color w:val="000000" w:themeColor="text1"/>
          <w:sz w:val="32"/>
          <w:szCs w:val="32"/>
          <w:lang w:val="en-US" w:eastAsia="zh-CN"/>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数量指标1；</w:t>
      </w:r>
      <w:r>
        <w:rPr>
          <w:rFonts w:hint="default" w:ascii="仿宋" w:hAnsi="仿宋" w:eastAsia="仿宋"/>
          <w:color w:val="000000" w:themeColor="text1"/>
          <w:sz w:val="32"/>
          <w:szCs w:val="32"/>
          <w:lang w:val="en-US" w:eastAsia="zh-CN"/>
          <w14:textFill>
            <w14:solidFill>
              <w14:schemeClr w14:val="tx1"/>
            </w14:solidFill>
          </w14:textFill>
        </w:rPr>
        <w:t>铺设高温水管道</w:t>
      </w:r>
      <w:r>
        <w:rPr>
          <w:rFonts w:hint="eastAsia" w:ascii="仿宋" w:hAnsi="仿宋" w:eastAsia="仿宋"/>
          <w:color w:val="000000" w:themeColor="text1"/>
          <w:sz w:val="32"/>
          <w:szCs w:val="32"/>
          <w:lang w:val="en-US" w:eastAsia="zh-CN"/>
          <w14:textFill>
            <w14:solidFill>
              <w14:schemeClr w14:val="tx1"/>
            </w14:solidFill>
          </w14:textFill>
        </w:rPr>
        <w:t>58</w:t>
      </w:r>
      <w:r>
        <w:rPr>
          <w:rFonts w:hint="default" w:ascii="仿宋" w:hAnsi="仿宋" w:eastAsia="仿宋"/>
          <w:color w:val="000000" w:themeColor="text1"/>
          <w:sz w:val="32"/>
          <w:szCs w:val="32"/>
          <w:lang w:val="en-US" w:eastAsia="zh-CN"/>
          <w14:textFill>
            <w14:solidFill>
              <w14:schemeClr w14:val="tx1"/>
            </w14:solidFill>
          </w14:textFill>
        </w:rPr>
        <w:t>00米</w:t>
      </w:r>
      <w:r>
        <w:rPr>
          <w:rFonts w:hint="eastAsia" w:ascii="仿宋" w:hAnsi="仿宋" w:eastAsia="仿宋"/>
          <w:color w:val="000000" w:themeColor="text1"/>
          <w:sz w:val="32"/>
          <w:szCs w:val="32"/>
          <w:lang w:val="en-US" w:eastAsia="zh-CN"/>
          <w14:textFill>
            <w14:solidFill>
              <w14:schemeClr w14:val="tx1"/>
            </w14:solidFill>
          </w14:textFill>
        </w:rPr>
        <w:t>，实际铺设4980.23米；数量指标2；老旧高温水管网改造708米，实际改造613.3米；评分9分。质量指标：验收合格率100%；评分10分</w:t>
      </w:r>
      <w:r>
        <w:rPr>
          <w:rFonts w:hint="default" w:ascii="仿宋" w:hAnsi="仿宋" w:eastAsia="仿宋"/>
          <w:color w:val="000000" w:themeColor="text1"/>
          <w:sz w:val="32"/>
          <w:szCs w:val="32"/>
          <w:lang w:val="en-US" w:eastAsia="zh-CN"/>
          <w14:textFill>
            <w14:solidFill>
              <w14:schemeClr w14:val="tx1"/>
            </w14:solidFill>
          </w14:textFill>
        </w:rPr>
        <w:t>。时效指标</w:t>
      </w:r>
      <w:r>
        <w:rPr>
          <w:rFonts w:hint="eastAsia" w:ascii="仿宋" w:hAnsi="仿宋" w:eastAsia="仿宋"/>
          <w:color w:val="000000" w:themeColor="text1"/>
          <w:sz w:val="32"/>
          <w:szCs w:val="32"/>
          <w:lang w:val="en-US" w:eastAsia="zh-CN"/>
          <w14:textFill>
            <w14:solidFill>
              <w14:schemeClr w14:val="tx1"/>
            </w14:solidFill>
          </w14:textFill>
        </w:rPr>
        <w:t>：管网建设的按时完成率，</w:t>
      </w:r>
      <w:r>
        <w:rPr>
          <w:rFonts w:hint="default" w:ascii="仿宋" w:hAnsi="仿宋" w:eastAsia="仿宋"/>
          <w:color w:val="000000" w:themeColor="text1"/>
          <w:sz w:val="32"/>
          <w:szCs w:val="32"/>
          <w:lang w:val="en-US" w:eastAsia="zh-CN"/>
          <w14:textFill>
            <w14:solidFill>
              <w14:schemeClr w14:val="tx1"/>
            </w14:solidFill>
          </w14:textFill>
        </w:rPr>
        <w:t>该项目2022年</w:t>
      </w:r>
      <w:r>
        <w:rPr>
          <w:rFonts w:hint="eastAsia" w:ascii="仿宋" w:hAnsi="仿宋" w:eastAsia="仿宋"/>
          <w:color w:val="000000" w:themeColor="text1"/>
          <w:sz w:val="32"/>
          <w:szCs w:val="32"/>
          <w:lang w:val="en-US" w:eastAsia="zh-CN"/>
          <w14:textFill>
            <w14:solidFill>
              <w14:schemeClr w14:val="tx1"/>
            </w14:solidFill>
          </w14:textFill>
        </w:rPr>
        <w:t>4</w:t>
      </w:r>
      <w:r>
        <w:rPr>
          <w:rFonts w:hint="default" w:ascii="仿宋" w:hAnsi="仿宋" w:eastAsia="仿宋"/>
          <w:color w:val="000000" w:themeColor="text1"/>
          <w:sz w:val="32"/>
          <w:szCs w:val="32"/>
          <w:lang w:val="en-US" w:eastAsia="zh-CN"/>
          <w14:textFill>
            <w14:solidFill>
              <w14:schemeClr w14:val="tx1"/>
            </w14:solidFill>
          </w14:textFill>
        </w:rPr>
        <w:t>月开始施工，202</w:t>
      </w:r>
      <w:r>
        <w:rPr>
          <w:rFonts w:hint="eastAsia" w:ascii="仿宋" w:hAnsi="仿宋" w:eastAsia="仿宋"/>
          <w:color w:val="000000" w:themeColor="text1"/>
          <w:sz w:val="32"/>
          <w:szCs w:val="32"/>
          <w:lang w:val="en-US" w:eastAsia="zh-CN"/>
          <w14:textFill>
            <w14:solidFill>
              <w14:schemeClr w14:val="tx1"/>
            </w14:solidFill>
          </w14:textFill>
        </w:rPr>
        <w:t>2</w:t>
      </w:r>
      <w:r>
        <w:rPr>
          <w:rFonts w:hint="default" w:ascii="仿宋" w:hAnsi="仿宋" w:eastAsia="仿宋"/>
          <w:color w:val="000000" w:themeColor="text1"/>
          <w:sz w:val="32"/>
          <w:szCs w:val="32"/>
          <w:lang w:val="en-US" w:eastAsia="zh-CN"/>
          <w14:textFill>
            <w14:solidFill>
              <w14:schemeClr w14:val="tx1"/>
            </w14:solidFill>
          </w14:textFill>
        </w:rPr>
        <w:t>年</w:t>
      </w:r>
      <w:r>
        <w:rPr>
          <w:rFonts w:hint="eastAsia" w:ascii="仿宋" w:hAnsi="仿宋" w:eastAsia="仿宋"/>
          <w:color w:val="000000" w:themeColor="text1"/>
          <w:sz w:val="32"/>
          <w:szCs w:val="32"/>
          <w:lang w:val="en-US" w:eastAsia="zh-CN"/>
          <w14:textFill>
            <w14:solidFill>
              <w14:schemeClr w14:val="tx1"/>
            </w14:solidFill>
          </w14:textFill>
        </w:rPr>
        <w:t>10</w:t>
      </w:r>
      <w:r>
        <w:rPr>
          <w:rFonts w:hint="default" w:ascii="仿宋" w:hAnsi="仿宋" w:eastAsia="仿宋"/>
          <w:color w:val="000000" w:themeColor="text1"/>
          <w:sz w:val="32"/>
          <w:szCs w:val="32"/>
          <w:lang w:val="en-US" w:eastAsia="zh-CN"/>
          <w14:textFill>
            <w14:solidFill>
              <w14:schemeClr w14:val="tx1"/>
            </w14:solidFill>
          </w14:textFill>
        </w:rPr>
        <w:t>月竣工，</w:t>
      </w:r>
      <w:r>
        <w:rPr>
          <w:rFonts w:hint="eastAsia" w:ascii="仿宋" w:hAnsi="仿宋" w:eastAsia="仿宋"/>
          <w:color w:val="000000" w:themeColor="text1"/>
          <w:sz w:val="32"/>
          <w:szCs w:val="32"/>
          <w:lang w:val="en-US" w:eastAsia="zh-CN"/>
          <w14:textFill>
            <w14:solidFill>
              <w14:schemeClr w14:val="tx1"/>
            </w14:solidFill>
          </w14:textFill>
        </w:rPr>
        <w:t>比计划工期提前完工；评分9分。成本指标：管道的单位成本1520元/米，实际成本1511元/米，实际</w:t>
      </w:r>
      <w:r>
        <w:rPr>
          <w:rFonts w:hint="default" w:ascii="仿宋" w:hAnsi="仿宋" w:eastAsia="仿宋"/>
          <w:color w:val="000000" w:themeColor="text1"/>
          <w:sz w:val="32"/>
          <w:szCs w:val="32"/>
          <w:lang w:val="en-US" w:eastAsia="zh-CN"/>
          <w14:textFill>
            <w14:solidFill>
              <w14:schemeClr w14:val="tx1"/>
            </w14:solidFill>
          </w14:textFill>
        </w:rPr>
        <w:t>投资</w:t>
      </w:r>
      <w:r>
        <w:rPr>
          <w:rFonts w:hint="eastAsia" w:ascii="仿宋" w:hAnsi="仿宋" w:eastAsia="仿宋"/>
          <w:color w:val="000000" w:themeColor="text1"/>
          <w:sz w:val="32"/>
          <w:szCs w:val="32"/>
          <w:lang w:val="en-US" w:eastAsia="zh-CN"/>
          <w14:textFill>
            <w14:solidFill>
              <w14:schemeClr w14:val="tx1"/>
            </w14:solidFill>
          </w14:textFill>
        </w:rPr>
        <w:t>2279</w:t>
      </w:r>
      <w:r>
        <w:rPr>
          <w:rFonts w:hint="default" w:ascii="仿宋" w:hAnsi="仿宋" w:eastAsia="仿宋"/>
          <w:color w:val="000000" w:themeColor="text1"/>
          <w:sz w:val="32"/>
          <w:szCs w:val="32"/>
          <w:lang w:val="en-US" w:eastAsia="zh-CN"/>
          <w14:textFill>
            <w14:solidFill>
              <w14:schemeClr w14:val="tx1"/>
            </w14:solidFill>
          </w14:textFill>
        </w:rPr>
        <w:t>万元</w:t>
      </w:r>
      <w:r>
        <w:rPr>
          <w:rFonts w:hint="eastAsia" w:ascii="仿宋" w:hAnsi="仿宋" w:eastAsia="仿宋"/>
          <w:color w:val="000000" w:themeColor="text1"/>
          <w:sz w:val="32"/>
          <w:szCs w:val="32"/>
          <w:lang w:val="en-US" w:eastAsia="zh-CN"/>
          <w14:textFill>
            <w14:solidFill>
              <w14:schemeClr w14:val="tx1"/>
            </w14:solidFill>
          </w14:textFill>
        </w:rPr>
        <w:t>；评分10分。社会效益指标：保障冬季正常供暖，提高供暖质量，评分20分。可持续影响指标：项目使用期限15年，评分20分。满意度指标：用热户的满意度≥95%，评分10分。预算执行率：预算安排资金1600万元，拨付资金1225.61万元；，评分7.4分。存在问题原因及整改措施：由于疫情原因，财政未按计划拨付该资金，没有及时支付；下一步积极与财政沟通，申请资金及时支付。该项目自评总分95.4分。</w:t>
      </w:r>
    </w:p>
    <w:p>
      <w:pPr>
        <w:widowControl w:val="0"/>
        <w:numPr>
          <w:ilvl w:val="0"/>
          <w:numId w:val="6"/>
        </w:numPr>
        <w:wordWrap/>
        <w:spacing w:line="560" w:lineRule="exact"/>
        <w:ind w:left="0" w:leftChars="0" w:right="0" w:firstLine="640" w:firstLineChars="200"/>
        <w:textAlignment w:val="auto"/>
        <w:outlineLvl w:val="9"/>
        <w:rPr>
          <w:rFonts w:hint="eastAsia" w:ascii="仿宋" w:hAnsi="仿宋" w:eastAsia="仿宋"/>
          <w:color w:val="000000" w:themeColor="text1"/>
          <w:sz w:val="32"/>
          <w:szCs w:val="32"/>
          <w:lang w:val="en-US" w:eastAsia="zh-CN"/>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南太平河综合整治工程一期延续工程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color w:val="000000" w:themeColor="text1"/>
          <w:sz w:val="32"/>
          <w:szCs w:val="32"/>
          <w:lang w:val="en-US" w:eastAsia="zh-CN"/>
          <w14:textFill>
            <w14:solidFill>
              <w14:schemeClr w14:val="tx1"/>
            </w14:solidFill>
          </w14:textFill>
        </w:rPr>
      </w:pPr>
      <w:r>
        <w:rPr>
          <w:rFonts w:hint="default" w:ascii="仿宋" w:hAnsi="仿宋" w:eastAsia="仿宋"/>
          <w:color w:val="000000" w:themeColor="text1"/>
          <w:sz w:val="32"/>
          <w:szCs w:val="32"/>
          <w:lang w:val="en-US" w:eastAsia="zh-CN"/>
          <w14:textFill>
            <w14:solidFill>
              <w14:schemeClr w14:val="tx1"/>
            </w14:solidFill>
          </w14:textFill>
        </w:rPr>
        <w:drawing>
          <wp:anchor distT="0" distB="0" distL="114300" distR="114300" simplePos="0" relativeHeight="251660288" behindDoc="0" locked="0" layoutInCell="1" allowOverlap="1">
            <wp:simplePos x="0" y="0"/>
            <wp:positionH relativeFrom="column">
              <wp:posOffset>-19050</wp:posOffset>
            </wp:positionH>
            <wp:positionV relativeFrom="paragraph">
              <wp:posOffset>236855</wp:posOffset>
            </wp:positionV>
            <wp:extent cx="5614670" cy="2586355"/>
            <wp:effectExtent l="0" t="0" r="5080" b="4445"/>
            <wp:wrapTopAndBottom/>
            <wp:docPr id="3" name="图片 3" descr="9fc5fb2f43871f50b17176e225315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9fc5fb2f43871f50b17176e225315d2"/>
                    <pic:cNvPicPr>
                      <a:picLocks noChangeAspect="1"/>
                    </pic:cNvPicPr>
                  </pic:nvPicPr>
                  <pic:blipFill>
                    <a:blip r:embed="rId6"/>
                    <a:stretch>
                      <a:fillRect/>
                    </a:stretch>
                  </pic:blipFill>
                  <pic:spPr>
                    <a:xfrm>
                      <a:off x="0" y="0"/>
                      <a:ext cx="5614670" cy="2586355"/>
                    </a:xfrm>
                    <a:prstGeom prst="rect">
                      <a:avLst/>
                    </a:prstGeom>
                  </pic:spPr>
                </pic:pic>
              </a:graphicData>
            </a:graphic>
          </wp:anchor>
        </w:drawing>
      </w:r>
      <w:r>
        <w:rPr>
          <w:rFonts w:hint="eastAsia" w:ascii="仿宋" w:hAnsi="仿宋" w:eastAsia="仿宋"/>
          <w:color w:val="000000" w:themeColor="text1"/>
          <w:sz w:val="32"/>
          <w:szCs w:val="32"/>
          <w:lang w:val="en-US" w:eastAsia="zh-CN"/>
          <w14:textFill>
            <w14:solidFill>
              <w14:schemeClr w14:val="tx1"/>
            </w14:solidFill>
          </w14:textFill>
        </w:rPr>
        <w:t xml:space="preserve"> 数量指标；完成坝墙建设的数量大于等于1450米，实际1450米；评分9分。质量指标：验收合格率100%；评分10分。时效指标：坝墙建设的完工率100%；评分9分。成本指标：每米坝墙的平均成本4685元/米，实际成本4682元/米；评分10分。可持续影响指标：项目使用期限20年，评分38分。满意度指标：满意度调查问卷≥90%，评分10分。预算执行率：预算安排资金678.64万元，拨付资金678.64万元；，评分10分。存在问题原因及整改措施：下一步积极与财政沟通，申请资金及时支付。该项目自评总分97分。</w:t>
      </w:r>
    </w:p>
    <w:p>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 w:hAnsi="仿宋" w:eastAsia="仿宋"/>
          <w:color w:val="000000" w:themeColor="text1"/>
          <w:sz w:val="32"/>
          <w:szCs w:val="32"/>
          <w:lang w:eastAsia="zh-CN"/>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玉石路（向阳大街-石井桥）雨污水管网改造工程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color w:val="000000" w:themeColor="text1"/>
          <w:sz w:val="32"/>
          <w:szCs w:val="32"/>
          <w:lang w:val="en-US" w:eastAsia="zh-CN"/>
          <w14:textFill>
            <w14:solidFill>
              <w14:schemeClr w14:val="tx1"/>
            </w14:solidFill>
          </w14:textFill>
        </w:rPr>
      </w:pPr>
      <w:r>
        <w:rPr>
          <w:rFonts w:hint="default" w:ascii="仿宋" w:hAnsi="仿宋" w:eastAsia="仿宋"/>
          <w:color w:val="000000" w:themeColor="text1"/>
          <w:sz w:val="32"/>
          <w:szCs w:val="32"/>
          <w:lang w:val="en-US" w:eastAsia="zh-CN"/>
          <w14:textFill>
            <w14:solidFill>
              <w14:schemeClr w14:val="tx1"/>
            </w14:solidFill>
          </w14:textFill>
        </w:rPr>
        <w:drawing>
          <wp:anchor distT="0" distB="0" distL="114300" distR="114300" simplePos="0" relativeHeight="251661312" behindDoc="0" locked="0" layoutInCell="1" allowOverlap="1">
            <wp:simplePos x="0" y="0"/>
            <wp:positionH relativeFrom="column">
              <wp:posOffset>-9525</wp:posOffset>
            </wp:positionH>
            <wp:positionV relativeFrom="paragraph">
              <wp:posOffset>130175</wp:posOffset>
            </wp:positionV>
            <wp:extent cx="5606415" cy="3460750"/>
            <wp:effectExtent l="0" t="0" r="13335" b="6350"/>
            <wp:wrapTopAndBottom/>
            <wp:docPr id="4" name="图片 4" descr="6bbd7aba4d3e46f5559687012f84b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6bbd7aba4d3e46f5559687012f84b95"/>
                    <pic:cNvPicPr>
                      <a:picLocks noChangeAspect="1"/>
                    </pic:cNvPicPr>
                  </pic:nvPicPr>
                  <pic:blipFill>
                    <a:blip r:embed="rId7"/>
                    <a:stretch>
                      <a:fillRect/>
                    </a:stretch>
                  </pic:blipFill>
                  <pic:spPr>
                    <a:xfrm>
                      <a:off x="0" y="0"/>
                      <a:ext cx="5606415" cy="3460750"/>
                    </a:xfrm>
                    <a:prstGeom prst="rect">
                      <a:avLst/>
                    </a:prstGeom>
                  </pic:spPr>
                </pic:pic>
              </a:graphicData>
            </a:graphic>
          </wp:anchor>
        </w:drawing>
      </w:r>
      <w:r>
        <w:rPr>
          <w:rFonts w:hint="eastAsia" w:ascii="仿宋" w:hAnsi="仿宋" w:eastAsia="仿宋"/>
          <w:color w:val="000000" w:themeColor="text1"/>
          <w:sz w:val="32"/>
          <w:szCs w:val="32"/>
          <w:lang w:val="en-US" w:eastAsia="zh-CN"/>
          <w14:textFill>
            <w14:solidFill>
              <w14:schemeClr w14:val="tx1"/>
            </w14:solidFill>
          </w14:textFill>
        </w:rPr>
        <w:t xml:space="preserve"> 数量指标1；完成道路维修改造面积的数量8800平方米，实际8800平方米；数量指标2；完成安装排水管道安装的数量1800米，实际1800米；评分10分。质量指标：验收合格率100%；评分10分。时效指标：管网建设的按时完成率，评分10分。成本指标：道路单位成本390元/米</w:t>
      </w:r>
      <w:r>
        <w:rPr>
          <w:rFonts w:hint="eastAsia" w:ascii="仿宋" w:hAnsi="仿宋" w:eastAsia="仿宋"/>
          <w:color w:val="000000" w:themeColor="text1"/>
          <w:sz w:val="32"/>
          <w:szCs w:val="32"/>
          <w:vertAlign w:val="superscript"/>
          <w:lang w:val="en-US" w:eastAsia="zh-CN"/>
          <w14:textFill>
            <w14:solidFill>
              <w14:schemeClr w14:val="tx1"/>
            </w14:solidFill>
          </w14:textFill>
        </w:rPr>
        <w:t>2</w:t>
      </w:r>
      <w:r>
        <w:rPr>
          <w:rFonts w:hint="eastAsia" w:ascii="仿宋" w:hAnsi="仿宋" w:eastAsia="仿宋"/>
          <w:color w:val="000000" w:themeColor="text1"/>
          <w:sz w:val="32"/>
          <w:szCs w:val="32"/>
          <w:lang w:val="en-US" w:eastAsia="zh-CN"/>
          <w14:textFill>
            <w14:solidFill>
              <w14:schemeClr w14:val="tx1"/>
            </w14:solidFill>
          </w14:textFill>
        </w:rPr>
        <w:t>，实际成本378元/米</w:t>
      </w:r>
      <w:r>
        <w:rPr>
          <w:rFonts w:hint="eastAsia" w:ascii="仿宋" w:hAnsi="仿宋" w:eastAsia="仿宋"/>
          <w:color w:val="000000" w:themeColor="text1"/>
          <w:sz w:val="32"/>
          <w:szCs w:val="32"/>
          <w:vertAlign w:val="superscript"/>
          <w:lang w:val="en-US" w:eastAsia="zh-CN"/>
          <w14:textFill>
            <w14:solidFill>
              <w14:schemeClr w14:val="tx1"/>
            </w14:solidFill>
          </w14:textFill>
        </w:rPr>
        <w:t>2</w:t>
      </w:r>
      <w:r>
        <w:rPr>
          <w:rFonts w:hint="eastAsia" w:ascii="仿宋" w:hAnsi="仿宋" w:eastAsia="仿宋"/>
          <w:color w:val="000000" w:themeColor="text1"/>
          <w:sz w:val="32"/>
          <w:szCs w:val="32"/>
          <w:lang w:val="en-US" w:eastAsia="zh-CN"/>
          <w14:textFill>
            <w14:solidFill>
              <w14:schemeClr w14:val="tx1"/>
            </w14:solidFill>
          </w14:textFill>
        </w:rPr>
        <w:t>；安装雨污水管道的成本670元/延米，实际614元/延米；评分10分。社会效益指标：提升城市形象，评分20分。可持续影响指标：项目使用期限10年，评分19分。满意度指标：满意度调查问卷≥90%，评分10分。预算执行率：预算安排资金60万元，拨付资金0万元；，评分0分。存在问题原因及整改措施：由于疫情原因，财政未按计划拨付该资金，没有及时支付；下一步积极与财政沟通，申请资金及时支付。该项目自评总分88.3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default" w:ascii="仿宋" w:hAnsi="仿宋" w:eastAsia="仿宋"/>
          <w:color w:val="000000" w:themeColor="text1"/>
          <w:sz w:val="32"/>
          <w:szCs w:val="32"/>
          <w:lang w:val="en-US" w:eastAsia="zh-CN"/>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4、翠屏大街（海山大街-石柏大街）路灯及城区路灯工程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黑体" w:hAnsi="黑体" w:eastAsia="黑体"/>
          <w:color w:val="000000" w:themeColor="text1"/>
          <w:sz w:val="32"/>
          <w:szCs w:val="32"/>
          <w:lang w:eastAsia="zh-CN"/>
          <w14:textFill>
            <w14:solidFill>
              <w14:schemeClr w14:val="tx1"/>
            </w14:solidFill>
          </w14:textFill>
        </w:rPr>
      </w:pPr>
      <w:r>
        <w:rPr>
          <w:rFonts w:hint="eastAsia" w:ascii="黑体" w:hAnsi="黑体" w:eastAsia="黑体"/>
          <w:color w:val="000000" w:themeColor="text1"/>
          <w:sz w:val="32"/>
          <w:szCs w:val="32"/>
          <w:lang w:eastAsia="zh-CN"/>
          <w14:textFill>
            <w14:solidFill>
              <w14:schemeClr w14:val="tx1"/>
            </w14:solidFill>
          </w14:textFill>
        </w:rPr>
        <w:drawing>
          <wp:anchor distT="0" distB="0" distL="114300" distR="114300" simplePos="0" relativeHeight="251662336" behindDoc="0" locked="0" layoutInCell="1" allowOverlap="1">
            <wp:simplePos x="0" y="0"/>
            <wp:positionH relativeFrom="column">
              <wp:posOffset>34925</wp:posOffset>
            </wp:positionH>
            <wp:positionV relativeFrom="paragraph">
              <wp:posOffset>120650</wp:posOffset>
            </wp:positionV>
            <wp:extent cx="5610225" cy="3065780"/>
            <wp:effectExtent l="0" t="0" r="9525" b="1270"/>
            <wp:wrapTopAndBottom/>
            <wp:docPr id="5" name="图片 5" descr="e09ea420e38820b9fb64a33a7328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e09ea420e38820b9fb64a33a7328558"/>
                    <pic:cNvPicPr>
                      <a:picLocks noChangeAspect="1"/>
                    </pic:cNvPicPr>
                  </pic:nvPicPr>
                  <pic:blipFill>
                    <a:blip r:embed="rId8"/>
                    <a:stretch>
                      <a:fillRect/>
                    </a:stretch>
                  </pic:blipFill>
                  <pic:spPr>
                    <a:xfrm>
                      <a:off x="0" y="0"/>
                      <a:ext cx="5610225" cy="3065780"/>
                    </a:xfrm>
                    <a:prstGeom prst="rect">
                      <a:avLst/>
                    </a:prstGeom>
                  </pic:spPr>
                </pic:pic>
              </a:graphicData>
            </a:graphic>
          </wp:anchor>
        </w:drawing>
      </w:r>
      <w:r>
        <w:rPr>
          <w:rFonts w:hint="eastAsia" w:ascii="仿宋" w:hAnsi="仿宋" w:eastAsia="仿宋"/>
          <w:color w:val="000000" w:themeColor="text1"/>
          <w:sz w:val="32"/>
          <w:szCs w:val="32"/>
          <w:lang w:val="en-US" w:eastAsia="zh-CN"/>
          <w14:textFill>
            <w14:solidFill>
              <w14:schemeClr w14:val="tx1"/>
            </w14:solidFill>
          </w14:textFill>
        </w:rPr>
        <w:t>数量指标；完成路灯安装的数量110套，实际109套；评分10分。质量指标：验收合格率100%；评分10分。时效指标：管网建设的按时完成率，评分10分。成本指标：路灯的单价5500元/套，实际成本548 元/套；评分9.5分。社会效益指标：保障市民夜间出行安全，评分19分。可持续影响指标：项目使用期限15年，评分19.5分。满意度指标：满意度调查问卷≥90%，评分10分。预算执行率：预算安排资金60万元，拨付资金0万元；，评分0分。存在问题原因及整改措施：由于疫情原因，财政未按计划拨付该资金，没有及时支付；下一步积极与财政沟通，申请资金及时支付。该项目自评总分88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黑体" w:hAnsi="黑体" w:eastAsia="黑体"/>
          <w:color w:val="000000" w:themeColor="text1"/>
          <w:sz w:val="32"/>
          <w:szCs w:val="32"/>
          <w14:textFill>
            <w14:solidFill>
              <w14:schemeClr w14:val="tx1"/>
            </w14:solidFill>
          </w14:textFill>
        </w:rPr>
      </w:pPr>
    </w:p>
    <w:p>
      <w:pPr>
        <w:widowControl w:val="0"/>
        <w:wordWrap/>
        <w:spacing w:line="560" w:lineRule="exact"/>
        <w:ind w:left="0" w:leftChars="0" w:right="0" w:firstLine="640" w:firstLineChars="200"/>
        <w:textAlignment w:val="auto"/>
        <w:outlineLvl w:val="9"/>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四、评价结论和评价等级</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预算项目</w:t>
      </w:r>
      <w:r>
        <w:rPr>
          <w:rFonts w:hint="eastAsia" w:ascii="仿宋_GB2312" w:hAnsi="仿宋_GB2312" w:eastAsia="仿宋_GB2312" w:cs="仿宋_GB2312"/>
          <w:sz w:val="32"/>
          <w:szCs w:val="32"/>
        </w:rPr>
        <w:t>全面开展绩效自评，其中，一级项目</w:t>
      </w:r>
      <w:r>
        <w:rPr>
          <w:rFonts w:hint="default" w:ascii="仿宋_GB2312" w:hAnsi="仿宋_GB2312" w:eastAsia="仿宋_GB2312" w:cs="仿宋_GB2312"/>
          <w:sz w:val="32"/>
          <w:szCs w:val="32"/>
          <w:lang w:val="en-US"/>
        </w:rPr>
        <w:t>43</w:t>
      </w:r>
      <w:r>
        <w:rPr>
          <w:rFonts w:hint="eastAsia" w:ascii="仿宋_GB2312" w:hAnsi="仿宋_GB2312" w:eastAsia="仿宋_GB2312" w:cs="仿宋_GB2312"/>
          <w:sz w:val="32"/>
          <w:szCs w:val="32"/>
        </w:rPr>
        <w:t>个，二级项目</w:t>
      </w:r>
      <w:r>
        <w:rPr>
          <w:rFonts w:hint="default" w:ascii="仿宋_GB2312" w:hAnsi="仿宋_GB2312" w:eastAsia="仿宋_GB2312" w:cs="仿宋_GB2312"/>
          <w:sz w:val="32"/>
          <w:szCs w:val="32"/>
          <w:lang w:val="en-US"/>
        </w:rPr>
        <w:t>17</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。其中，</w:t>
      </w:r>
      <w:r>
        <w:rPr>
          <w:rFonts w:hint="eastAsia" w:ascii="仿宋_GB2312" w:hAnsi="仿宋_GB2312" w:eastAsia="仿宋_GB2312" w:cs="仿宋_GB2312"/>
          <w:sz w:val="32"/>
          <w:szCs w:val="32"/>
          <w:lang w:val="en-US" w:eastAsia="zh-CN"/>
        </w:rPr>
        <w:t>58</w:t>
      </w:r>
      <w:r>
        <w:rPr>
          <w:rFonts w:hint="eastAsia" w:ascii="仿宋_GB2312" w:hAnsi="仿宋_GB2312" w:eastAsia="仿宋_GB2312" w:cs="仿宋_GB2312"/>
          <w:sz w:val="32"/>
          <w:szCs w:val="32"/>
          <w:lang w:eastAsia="zh-CN"/>
        </w:rPr>
        <w:t>个项目评分优秀，1 个项目评分优良，</w:t>
      </w:r>
      <w:r>
        <w:rPr>
          <w:rFonts w:hint="eastAsia" w:ascii="仿宋_GB2312" w:hAnsi="仿宋_GB2312" w:eastAsia="仿宋_GB2312" w:cs="仿宋_GB2312"/>
          <w:sz w:val="32"/>
          <w:szCs w:val="32"/>
          <w:lang w:val="en-US" w:eastAsia="zh-CN"/>
        </w:rPr>
        <w:t>1个项目</w:t>
      </w:r>
      <w:r>
        <w:rPr>
          <w:rFonts w:hint="eastAsia" w:ascii="仿宋_GB2312" w:hAnsi="仿宋_GB2312" w:eastAsia="仿宋_GB2312" w:cs="仿宋_GB2312"/>
          <w:sz w:val="32"/>
          <w:szCs w:val="32"/>
          <w:lang w:eastAsia="zh-CN"/>
        </w:rPr>
        <w:t>评分较差（主城区供热主管网对接及配套泵站建设项目未实施，只进行了前期准备工作）。</w:t>
      </w:r>
    </w:p>
    <w:p>
      <w:pPr>
        <w:widowControl w:val="0"/>
        <w:wordWrap/>
        <w:spacing w:line="560" w:lineRule="exact"/>
        <w:ind w:left="0" w:leftChars="0" w:right="0" w:firstLine="640" w:firstLineChars="200"/>
        <w:textAlignment w:val="auto"/>
        <w:outlineLvl w:val="9"/>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b/>
          <w:bCs/>
          <w:color w:val="000000" w:themeColor="text1"/>
          <w:sz w:val="32"/>
          <w:szCs w:val="32"/>
          <w:lang w:eastAsia="zh-CN"/>
          <w14:textFill>
            <w14:solidFill>
              <w14:schemeClr w14:val="tx1"/>
            </w14:solidFill>
          </w14:textFill>
        </w:rPr>
      </w:pPr>
      <w:r>
        <w:rPr>
          <w:rFonts w:hint="eastAsia" w:ascii="仿宋" w:hAnsi="仿宋" w:eastAsia="仿宋"/>
          <w:b w:val="0"/>
          <w:bCs w:val="0"/>
          <w:color w:val="000000" w:themeColor="text1"/>
          <w:sz w:val="32"/>
          <w:szCs w:val="32"/>
          <w14:textFill>
            <w14:solidFill>
              <w14:schemeClr w14:val="tx1"/>
            </w14:solidFill>
          </w14:textFill>
        </w:rPr>
        <w:t>个别资金使用不及时</w:t>
      </w:r>
      <w:r>
        <w:rPr>
          <w:rFonts w:hint="eastAsia" w:ascii="仿宋" w:hAnsi="仿宋" w:eastAsia="仿宋"/>
          <w:b w:val="0"/>
          <w:bCs w:val="0"/>
          <w:color w:val="000000" w:themeColor="text1"/>
          <w:sz w:val="32"/>
          <w:szCs w:val="32"/>
          <w:lang w:eastAsia="zh-CN"/>
          <w14:textFill>
            <w14:solidFill>
              <w14:schemeClr w14:val="tx1"/>
            </w14:solidFill>
          </w14:textFill>
        </w:rPr>
        <w:t>；项目实施时机不成熟进行了谋划实施，占用了预算资金指标。</w:t>
      </w:r>
    </w:p>
    <w:p>
      <w:pPr>
        <w:widowControl w:val="0"/>
        <w:numPr>
          <w:ilvl w:val="0"/>
          <w:numId w:val="4"/>
        </w:numPr>
        <w:wordWrap/>
        <w:spacing w:line="560" w:lineRule="exact"/>
        <w:ind w:left="0" w:leftChars="0" w:right="0" w:firstLine="643" w:firstLineChars="200"/>
        <w:textAlignment w:val="auto"/>
        <w:outlineLvl w:val="9"/>
        <w:rPr>
          <w:rFonts w:hint="eastAsia" w:ascii="仿宋" w:hAnsi="仿宋" w:eastAsia="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3" w:firstLineChars="200"/>
        <w:textAlignment w:val="auto"/>
        <w:outlineLvl w:val="9"/>
        <w:rPr>
          <w:rFonts w:hint="eastAsia" w:ascii="仿宋" w:hAnsi="仿宋" w:eastAsia="仿宋"/>
          <w:b w:val="0"/>
          <w:bCs w:val="0"/>
          <w:color w:val="0000FF"/>
          <w:sz w:val="32"/>
          <w:szCs w:val="32"/>
          <w:lang w:val="en-US" w:eastAsia="zh-CN"/>
        </w:rPr>
      </w:pPr>
      <w:r>
        <w:rPr>
          <w:rFonts w:hint="eastAsia" w:ascii="仿宋" w:hAnsi="仿宋" w:eastAsia="仿宋"/>
          <w:b/>
          <w:bCs/>
          <w:color w:val="0000FF"/>
          <w:sz w:val="32"/>
          <w:szCs w:val="32"/>
          <w:lang w:val="en-US" w:eastAsia="zh-CN"/>
        </w:rPr>
        <w:t xml:space="preserve">  </w:t>
      </w:r>
      <w:r>
        <w:rPr>
          <w:rFonts w:hint="eastAsia" w:ascii="仿宋" w:hAnsi="仿宋" w:eastAsia="仿宋"/>
          <w:b w:val="0"/>
          <w:bCs w:val="0"/>
          <w:color w:val="000000" w:themeColor="text1"/>
          <w:sz w:val="32"/>
          <w:szCs w:val="32"/>
          <w:lang w:val="en-US" w:eastAsia="zh-CN"/>
          <w14:textFill>
            <w14:solidFill>
              <w14:schemeClr w14:val="tx1"/>
            </w14:solidFill>
          </w14:textFill>
        </w:rPr>
        <w:t>按规定合理安排资金使用，项目谋划要客观实际，确保能够实施。</w:t>
      </w:r>
    </w:p>
    <w:p>
      <w:pPr>
        <w:widowControl w:val="0"/>
        <w:numPr>
          <w:ilvl w:val="0"/>
          <w:numId w:val="7"/>
        </w:numPr>
        <w:wordWrap/>
        <w:adjustRightInd w:val="0"/>
        <w:snapToGrid w:val="0"/>
        <w:spacing w:line="560" w:lineRule="exact"/>
        <w:ind w:left="0" w:leftChars="0" w:right="0" w:firstLine="640" w:firstLineChars="200"/>
        <w:textAlignment w:val="auto"/>
        <w:outlineLvl w:val="9"/>
        <w:rPr>
          <w:rFonts w:hint="eastAsia" w:ascii="黑体" w:hAnsi="黑体" w:eastAsia="黑体" w:cs="黑体"/>
          <w:color w:val="auto"/>
          <w:sz w:val="32"/>
          <w:szCs w:val="32"/>
        </w:rPr>
      </w:pPr>
      <w:r>
        <w:rPr>
          <w:rFonts w:hint="eastAsia" w:ascii="黑体" w:hAnsi="黑体" w:eastAsia="黑体" w:cs="黑体"/>
          <w:color w:val="auto"/>
          <w:sz w:val="32"/>
          <w:szCs w:val="32"/>
        </w:rPr>
        <w:t>评价工作组人员</w:t>
      </w:r>
    </w:p>
    <w:p>
      <w:pPr>
        <w:widowControl w:val="0"/>
        <w:numPr>
          <w:numId w:val="0"/>
        </w:numPr>
        <w:wordWrap/>
        <w:adjustRightInd w:val="0"/>
        <w:snapToGrid w:val="0"/>
        <w:spacing w:line="560" w:lineRule="exact"/>
        <w:ind w:leftChars="200" w:right="0" w:rightChars="0"/>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 xml:space="preserve">  组长：刘英杰   主任</w:t>
      </w:r>
    </w:p>
    <w:p>
      <w:pPr>
        <w:widowControl w:val="0"/>
        <w:numPr>
          <w:numId w:val="0"/>
        </w:numPr>
        <w:wordWrap/>
        <w:adjustRightInd w:val="0"/>
        <w:snapToGrid w:val="0"/>
        <w:spacing w:line="560" w:lineRule="exact"/>
        <w:ind w:leftChars="200" w:right="0" w:rightChars="0"/>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 xml:space="preserve">  副组长： 刘  猛    副主任   王永丽    副主任</w:t>
      </w:r>
    </w:p>
    <w:p>
      <w:pPr>
        <w:widowControl w:val="0"/>
        <w:numPr>
          <w:numId w:val="0"/>
        </w:numPr>
        <w:wordWrap/>
        <w:adjustRightInd w:val="0"/>
        <w:snapToGrid w:val="0"/>
        <w:spacing w:line="560" w:lineRule="exact"/>
        <w:ind w:leftChars="200" w:right="0" w:rightChars="0"/>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 xml:space="preserve">           杜彦章    副主任   张  彬    副主任</w:t>
      </w:r>
    </w:p>
    <w:p>
      <w:pPr>
        <w:widowControl w:val="0"/>
        <w:numPr>
          <w:numId w:val="0"/>
        </w:numPr>
        <w:wordWrap/>
        <w:adjustRightInd w:val="0"/>
        <w:snapToGrid w:val="0"/>
        <w:spacing w:line="560" w:lineRule="exact"/>
        <w:ind w:leftChars="200" w:right="0" w:rightChars="0"/>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 xml:space="preserve">           封惠贞    副主任</w:t>
      </w:r>
    </w:p>
    <w:p>
      <w:pPr>
        <w:widowControl w:val="0"/>
        <w:numPr>
          <w:numId w:val="0"/>
        </w:numPr>
        <w:wordWrap/>
        <w:adjustRightInd w:val="0"/>
        <w:snapToGrid w:val="0"/>
        <w:spacing w:line="560" w:lineRule="exact"/>
        <w:ind w:leftChars="200" w:right="0" w:rightChars="0"/>
        <w:textAlignment w:val="auto"/>
        <w:outlineLvl w:val="9"/>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 xml:space="preserve"> 小组成员：各项目股室负责人</w:t>
      </w:r>
      <w:bookmarkStart w:id="2" w:name="_GoBack"/>
      <w:bookmarkEnd w:id="2"/>
    </w:p>
    <w:p>
      <w:pPr>
        <w:widowControl w:val="0"/>
        <w:numPr>
          <w:numId w:val="0"/>
        </w:numPr>
        <w:wordWrap/>
        <w:adjustRightInd w:val="0"/>
        <w:snapToGrid w:val="0"/>
        <w:spacing w:line="560" w:lineRule="exact"/>
        <w:ind w:leftChars="200" w:right="0" w:rightChars="0"/>
        <w:textAlignment w:val="auto"/>
        <w:outlineLvl w:val="9"/>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 xml:space="preserve">        </w:t>
      </w:r>
    </w:p>
    <w:p>
      <w:pPr>
        <w:widowControl w:val="0"/>
        <w:wordWrap/>
        <w:spacing w:line="560" w:lineRule="exact"/>
        <w:ind w:left="0" w:leftChars="0" w:right="0"/>
        <w:textAlignment w:val="auto"/>
        <w:outlineLvl w:val="9"/>
        <w:rPr>
          <w:rFonts w:ascii="仿宋" w:hAnsi="仿宋" w:eastAsia="仿宋"/>
          <w:color w:val="0000FF"/>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FFE218"/>
    <w:multiLevelType w:val="singleLevel"/>
    <w:tmpl w:val="90FFE218"/>
    <w:lvl w:ilvl="0" w:tentative="0">
      <w:start w:val="2"/>
      <w:numFmt w:val="chineseCounting"/>
      <w:suff w:val="nothing"/>
      <w:lvlText w:val="（%1）"/>
      <w:lvlJc w:val="left"/>
      <w:rPr>
        <w:rFonts w:hint="eastAsia"/>
      </w:rPr>
    </w:lvl>
  </w:abstractNum>
  <w:abstractNum w:abstractNumId="1">
    <w:nsid w:val="CBBEE24A"/>
    <w:multiLevelType w:val="singleLevel"/>
    <w:tmpl w:val="CBBEE24A"/>
    <w:lvl w:ilvl="0" w:tentative="0">
      <w:start w:val="6"/>
      <w:numFmt w:val="chineseCounting"/>
      <w:suff w:val="nothing"/>
      <w:lvlText w:val="%1、"/>
      <w:lvlJc w:val="left"/>
      <w:rPr>
        <w:rFonts w:hint="eastAsia"/>
      </w:rPr>
    </w:lvl>
  </w:abstractNum>
  <w:abstractNum w:abstractNumId="2">
    <w:nsid w:val="D15B60DA"/>
    <w:multiLevelType w:val="singleLevel"/>
    <w:tmpl w:val="D15B60DA"/>
    <w:lvl w:ilvl="0" w:tentative="0">
      <w:start w:val="1"/>
      <w:numFmt w:val="decimal"/>
      <w:suff w:val="nothing"/>
      <w:lvlText w:val="%1、"/>
      <w:lvlJc w:val="left"/>
    </w:lvl>
  </w:abstractNum>
  <w:abstractNum w:abstractNumId="3">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4">
    <w:nsid w:val="0E6611E8"/>
    <w:multiLevelType w:val="singleLevel"/>
    <w:tmpl w:val="0E6611E8"/>
    <w:lvl w:ilvl="0" w:tentative="0">
      <w:start w:val="2"/>
      <w:numFmt w:val="decimal"/>
      <w:suff w:val="nothing"/>
      <w:lvlText w:val="%1、"/>
      <w:lvlJc w:val="left"/>
    </w:lvl>
  </w:abstractNum>
  <w:abstractNum w:abstractNumId="5">
    <w:nsid w:val="5D135AAC"/>
    <w:multiLevelType w:val="multilevel"/>
    <w:tmpl w:val="5D135AAC"/>
    <w:lvl w:ilvl="0" w:tentative="0">
      <w:start w:val="6"/>
      <w:numFmt w:val="decimal"/>
      <w:lvlText w:val="%1、"/>
      <w:lvlJc w:val="left"/>
      <w:pPr>
        <w:ind w:left="1360" w:hanging="720"/>
      </w:pPr>
      <w:rPr>
        <w:rFonts w:hint="default"/>
        <w:sz w:val="32"/>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6">
    <w:nsid w:val="5E68489B"/>
    <w:multiLevelType w:val="singleLevel"/>
    <w:tmpl w:val="5E68489B"/>
    <w:lvl w:ilvl="0" w:tentative="0">
      <w:start w:val="1"/>
      <w:numFmt w:val="chineseCounting"/>
      <w:suff w:val="nothing"/>
      <w:lvlText w:val="（%1）"/>
      <w:lvlJc w:val="left"/>
    </w:lvl>
  </w:abstractNum>
  <w:num w:numId="1">
    <w:abstractNumId w:val="5"/>
  </w:num>
  <w:num w:numId="2">
    <w:abstractNumId w:val="0"/>
  </w:num>
  <w:num w:numId="3">
    <w:abstractNumId w:val="3"/>
  </w:num>
  <w:num w:numId="4">
    <w:abstractNumId w:val="6"/>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iYzE4Mjg0ZDA0OTEzZTkyNmQ4NTBmNmM0NDk3MzMifQ=="/>
  </w:docVars>
  <w:rsids>
    <w:rsidRoot w:val="0EBD2122"/>
    <w:rsid w:val="007E6C1F"/>
    <w:rsid w:val="00AF566A"/>
    <w:rsid w:val="00B6553A"/>
    <w:rsid w:val="00FB43B2"/>
    <w:rsid w:val="01B104CA"/>
    <w:rsid w:val="02106AB0"/>
    <w:rsid w:val="02B43A28"/>
    <w:rsid w:val="046F331E"/>
    <w:rsid w:val="07493A9B"/>
    <w:rsid w:val="07956271"/>
    <w:rsid w:val="083228E2"/>
    <w:rsid w:val="09721397"/>
    <w:rsid w:val="0BB63BED"/>
    <w:rsid w:val="0EB97A43"/>
    <w:rsid w:val="0EBD2122"/>
    <w:rsid w:val="0F214EAE"/>
    <w:rsid w:val="11B71E6A"/>
    <w:rsid w:val="13026051"/>
    <w:rsid w:val="1AAF0063"/>
    <w:rsid w:val="1BE140DE"/>
    <w:rsid w:val="23147A35"/>
    <w:rsid w:val="23FE383A"/>
    <w:rsid w:val="248C197D"/>
    <w:rsid w:val="252959AF"/>
    <w:rsid w:val="277A6671"/>
    <w:rsid w:val="292D35B7"/>
    <w:rsid w:val="2A265899"/>
    <w:rsid w:val="2A594280"/>
    <w:rsid w:val="2B242084"/>
    <w:rsid w:val="33EB6CFF"/>
    <w:rsid w:val="350B6A67"/>
    <w:rsid w:val="35A12947"/>
    <w:rsid w:val="37387040"/>
    <w:rsid w:val="3B625C0A"/>
    <w:rsid w:val="3CAD7013"/>
    <w:rsid w:val="3CEE1963"/>
    <w:rsid w:val="404D3B10"/>
    <w:rsid w:val="41146C46"/>
    <w:rsid w:val="434C1041"/>
    <w:rsid w:val="47A515CF"/>
    <w:rsid w:val="4A3F6969"/>
    <w:rsid w:val="4C9C27FE"/>
    <w:rsid w:val="501C7BC1"/>
    <w:rsid w:val="512260B4"/>
    <w:rsid w:val="52BD6ACB"/>
    <w:rsid w:val="548B1642"/>
    <w:rsid w:val="55537534"/>
    <w:rsid w:val="561A74F1"/>
    <w:rsid w:val="57AE17D3"/>
    <w:rsid w:val="597244E8"/>
    <w:rsid w:val="59EF13A9"/>
    <w:rsid w:val="5B141994"/>
    <w:rsid w:val="5E133285"/>
    <w:rsid w:val="5EB71C30"/>
    <w:rsid w:val="62300B8C"/>
    <w:rsid w:val="624176D4"/>
    <w:rsid w:val="64C8789E"/>
    <w:rsid w:val="66AF0CE5"/>
    <w:rsid w:val="6AC537CF"/>
    <w:rsid w:val="6E5B14A6"/>
    <w:rsid w:val="6F425282"/>
    <w:rsid w:val="70534397"/>
    <w:rsid w:val="711B255E"/>
    <w:rsid w:val="7317199D"/>
    <w:rsid w:val="760A7E39"/>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5</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2023-10-23T01:35:38Z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0F34C12086264FC9836416CF09891BE1</vt:lpwstr>
  </property>
</Properties>
</file>