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9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before="43" w:line="219" w:lineRule="auto"/>
        <w:ind w:left="1283" w:firstLine="888" w:firstLineChars="200"/>
        <w:outlineLvl w:val="0"/>
        <w:rPr>
          <w:rFonts w:hint="eastAsia" w:ascii="宋体" w:hAnsi="宋体" w:eastAsia="宋体" w:cs="宋体"/>
          <w:spacing w:val="7"/>
          <w:sz w:val="43"/>
          <w:szCs w:val="43"/>
          <w:lang w:eastAsia="zh-CN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hint="eastAsia" w:ascii="宋体" w:hAnsi="宋体" w:eastAsia="宋体" w:cs="宋体"/>
          <w:spacing w:val="7"/>
          <w:sz w:val="43"/>
          <w:szCs w:val="43"/>
          <w:lang w:eastAsia="zh-CN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石家庄市鹿泉区行政审批局</w:t>
      </w:r>
    </w:p>
    <w:p>
      <w:pPr>
        <w:spacing w:before="43" w:line="219" w:lineRule="auto"/>
        <w:ind w:left="1283" w:firstLine="444" w:firstLineChars="100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spacing w:val="7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202</w:t>
      </w:r>
      <w:r>
        <w:rPr>
          <w:rFonts w:hint="eastAsia" w:ascii="宋体" w:hAnsi="宋体" w:eastAsia="宋体" w:cs="宋体"/>
          <w:spacing w:val="7"/>
          <w:sz w:val="43"/>
          <w:szCs w:val="43"/>
          <w:lang w:val="en-US" w:eastAsia="zh-CN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2</w:t>
      </w:r>
      <w:r>
        <w:rPr>
          <w:rFonts w:ascii="宋体" w:hAnsi="宋体" w:eastAsia="宋体" w:cs="宋体"/>
          <w:spacing w:val="-85"/>
          <w:sz w:val="43"/>
          <w:szCs w:val="43"/>
        </w:rPr>
        <w:t xml:space="preserve"> </w:t>
      </w:r>
      <w:r>
        <w:rPr>
          <w:rFonts w:ascii="宋体" w:hAnsi="宋体" w:eastAsia="宋体" w:cs="宋体"/>
          <w:spacing w:val="7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年度整体支出绩效自评报告</w:t>
      </w:r>
    </w:p>
    <w:p>
      <w:pPr>
        <w:spacing w:line="307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pStyle w:val="2"/>
        <w:spacing w:before="101" w:line="333" w:lineRule="auto"/>
        <w:ind w:left="3" w:right="2" w:firstLine="649"/>
        <w:jc w:val="both"/>
      </w:pPr>
      <w:r>
        <w:rPr>
          <w:spacing w:val="4"/>
        </w:rPr>
        <w:t>贯彻落实石家庄市鹿泉区人民政府《关于全面实施预算绩效</w:t>
      </w:r>
      <w:r>
        <w:rPr>
          <w:spacing w:val="15"/>
        </w:rPr>
        <w:t xml:space="preserve"> </w:t>
      </w:r>
      <w:r>
        <w:t>管理的实施意见》（鹿发</w:t>
      </w:r>
      <w:r>
        <w:rPr>
          <w:rFonts w:ascii="宋体" w:hAnsi="宋体" w:eastAsia="宋体" w:cs="宋体"/>
        </w:rPr>
        <w:t>（</w:t>
      </w:r>
      <w:r>
        <w:rPr>
          <w:rFonts w:ascii="宋体" w:hAnsi="宋体" w:eastAsia="宋体" w:cs="宋体"/>
          <w:spacing w:val="-20"/>
        </w:rPr>
        <w:t xml:space="preserve"> </w:t>
      </w:r>
      <w:r>
        <w:t>2019</w:t>
      </w:r>
      <w:r>
        <w:rPr>
          <w:rFonts w:ascii="宋体" w:hAnsi="宋体" w:eastAsia="宋体" w:cs="宋体"/>
        </w:rPr>
        <w:t>﹞</w:t>
      </w:r>
      <w:r>
        <w:t>8</w:t>
      </w:r>
      <w:r>
        <w:rPr>
          <w:spacing w:val="-42"/>
        </w:rPr>
        <w:t xml:space="preserve"> </w:t>
      </w:r>
      <w:r>
        <w:t>号）文件精神，遵循</w:t>
      </w:r>
      <w:r>
        <w:rPr>
          <w:spacing w:val="-99"/>
        </w:rPr>
        <w:t xml:space="preserve"> </w:t>
      </w:r>
      <w:r>
        <w:t xml:space="preserve">“科学 </w:t>
      </w:r>
      <w:r>
        <w:rPr>
          <w:spacing w:val="5"/>
        </w:rPr>
        <w:t>性、规范性、客观性和公正性”的原则，</w:t>
      </w:r>
      <w:r>
        <w:rPr>
          <w:rFonts w:hint="eastAsia"/>
          <w:spacing w:val="5"/>
          <w:lang w:eastAsia="zh-CN"/>
        </w:rPr>
        <w:t>石家庄市鹿泉区行政审批局</w:t>
      </w:r>
      <w:r>
        <w:rPr>
          <w:spacing w:val="9"/>
        </w:rPr>
        <w:t>对</w:t>
      </w:r>
      <w:r>
        <w:rPr>
          <w:spacing w:val="-46"/>
        </w:rPr>
        <w:t xml:space="preserve"> </w:t>
      </w:r>
      <w:r>
        <w:rPr>
          <w:spacing w:val="9"/>
        </w:rPr>
        <w:t>202</w:t>
      </w:r>
      <w:r>
        <w:rPr>
          <w:rFonts w:hint="eastAsia"/>
          <w:spacing w:val="9"/>
          <w:lang w:val="en-US" w:eastAsia="zh-CN"/>
        </w:rPr>
        <w:t>2</w:t>
      </w:r>
      <w:r>
        <w:rPr>
          <w:spacing w:val="-58"/>
        </w:rPr>
        <w:t xml:space="preserve"> </w:t>
      </w:r>
      <w:r>
        <w:rPr>
          <w:spacing w:val="9"/>
        </w:rPr>
        <w:t>年整体支出情况实施了财政支出</w:t>
      </w:r>
      <w:r>
        <w:rPr>
          <w:spacing w:val="8"/>
        </w:rPr>
        <w:t>绩效自评价，形成</w:t>
      </w:r>
    </w:p>
    <w:p>
      <w:pPr>
        <w:pStyle w:val="2"/>
        <w:spacing w:line="222" w:lineRule="auto"/>
        <w:ind w:left="2"/>
      </w:pPr>
      <w:r>
        <w:rPr>
          <w:spacing w:val="5"/>
        </w:rPr>
        <w:t>本评价报告。</w:t>
      </w:r>
    </w:p>
    <w:p>
      <w:pPr>
        <w:spacing w:before="186" w:line="561" w:lineRule="exact"/>
        <w:ind w:left="648"/>
        <w:rPr>
          <w:rFonts w:ascii="仿宋" w:hAnsi="仿宋" w:eastAsia="仿宋" w:cs="仿宋"/>
          <w:b/>
          <w:bCs/>
          <w:snapToGrid w:val="0"/>
          <w:color w:val="000000"/>
          <w:spacing w:val="4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b/>
          <w:bCs/>
          <w:snapToGrid w:val="0"/>
          <w:color w:val="000000"/>
          <w:spacing w:val="4"/>
          <w:kern w:val="0"/>
          <w:sz w:val="31"/>
          <w:szCs w:val="31"/>
          <w:lang w:val="en-US" w:eastAsia="en-US" w:bidi="ar-SA"/>
        </w:rPr>
        <w:t>一、部门基本情况</w:t>
      </w:r>
    </w:p>
    <w:p>
      <w:pPr>
        <w:ind w:firstLine="640"/>
        <w:rPr>
          <w:rFonts w:ascii="仿宋" w:hAnsi="仿宋" w:eastAsia="仿宋" w:cs="仿宋"/>
          <w:snapToGrid w:val="0"/>
          <w:color w:val="000000"/>
          <w:spacing w:val="9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</w:t>
      </w:r>
      <w:r>
        <w:rPr>
          <w:rFonts w:hint="eastAsia" w:ascii="仿宋" w:hAnsi="仿宋" w:eastAsia="仿宋" w:cs="仿宋"/>
          <w:snapToGrid w:val="0"/>
          <w:color w:val="000000"/>
          <w:spacing w:val="9"/>
          <w:kern w:val="0"/>
          <w:sz w:val="31"/>
          <w:szCs w:val="31"/>
          <w:lang w:val="en-US" w:eastAsia="en-US" w:bidi="ar-SA"/>
        </w:rPr>
        <w:t>一）贯彻落实党中央、国务院和省委省政府、市委市政府、区委区政府关于推进政府职能转变和“放管服”改革、行政审批制度改革、政务服务管理、公共资源交易管理、社会信用体系建设有关方针政策和法律法规。起草制定有关政策措施并组织实施。承担区政府推进政府职能转变和“放管服”改革协调小组办公室的日常工作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（二）负责规范全区行政审批行为，创新和完善相关工作体制机制。推进简政放权，清理和规范各类行政许可等管理事项；承担区行政审批制度改革工作领导小组办公室日常工作。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三）负责公共资源交易监督管理工作。拟订全区公共资源交易管理制度和规则并组织实施，编制公共资源交易目录，建设、管理全省统一的公共资源交易电子服务系统，推进公共资源交易领域信用体系建设；负责监督区本级公共资源交易项目进场交易，并对场内交易活动进行监督，将发现的违法违规问题移送有关部门处理；协调开展区本级公共资源交易活动的联动执法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（四）负责投资项目、商事登记、市场服务、文教体卫、社会事务、住建交通、生态环境、安全生产、农林畜水、经贸商务、城市管理等方面行政审批事项的办理及相关行政性收费，并承担相应的法律责任。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（五）负责协调派驻部门行政审批事项的办理工作，规范、管理和监督派驻部门行政审批行为。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（六）负责对行政审批、政务服务事项流程进行规范和优化，推进审批服务便民化、标准化建设。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七）会同有关部门，做好行政审批、政务服务、公共资源交易监督、政务服务平台建设，推行政务服务事项网上办理，形成管理机构、实体大厅、网上平台“三位一体”的政务服务管理模式；推行全区电子证照库建设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八）负责全区社会信用体系建设。拟订社会信用体系发展规划和年度工作要点；推动健全信用法规制度和标准体系；负责信用信息数据库建设，配合有关部门做好数据共享平台和网站建设，推动信用信息的汇聚、交换、共享和应用；组织实施守信联合激励和失信联合惩罚制度建设，建立诚信综合监督体系；组织开展失信问题专项治理；加强城市信用建设，培育和发展信用服务市场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（九）负责对全区行政审批、政务服务行为进行监督检查，对窗口工作人员进行日常管理、教育培训和检查考核。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（十）负责区直部门已划转行政许可事项涉及的现场勘验、审图、联合验收等工作。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（十一）负责行政审批信息化工作，区级行政审批信息资料的保管、整理、统计、编目和定期检查工作。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（十二）指导各乡镇和经济开发区的行政审批工作。</w:t>
      </w:r>
    </w:p>
    <w:p>
      <w:pPr>
        <w:wordWrap w:val="0"/>
        <w:topLinePunct/>
        <w:spacing w:line="578" w:lineRule="exact"/>
        <w:ind w:firstLine="640" w:firstLineChars="200"/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（十三）完成区委、区政府交办的其他任务。</w:t>
      </w:r>
    </w:p>
    <w:p>
      <w:pPr>
        <w:pStyle w:val="6"/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</w:p>
    <w:p>
      <w:pPr>
        <w:pStyle w:val="2"/>
        <w:spacing w:before="186" w:line="222" w:lineRule="auto"/>
      </w:pPr>
      <w:r>
        <w:rPr>
          <w:spacing w:val="6"/>
        </w:rPr>
        <w:t>2、组织机构及人员</w:t>
      </w:r>
    </w:p>
    <w:p>
      <w:pPr>
        <w:spacing w:before="162" w:line="227" w:lineRule="auto"/>
        <w:ind w:left="327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部门机构设置情况</w:t>
      </w:r>
    </w:p>
    <w:p>
      <w:pPr>
        <w:spacing w:line="89" w:lineRule="exact"/>
      </w:pPr>
    </w:p>
    <w:tbl>
      <w:tblPr>
        <w:tblStyle w:val="5"/>
        <w:tblW w:w="906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90"/>
        <w:gridCol w:w="1941"/>
        <w:gridCol w:w="2263"/>
        <w:gridCol w:w="227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2590" w:type="dxa"/>
            <w:vAlign w:val="top"/>
          </w:tcPr>
          <w:p>
            <w:pPr>
              <w:spacing w:before="166" w:line="222" w:lineRule="auto"/>
              <w:ind w:left="710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5"/>
                <w:sz w:val="30"/>
                <w:szCs w:val="30"/>
              </w:rPr>
              <w:t>单位名称</w:t>
            </w:r>
          </w:p>
        </w:tc>
        <w:tc>
          <w:tcPr>
            <w:tcW w:w="1941" w:type="dxa"/>
            <w:vAlign w:val="top"/>
          </w:tcPr>
          <w:p>
            <w:pPr>
              <w:spacing w:before="167" w:line="222" w:lineRule="auto"/>
              <w:ind w:left="383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5"/>
                <w:sz w:val="30"/>
                <w:szCs w:val="30"/>
              </w:rPr>
              <w:t>单位性质</w:t>
            </w:r>
          </w:p>
        </w:tc>
        <w:tc>
          <w:tcPr>
            <w:tcW w:w="2263" w:type="dxa"/>
            <w:vAlign w:val="top"/>
          </w:tcPr>
          <w:p>
            <w:pPr>
              <w:spacing w:before="167" w:line="222" w:lineRule="auto"/>
              <w:ind w:left="546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5"/>
                <w:sz w:val="30"/>
                <w:szCs w:val="30"/>
              </w:rPr>
              <w:t>单位规格</w:t>
            </w:r>
          </w:p>
        </w:tc>
        <w:tc>
          <w:tcPr>
            <w:tcW w:w="2271" w:type="dxa"/>
            <w:vAlign w:val="top"/>
          </w:tcPr>
          <w:p>
            <w:pPr>
              <w:spacing w:before="166" w:line="223" w:lineRule="auto"/>
              <w:ind w:left="247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经费保障形式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7" w:hRule="atLeast"/>
        </w:trPr>
        <w:tc>
          <w:tcPr>
            <w:tcW w:w="2590" w:type="dxa"/>
            <w:vAlign w:val="top"/>
          </w:tcPr>
          <w:p>
            <w:pPr>
              <w:spacing w:line="217" w:lineRule="auto"/>
              <w:ind w:left="119"/>
              <w:rPr>
                <w:rFonts w:hint="eastAsia" w:ascii="仿宋_GB2312" w:hAnsi="Calibri" w:eastAsia="仿宋_GB2312" w:cs="ArialUnicodeMS"/>
                <w:kern w:val="0"/>
                <w:sz w:val="28"/>
                <w:szCs w:val="28"/>
                <w:lang w:eastAsia="zh-CN"/>
              </w:rPr>
            </w:pPr>
          </w:p>
          <w:p>
            <w:pPr>
              <w:spacing w:line="217" w:lineRule="auto"/>
              <w:ind w:left="119"/>
              <w:rPr>
                <w:rFonts w:hint="eastAsia" w:ascii="仿宋_GB2312" w:hAnsi="Calibri" w:eastAsia="仿宋_GB2312" w:cs="ArialUnicodeMS"/>
                <w:kern w:val="0"/>
                <w:sz w:val="28"/>
                <w:szCs w:val="28"/>
                <w:lang w:eastAsia="zh-CN"/>
              </w:rPr>
            </w:pPr>
          </w:p>
          <w:p>
            <w:pPr>
              <w:spacing w:line="217" w:lineRule="auto"/>
              <w:ind w:left="11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_GB2312" w:hAnsi="Calibri" w:eastAsia="仿宋_GB2312" w:cs="ArialUnicodeMS"/>
                <w:kern w:val="0"/>
                <w:sz w:val="28"/>
                <w:szCs w:val="28"/>
                <w:lang w:eastAsia="zh-CN"/>
              </w:rPr>
              <w:t>石家庄市鹿泉区行政审批局</w:t>
            </w:r>
            <w:r>
              <w:rPr>
                <w:rFonts w:hint="eastAsia" w:ascii="仿宋_GB2312" w:hAnsi="Calibri" w:eastAsia="仿宋_GB2312" w:cs="Arial Black"/>
                <w:kern w:val="0"/>
                <w:sz w:val="28"/>
                <w:szCs w:val="28"/>
              </w:rPr>
              <w:t>(本级)</w:t>
            </w:r>
          </w:p>
        </w:tc>
        <w:tc>
          <w:tcPr>
            <w:tcW w:w="1941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before="97" w:line="216" w:lineRule="auto"/>
              <w:ind w:left="675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6"/>
                <w:sz w:val="30"/>
                <w:szCs w:val="30"/>
              </w:rPr>
              <w:t>行政</w:t>
            </w:r>
          </w:p>
        </w:tc>
        <w:tc>
          <w:tcPr>
            <w:tcW w:w="2263" w:type="dxa"/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before="97" w:line="217" w:lineRule="auto"/>
              <w:ind w:left="248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正科（乡）级</w:t>
            </w:r>
          </w:p>
        </w:tc>
        <w:tc>
          <w:tcPr>
            <w:tcW w:w="2271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before="98" w:line="218" w:lineRule="auto"/>
              <w:ind w:left="547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4"/>
                <w:sz w:val="30"/>
                <w:szCs w:val="30"/>
              </w:rPr>
              <w:t>财政拨款</w:t>
            </w:r>
          </w:p>
        </w:tc>
      </w:tr>
    </w:tbl>
    <w:p>
      <w:pPr>
        <w:spacing w:before="187" w:line="221" w:lineRule="auto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</w:rPr>
        <w:t>（</w:t>
      </w:r>
      <w:r>
        <w:rPr>
          <w:rFonts w:ascii="楷体" w:hAnsi="楷体" w:eastAsia="楷体" w:cs="楷体"/>
          <w:spacing w:val="-8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4"/>
          <w:sz w:val="31"/>
          <w:szCs w:val="31"/>
        </w:rPr>
        <w:t>二）部门收支预决算情况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ascii="仿宋_GB2312" w:hAnsi="宋体" w:eastAsia="仿宋_GB2312" w:cs="仿宋_GB2312"/>
          <w:snapToGrid w:val="0"/>
          <w:color w:val="000000"/>
          <w:kern w:val="0"/>
          <w:sz w:val="31"/>
          <w:szCs w:val="31"/>
          <w:lang w:val="en-US" w:eastAsia="zh-CN" w:bidi="ar"/>
        </w:rPr>
        <w:t xml:space="preserve">本部门 2022 年度收、支总计（含结转和结余）1979.88 万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snapToGrid w:val="0"/>
          <w:color w:val="000000"/>
          <w:kern w:val="0"/>
          <w:sz w:val="31"/>
          <w:szCs w:val="31"/>
          <w:lang w:val="en-US" w:eastAsia="zh-CN" w:bidi="ar"/>
        </w:rPr>
        <w:t xml:space="preserve">元。与 2021 年度决算相比，收入支出各减少 253.95 万元，下降 </w:t>
      </w:r>
    </w:p>
    <w:p>
      <w:pPr>
        <w:keepNext w:val="0"/>
        <w:keepLines w:val="0"/>
        <w:widowControl/>
        <w:suppressLineNumbers w:val="0"/>
        <w:jc w:val="left"/>
        <w:rPr>
          <w:rFonts w:hint="eastAsia"/>
          <w:spacing w:val="6"/>
          <w:lang w:eastAsia="zh-CN"/>
        </w:rPr>
      </w:pPr>
      <w:r>
        <w:rPr>
          <w:rFonts w:hint="eastAsia" w:ascii="仿宋_GB2312" w:hAnsi="宋体" w:eastAsia="仿宋_GB2312" w:cs="仿宋_GB2312"/>
          <w:snapToGrid w:val="0"/>
          <w:color w:val="000000"/>
          <w:kern w:val="0"/>
          <w:sz w:val="31"/>
          <w:szCs w:val="31"/>
          <w:lang w:val="en-US" w:eastAsia="zh-CN" w:bidi="ar"/>
        </w:rPr>
        <w:t>11.4%，</w:t>
      </w:r>
      <w:r>
        <w:rPr>
          <w:rFonts w:ascii="仿宋_GB2312" w:hAnsi="宋体" w:eastAsia="仿宋_GB2312" w:cs="仿宋_GB2312"/>
          <w:snapToGrid w:val="0"/>
          <w:color w:val="000000"/>
          <w:kern w:val="0"/>
          <w:sz w:val="31"/>
          <w:szCs w:val="31"/>
          <w:lang w:val="en-US" w:eastAsia="zh-CN" w:bidi="ar"/>
        </w:rPr>
        <w:t>主要原因是其他收入减少</w:t>
      </w:r>
      <w:r>
        <w:rPr>
          <w:rFonts w:hint="eastAsia"/>
          <w:spacing w:val="6"/>
          <w:lang w:eastAsia="zh-CN"/>
        </w:rPr>
        <w:t>。</w:t>
      </w:r>
    </w:p>
    <w:p>
      <w:pPr>
        <w:spacing w:before="189" w:line="221" w:lineRule="auto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9"/>
          <w:sz w:val="31"/>
          <w:szCs w:val="31"/>
        </w:rPr>
        <w:t>三）部门整体支出绩效目标、指标</w:t>
      </w:r>
    </w:p>
    <w:p>
      <w:pPr>
        <w:pStyle w:val="2"/>
        <w:spacing w:before="192" w:line="333" w:lineRule="auto"/>
        <w:ind w:right="78"/>
        <w:rPr>
          <w:rFonts w:hint="eastAsia"/>
          <w:spacing w:val="6"/>
          <w:lang w:eastAsia="zh-CN"/>
        </w:rPr>
      </w:pPr>
      <w:r>
        <w:rPr>
          <w:spacing w:val="7"/>
        </w:rPr>
        <w:t>1.</w:t>
      </w:r>
      <w:r>
        <w:rPr>
          <w:rFonts w:hint="eastAsia"/>
          <w:spacing w:val="7"/>
          <w:lang w:val="en-US" w:eastAsia="zh-CN"/>
        </w:rPr>
        <w:t xml:space="preserve"> </w:t>
      </w:r>
      <w:r>
        <w:t>2</w:t>
      </w:r>
      <w:r>
        <w:rPr>
          <w:rFonts w:hint="eastAsia"/>
          <w:spacing w:val="6"/>
          <w:lang w:eastAsia="zh-CN"/>
        </w:rPr>
        <w:t>02</w:t>
      </w:r>
      <w:r>
        <w:rPr>
          <w:rFonts w:hint="eastAsia"/>
          <w:spacing w:val="6"/>
          <w:lang w:val="en-US" w:eastAsia="zh-CN"/>
        </w:rPr>
        <w:t>2</w:t>
      </w:r>
      <w:r>
        <w:rPr>
          <w:rFonts w:hint="eastAsia"/>
          <w:spacing w:val="6"/>
          <w:lang w:eastAsia="zh-CN"/>
        </w:rPr>
        <w:t>年办公楼租赁费（1-4层）</w:t>
      </w:r>
    </w:p>
    <w:p>
      <w:pPr>
        <w:pStyle w:val="2"/>
        <w:spacing w:before="192" w:line="333" w:lineRule="auto"/>
        <w:ind w:right="78"/>
        <w:rPr>
          <w:rFonts w:hint="eastAsia"/>
          <w:spacing w:val="6"/>
          <w:lang w:eastAsia="zh-CN"/>
        </w:rPr>
      </w:pPr>
      <w:r>
        <w:rPr>
          <w:rFonts w:hint="eastAsia"/>
          <w:spacing w:val="6"/>
          <w:lang w:eastAsia="zh-CN"/>
        </w:rPr>
        <w:t>绩效目标：为正常开展政务服务提供办公场所，增加办公场所面积6283.94平方米，增加56个政务服务窗口。保障机关正常运转，为市民提供便民服务，深化“放管服”改革，全民推行“最多跑一次”，提升政务服务效能。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spacing w:val="7"/>
        </w:rPr>
        <w:t>2</w:t>
      </w:r>
      <w:r>
        <w:rPr>
          <w:rFonts w:hint="eastAsia"/>
          <w:spacing w:val="7"/>
          <w:lang w:val="en-US" w:eastAsia="zh-CN"/>
        </w:rPr>
        <w:t>.</w:t>
      </w:r>
      <w:r>
        <w:rPr>
          <w:spacing w:val="7"/>
        </w:rPr>
        <w:t>202</w:t>
      </w:r>
      <w:r>
        <w:rPr>
          <w:rFonts w:hint="eastAsia"/>
          <w:spacing w:val="7"/>
          <w:lang w:val="en-US" w:eastAsia="zh-CN"/>
        </w:rPr>
        <w:t>2</w:t>
      </w:r>
      <w:r>
        <w:rPr>
          <w:spacing w:val="7"/>
        </w:rPr>
        <w:t>年公共资源交易中心公用经费。</w:t>
      </w:r>
    </w:p>
    <w:p>
      <w:pPr>
        <w:pStyle w:val="2"/>
        <w:spacing w:before="192" w:line="333" w:lineRule="auto"/>
        <w:ind w:right="78"/>
        <w:rPr>
          <w:rFonts w:hint="eastAsia"/>
          <w:spacing w:val="7"/>
          <w:lang w:eastAsia="zh-CN"/>
        </w:rPr>
      </w:pP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做好公共资源交易中心经费保障工作，保障办公正常运转</w:t>
      </w:r>
      <w:r>
        <w:rPr>
          <w:rFonts w:hint="eastAsia"/>
          <w:spacing w:val="7"/>
          <w:lang w:eastAsia="zh-CN"/>
        </w:rPr>
        <w:t>。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rFonts w:hint="eastAsia"/>
          <w:spacing w:val="7"/>
          <w:lang w:val="en-US" w:eastAsia="zh-CN"/>
        </w:rPr>
        <w:t>3.</w:t>
      </w:r>
      <w:r>
        <w:rPr>
          <w:spacing w:val="7"/>
        </w:rPr>
        <w:t>202</w:t>
      </w:r>
      <w:r>
        <w:rPr>
          <w:rFonts w:hint="eastAsia"/>
          <w:spacing w:val="7"/>
          <w:lang w:val="en-US" w:eastAsia="zh-CN"/>
        </w:rPr>
        <w:t>2</w:t>
      </w:r>
      <w:r>
        <w:rPr>
          <w:spacing w:val="7"/>
        </w:rPr>
        <w:t>年购买综合窗口第三方服务费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将审批局前台受理、资料流转、业务培训、引导帮助等事项采取购买服务形式（政府采购、竞争性谈判或公开招标）统一外包给专业公司，进一步解决人员不稳定、素质低等问题，明晰受审权责界限，打造“不见面审批”，提升政务服务效能。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rFonts w:hint="eastAsia"/>
          <w:spacing w:val="7"/>
          <w:lang w:val="en-US" w:eastAsia="zh-CN"/>
        </w:rPr>
        <w:t>4.</w:t>
      </w:r>
      <w:r>
        <w:rPr>
          <w:spacing w:val="7"/>
        </w:rPr>
        <w:t>202</w:t>
      </w:r>
      <w:r>
        <w:rPr>
          <w:rFonts w:hint="eastAsia"/>
          <w:spacing w:val="7"/>
          <w:lang w:val="en-US" w:eastAsia="zh-CN"/>
        </w:rPr>
        <w:t>2</w:t>
      </w:r>
      <w:r>
        <w:rPr>
          <w:spacing w:val="7"/>
        </w:rPr>
        <w:t>年企业开办环节刻章费用</w:t>
      </w:r>
    </w:p>
    <w:p>
      <w:pPr>
        <w:pStyle w:val="2"/>
        <w:spacing w:before="192" w:line="333" w:lineRule="auto"/>
        <w:ind w:right="78"/>
        <w:rPr>
          <w:rFonts w:hint="eastAsia" w:eastAsia="仿宋"/>
          <w:spacing w:val="7"/>
          <w:lang w:eastAsia="zh-CN"/>
        </w:rPr>
      </w:pP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为新开办的企业免费刻章（公章、财务章、法人章），减轻企业负担，进一步优化营商环境</w:t>
      </w:r>
      <w:r>
        <w:rPr>
          <w:rFonts w:hint="eastAsia"/>
          <w:spacing w:val="7"/>
          <w:lang w:eastAsia="zh-CN"/>
        </w:rPr>
        <w:t>。</w:t>
      </w:r>
    </w:p>
    <w:p>
      <w:pPr>
        <w:pStyle w:val="2"/>
        <w:spacing w:before="192" w:line="333" w:lineRule="auto"/>
        <w:ind w:right="78"/>
        <w:rPr>
          <w:rFonts w:hint="eastAsia"/>
          <w:spacing w:val="7"/>
          <w:lang w:val="en-US" w:eastAsia="zh-CN"/>
        </w:rPr>
      </w:pPr>
      <w:r>
        <w:rPr>
          <w:rFonts w:hint="eastAsia"/>
          <w:spacing w:val="7"/>
          <w:lang w:val="en-US" w:eastAsia="zh-CN"/>
        </w:rPr>
        <w:t>5.2022年三四楼装修费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rFonts w:hint="eastAsia"/>
          <w:spacing w:val="7"/>
          <w:lang w:val="en-US" w:eastAsia="zh-CN"/>
        </w:rPr>
        <w:t xml:space="preserve"> </w:t>
      </w: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完成市民服务中心装饰装修，符合工程施工质量验收相关要求，已于2018年投入使用，满足办公正常需求。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rFonts w:hint="eastAsia"/>
          <w:spacing w:val="7"/>
          <w:lang w:val="en-US" w:eastAsia="zh-CN"/>
        </w:rPr>
        <w:t>6.</w:t>
      </w:r>
      <w:r>
        <w:rPr>
          <w:spacing w:val="7"/>
        </w:rPr>
        <w:t>202</w:t>
      </w:r>
      <w:r>
        <w:rPr>
          <w:rFonts w:hint="eastAsia"/>
          <w:spacing w:val="7"/>
          <w:lang w:val="en-US" w:eastAsia="zh-CN"/>
        </w:rPr>
        <w:t>2</w:t>
      </w:r>
      <w:r>
        <w:rPr>
          <w:spacing w:val="7"/>
        </w:rPr>
        <w:t>年委托投资咨询评估费用</w:t>
      </w:r>
    </w:p>
    <w:p>
      <w:pPr>
        <w:pStyle w:val="2"/>
        <w:spacing w:before="192" w:line="333" w:lineRule="auto"/>
        <w:ind w:right="78"/>
        <w:rPr>
          <w:rFonts w:hint="eastAsia" w:eastAsia="仿宋"/>
          <w:spacing w:val="7"/>
          <w:lang w:eastAsia="zh-CN"/>
        </w:rPr>
      </w:pP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通过聘请第三方中介机构委托专家对项目的可行性研究、社会稳定性评价等进行评估，保障和增强了项目审批的科学性和准确性，提高服务质量，增强群众满意度</w:t>
      </w:r>
      <w:r>
        <w:rPr>
          <w:rFonts w:hint="eastAsia"/>
          <w:spacing w:val="7"/>
          <w:lang w:eastAsia="zh-CN"/>
        </w:rPr>
        <w:t>。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spacing w:val="7"/>
        </w:rPr>
        <w:t>7.202</w:t>
      </w:r>
      <w:r>
        <w:rPr>
          <w:rFonts w:hint="eastAsia"/>
          <w:spacing w:val="7"/>
          <w:lang w:val="en-US" w:eastAsia="zh-CN"/>
        </w:rPr>
        <w:t>2</w:t>
      </w:r>
      <w:r>
        <w:rPr>
          <w:spacing w:val="7"/>
        </w:rPr>
        <w:t>年专项公用经费</w:t>
      </w:r>
    </w:p>
    <w:p>
      <w:pPr>
        <w:pStyle w:val="2"/>
        <w:spacing w:before="192" w:line="333" w:lineRule="auto"/>
        <w:ind w:right="78"/>
        <w:rPr>
          <w:rFonts w:hint="eastAsia"/>
          <w:spacing w:val="6"/>
          <w:lang w:val="en-US" w:eastAsia="en-US"/>
        </w:rPr>
        <w:sectPr>
          <w:footerReference r:id="rId5" w:type="default"/>
          <w:pgSz w:w="11906" w:h="16839"/>
          <w:pgMar w:top="1431" w:right="1223" w:bottom="1149" w:left="1597" w:header="0" w:footer="960" w:gutter="0"/>
          <w:cols w:space="720" w:num="1"/>
        </w:sectPr>
      </w:pP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增加经费保障，保障机关正常运转，提高审批、办结效率，缩短办结时限，提高群众和市场主体的满意度</w:t>
      </w:r>
      <w:r>
        <w:rPr>
          <w:rFonts w:hint="eastAsia"/>
          <w:spacing w:val="7"/>
          <w:lang w:eastAsia="zh-CN"/>
        </w:rPr>
        <w:t>。</w:t>
      </w:r>
    </w:p>
    <w:p>
      <w:pPr>
        <w:pStyle w:val="2"/>
        <w:spacing w:before="192" w:line="333" w:lineRule="auto"/>
        <w:ind w:right="78"/>
        <w:rPr>
          <w:rFonts w:hint="eastAsia" w:eastAsia="仿宋"/>
          <w:spacing w:val="7"/>
          <w:lang w:eastAsia="zh-CN"/>
        </w:rPr>
      </w:pP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spacing w:val="7"/>
        </w:rPr>
        <w:t>8.企业户籍档案容e查</w:t>
      </w:r>
    </w:p>
    <w:p>
      <w:pPr>
        <w:pStyle w:val="2"/>
        <w:spacing w:before="192" w:line="333" w:lineRule="auto"/>
        <w:ind w:right="78" w:firstLine="324" w:firstLineChars="100"/>
        <w:rPr>
          <w:spacing w:val="7"/>
        </w:rPr>
      </w:pPr>
      <w:r>
        <w:rPr>
          <w:spacing w:val="7"/>
        </w:rPr>
        <w:t>绩效目标：企业户籍档案容e查服务包含企业户籍档案容e查服务建设、企业户籍档案查询系统服务两项内容。创新了档案查询服务方式，有效提高了企业档案查询的实效性和便利度。</w:t>
      </w:r>
    </w:p>
    <w:p>
      <w:pPr>
        <w:spacing w:before="185" w:line="227" w:lineRule="auto"/>
        <w:ind w:left="64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二、自评工作开展情况</w:t>
      </w:r>
    </w:p>
    <w:p>
      <w:pPr>
        <w:spacing w:before="181" w:line="220" w:lineRule="auto"/>
        <w:ind w:left="636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"/>
          <w:sz w:val="31"/>
          <w:szCs w:val="31"/>
        </w:rPr>
        <w:t>（</w:t>
      </w:r>
      <w:r>
        <w:rPr>
          <w:rFonts w:ascii="楷体" w:hAnsi="楷体" w:eastAsia="楷体" w:cs="楷体"/>
          <w:spacing w:val="-82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2"/>
          <w:sz w:val="31"/>
          <w:szCs w:val="31"/>
        </w:rPr>
        <w:t>一）自评的组织工作</w:t>
      </w:r>
    </w:p>
    <w:p>
      <w:pPr>
        <w:pStyle w:val="2"/>
        <w:spacing w:before="187" w:line="334" w:lineRule="auto"/>
        <w:ind w:left="7" w:firstLine="634"/>
      </w:pPr>
      <w:r>
        <w:rPr>
          <w:rFonts w:hint="eastAsia"/>
          <w:spacing w:val="17"/>
          <w:lang w:eastAsia="zh-CN"/>
        </w:rPr>
        <w:t>我</w:t>
      </w:r>
      <w:r>
        <w:rPr>
          <w:spacing w:val="17"/>
        </w:rPr>
        <w:t>局成立预算绩效评价工作领导小</w:t>
      </w:r>
      <w:r>
        <w:rPr>
          <w:spacing w:val="5"/>
        </w:rPr>
        <w:t>组，由单位负责人</w:t>
      </w:r>
      <w:r>
        <w:rPr>
          <w:rFonts w:hint="eastAsia"/>
          <w:spacing w:val="5"/>
          <w:lang w:eastAsia="zh-CN"/>
        </w:rPr>
        <w:t>崔晓辉</w:t>
      </w:r>
      <w:r>
        <w:rPr>
          <w:spacing w:val="5"/>
        </w:rPr>
        <w:t>任组长、分管领导</w:t>
      </w:r>
      <w:r>
        <w:rPr>
          <w:rFonts w:hint="eastAsia"/>
          <w:spacing w:val="5"/>
          <w:lang w:eastAsia="zh-CN"/>
        </w:rPr>
        <w:t>张坤</w:t>
      </w:r>
      <w:r>
        <w:rPr>
          <w:spacing w:val="5"/>
        </w:rPr>
        <w:t>任副组长，各股室负责人为</w:t>
      </w:r>
      <w:r>
        <w:rPr>
          <w:spacing w:val="6"/>
        </w:rPr>
        <w:t>成员，同时明确领导小组及办公室工作职责，办公室按照职责，</w:t>
      </w:r>
      <w:r>
        <w:rPr>
          <w:spacing w:val="5"/>
        </w:rPr>
        <w:t>负责对资金拨付文件和资金支付凭证、查阅了相关会计凭证、绩</w:t>
      </w:r>
      <w:r>
        <w:rPr>
          <w:spacing w:val="6"/>
        </w:rPr>
        <w:t xml:space="preserve"> </w:t>
      </w:r>
      <w:r>
        <w:rPr>
          <w:spacing w:val="-1"/>
        </w:rPr>
        <w:t>效目标完成情况等相关基础资料收集，于</w:t>
      </w:r>
      <w:r>
        <w:rPr>
          <w:spacing w:val="-40"/>
        </w:rPr>
        <w:t xml:space="preserve"> </w:t>
      </w:r>
      <w:r>
        <w:rPr>
          <w:spacing w:val="-1"/>
        </w:rPr>
        <w:t>2023</w:t>
      </w:r>
      <w:r>
        <w:rPr>
          <w:spacing w:val="-58"/>
        </w:rPr>
        <w:t xml:space="preserve"> </w:t>
      </w:r>
      <w:r>
        <w:rPr>
          <w:spacing w:val="-1"/>
        </w:rPr>
        <w:t>年</w:t>
      </w:r>
      <w:r>
        <w:rPr>
          <w:spacing w:val="-46"/>
        </w:rPr>
        <w:t xml:space="preserve"> </w:t>
      </w:r>
      <w:r>
        <w:rPr>
          <w:spacing w:val="-1"/>
        </w:rPr>
        <w:t>9</w:t>
      </w:r>
      <w:r>
        <w:rPr>
          <w:spacing w:val="-46"/>
        </w:rPr>
        <w:t xml:space="preserve"> </w:t>
      </w:r>
      <w:r>
        <w:rPr>
          <w:spacing w:val="-1"/>
        </w:rPr>
        <w:t>月</w:t>
      </w:r>
      <w:r>
        <w:rPr>
          <w:spacing w:val="-36"/>
        </w:rPr>
        <w:t xml:space="preserve"> </w:t>
      </w:r>
      <w:r>
        <w:rPr>
          <w:spacing w:val="-1"/>
        </w:rPr>
        <w:t>30</w:t>
      </w:r>
      <w:r>
        <w:rPr>
          <w:spacing w:val="-56"/>
        </w:rPr>
        <w:t xml:space="preserve"> </w:t>
      </w:r>
      <w:r>
        <w:rPr>
          <w:spacing w:val="-1"/>
        </w:rPr>
        <w:t>前，组</w:t>
      </w:r>
      <w:r>
        <w:rPr>
          <w:spacing w:val="4"/>
        </w:rPr>
        <w:t>织开展</w:t>
      </w:r>
      <w:r>
        <w:rPr>
          <w:spacing w:val="-40"/>
        </w:rPr>
        <w:t xml:space="preserve"> </w:t>
      </w:r>
      <w:r>
        <w:rPr>
          <w:spacing w:val="4"/>
        </w:rPr>
        <w:t>202</w:t>
      </w:r>
      <w:r>
        <w:rPr>
          <w:rFonts w:hint="eastAsia"/>
          <w:spacing w:val="4"/>
          <w:lang w:val="en-US" w:eastAsia="zh-CN"/>
        </w:rPr>
        <w:t>2</w:t>
      </w:r>
      <w:r>
        <w:rPr>
          <w:spacing w:val="4"/>
        </w:rPr>
        <w:t>年预算绩效评价自评工作。</w:t>
      </w:r>
    </w:p>
    <w:p>
      <w:pPr>
        <w:spacing w:before="189" w:line="220" w:lineRule="auto"/>
        <w:ind w:left="63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</w:rPr>
        <w:t>（</w:t>
      </w:r>
      <w:r>
        <w:rPr>
          <w:rFonts w:ascii="楷体" w:hAnsi="楷体" w:eastAsia="楷体" w:cs="楷体"/>
          <w:spacing w:val="-86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3"/>
          <w:sz w:val="31"/>
          <w:szCs w:val="31"/>
        </w:rPr>
        <w:t>二）自评的方法和过程</w:t>
      </w:r>
    </w:p>
    <w:p>
      <w:pPr>
        <w:pStyle w:val="2"/>
        <w:spacing w:before="193" w:line="333" w:lineRule="auto"/>
        <w:ind w:left="3" w:right="35" w:firstLine="698"/>
      </w:pPr>
      <w:r>
        <w:rPr>
          <w:spacing w:val="3"/>
        </w:rPr>
        <w:t>自评过程中，本着强化绩效目标意识、提高部门整</w:t>
      </w:r>
      <w:r>
        <w:rPr>
          <w:spacing w:val="2"/>
        </w:rPr>
        <w:t>体资金使</w:t>
      </w:r>
      <w:r>
        <w:t xml:space="preserve"> </w:t>
      </w:r>
      <w:r>
        <w:rPr>
          <w:spacing w:val="5"/>
        </w:rPr>
        <w:t>用效率、提高绩效管理水平的原则，通过目标计划梳理、工作数</w:t>
      </w:r>
      <w:r>
        <w:rPr>
          <w:spacing w:val="12"/>
        </w:rPr>
        <w:t xml:space="preserve"> </w:t>
      </w:r>
      <w:r>
        <w:rPr>
          <w:spacing w:val="9"/>
        </w:rPr>
        <w:t>据采集、项目完成情况调查等方式对我单位</w:t>
      </w:r>
      <w:r>
        <w:rPr>
          <w:spacing w:val="-45"/>
        </w:rPr>
        <w:t xml:space="preserve"> </w:t>
      </w:r>
      <w:r>
        <w:rPr>
          <w:spacing w:val="8"/>
        </w:rPr>
        <w:t>202</w:t>
      </w:r>
      <w:r>
        <w:rPr>
          <w:rFonts w:hint="eastAsia"/>
          <w:spacing w:val="8"/>
          <w:lang w:val="en-US" w:eastAsia="zh-CN"/>
        </w:rPr>
        <w:t>2</w:t>
      </w:r>
      <w:r>
        <w:rPr>
          <w:spacing w:val="8"/>
        </w:rPr>
        <w:t>年度预算资金</w:t>
      </w:r>
    </w:p>
    <w:p>
      <w:pPr>
        <w:pStyle w:val="2"/>
        <w:spacing w:line="220" w:lineRule="auto"/>
      </w:pPr>
      <w:r>
        <w:rPr>
          <w:spacing w:val="9"/>
        </w:rPr>
        <w:t>使用情况进行检查，并评估资金的使用效率和工作开展情况。</w:t>
      </w:r>
    </w:p>
    <w:p>
      <w:pPr>
        <w:spacing w:before="191" w:line="560" w:lineRule="exact"/>
        <w:ind w:left="81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position w:val="18"/>
          <w:sz w:val="31"/>
          <w:szCs w:val="31"/>
        </w:rPr>
        <w:t>三、部门整体支出绩效目标实现情况及指标</w:t>
      </w:r>
      <w:r>
        <w:rPr>
          <w:rFonts w:ascii="黑体" w:hAnsi="黑体" w:eastAsia="黑体" w:cs="黑体"/>
          <w:spacing w:val="8"/>
          <w:position w:val="18"/>
          <w:sz w:val="31"/>
          <w:szCs w:val="31"/>
        </w:rPr>
        <w:t>分析</w:t>
      </w:r>
    </w:p>
    <w:p>
      <w:pPr>
        <w:spacing w:line="223" w:lineRule="auto"/>
        <w:ind w:left="636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楷体" w:hAnsi="楷体" w:eastAsia="楷体" w:cs="楷体"/>
          <w:spacing w:val="4"/>
          <w:sz w:val="31"/>
          <w:szCs w:val="31"/>
        </w:rPr>
        <w:t>（</w:t>
      </w: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 xml:space="preserve"> 一）总体绩效目标实现情况</w:t>
      </w:r>
    </w:p>
    <w:p>
      <w:pPr>
        <w:spacing w:before="185" w:line="222" w:lineRule="auto"/>
        <w:ind w:left="635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以习近平新时代中国特色社会主义思想为指导，深入贯彻党的十九大和十九届二中、三中、四中、五中、六中全会精神，全面落实省第十次党代会和市第十一次党代会</w:t>
      </w:r>
      <w:bookmarkStart w:id="0" w:name="_GoBack"/>
      <w:bookmarkEnd w:id="0"/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精神，深化推进“放管服”改革，扎实开展“三统筹三扩大四创建”活动，牢固树立“金牌店小二”服务意识，着力打造优质、便捷、高效的“舒心服务”品牌，推进全区营商环境更上新台阶。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 xml:space="preserve">（二）分项绩效目标分项绩效目标 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1.抓好“放管服”改革推进工作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绩效目标：进一步压缩审批时限，实施公共资源交易“双盲”评标改革，深化“证照分离”改革，拓展“证照联办”领域，梳理一批办理频次高的事项纳入“套餐式”服务。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绩效指标：企业开办审批时限，企业注册登记备案类事项即来即办、立等可取。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2.推动全区“互联网+政务服务”体系建设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绩效目标：加快推动部门政务服务信息共享，打造全方位立体化的“互联网+政务服务”体系，实现审批事项的全流程网办。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绩效指标：依托鹿泉区数据资源共享平台，推动优惠政策“免申即享”。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3.持续优化项目审批流程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绩效目标：符合产业政策的项目实现“秒办”，规范中介服务和技术性审查，推行施工许可“图审承诺制”，进一步推动项目策划生成，做好投资项目前期准备工作，保障项目快速审批。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绩效指标：进一步提升服务效率。强化审批服务“领、帮、代”，为企业提供全方位、全过程的“店小二”式服务。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4.政策法规管理服务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绩效目标：做好上级取消、下放行政审批事项的衔接工作；保证勘验检测数据的准确；确保评估项目的科学、规范、准确，加快审批事项的效率。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绩效指标：承接完成率达到100%、工作任务完成率达到95%、委托评估完成率100%。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5.社会信用体系建设工作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目标：持续加大加深诚信文化的宣传力度，常态化开展“诚信进万家”活动，推动“信易+”等信用产品应用和服务落地，强化“信易贷”拓展应用，加强基础信息归集，推动金融部门开展普惠金融业务，有效支持中小企业发展。</w:t>
      </w:r>
    </w:p>
    <w:p>
      <w:pPr>
        <w:pStyle w:val="7"/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绩效指标：加强宣传工作，工作任务完成率达到100%</w:t>
      </w:r>
      <w:r>
        <w:t>。</w:t>
      </w:r>
    </w:p>
    <w:p>
      <w:pPr>
        <w:spacing w:before="184" w:line="226" w:lineRule="auto"/>
        <w:ind w:left="65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四、评价结论和评价等级</w:t>
      </w:r>
    </w:p>
    <w:p>
      <w:pPr>
        <w:pStyle w:val="2"/>
        <w:spacing w:before="181" w:line="562" w:lineRule="exact"/>
        <w:ind w:left="636"/>
      </w:pPr>
      <w:r>
        <w:rPr>
          <w:spacing w:val="17"/>
          <w:position w:val="18"/>
        </w:rPr>
        <w:t>根据部门职责定位和各项工作履职情况对两个项目进行综</w:t>
      </w:r>
    </w:p>
    <w:p>
      <w:pPr>
        <w:pStyle w:val="2"/>
        <w:spacing w:line="222" w:lineRule="auto"/>
        <w:ind w:left="3"/>
      </w:pPr>
      <w:r>
        <w:rPr>
          <w:spacing w:val="6"/>
        </w:rPr>
        <w:t>合评价，评价结果均为满分</w:t>
      </w:r>
      <w:r>
        <w:rPr>
          <w:spacing w:val="-41"/>
        </w:rPr>
        <w:t xml:space="preserve"> </w:t>
      </w:r>
      <w:r>
        <w:rPr>
          <w:spacing w:val="6"/>
        </w:rPr>
        <w:t>100</w:t>
      </w:r>
      <w:r>
        <w:rPr>
          <w:spacing w:val="-60"/>
        </w:rPr>
        <w:t xml:space="preserve"> </w:t>
      </w:r>
      <w:r>
        <w:rPr>
          <w:spacing w:val="6"/>
        </w:rPr>
        <w:t>分，等级为优秀。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  <w:t>（一）项目存在的主要问题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  <w:t xml:space="preserve">    预算支出偏慢，跟进度规定有一定差距。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  <w:t xml:space="preserve">   （二）针对问题提出具体的改进措施或建议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  <w:t xml:space="preserve">    科学规划支出方案，进一步加快预算支出进度。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张坤  副局长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贺志敏  办公室负责人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常晓曼  财务负责人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封亚斌   公共交易中心负责人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冯飞    企业设立股负责人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周红艳  政策法规股负责人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李会龙  交通环保负责人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牛雷   项目投资负责人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段平平  运行监管负责人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谢志彦  文教卫负责人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赵宁   社会事务负责人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朱月辉  放管服负责人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尹伟轩  综合窗口负责人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段玉洁   行政审批服务中心负责人</w:t>
      </w:r>
    </w:p>
    <w:p>
      <w:pPr>
        <w:spacing w:before="179" w:line="223" w:lineRule="auto"/>
        <w:ind w:left="632"/>
        <w:rPr>
          <w:rFonts w:hint="eastAsia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刘芳     企业负责中心负责人</w:t>
      </w:r>
    </w:p>
    <w:p>
      <w:pPr>
        <w:spacing w:before="179" w:line="223" w:lineRule="auto"/>
        <w:ind w:left="632"/>
        <w:rPr>
          <w:rFonts w:hint="default" w:ascii="楷体" w:hAnsi="楷体" w:eastAsia="楷体" w:cs="楷体"/>
          <w:sz w:val="31"/>
          <w:szCs w:val="31"/>
          <w:lang w:val="en-US" w:eastAsia="zh-CN"/>
        </w:rPr>
      </w:pPr>
      <w:r>
        <w:rPr>
          <w:rFonts w:hint="eastAsia" w:ascii="楷体" w:hAnsi="楷体" w:eastAsia="楷体" w:cs="楷体"/>
          <w:sz w:val="31"/>
          <w:szCs w:val="31"/>
          <w:lang w:val="en-US" w:eastAsia="zh-CN"/>
        </w:rPr>
        <w:t>胡海燕   监督办负责人</w:t>
      </w:r>
    </w:p>
    <w:p>
      <w:pPr>
        <w:spacing w:before="179" w:line="223" w:lineRule="auto"/>
        <w:ind w:left="632"/>
        <w:rPr>
          <w:rFonts w:hint="default" w:ascii="楷体" w:hAnsi="楷体" w:eastAsia="楷体" w:cs="楷体"/>
          <w:sz w:val="31"/>
          <w:szCs w:val="31"/>
          <w:lang w:val="en-US" w:eastAsia="zh-CN"/>
        </w:rPr>
      </w:pPr>
    </w:p>
    <w:p>
      <w:pPr>
        <w:spacing w:before="179" w:line="223" w:lineRule="auto"/>
        <w:ind w:left="632"/>
        <w:rPr>
          <w:rFonts w:hint="default" w:ascii="楷体" w:hAnsi="楷体" w:eastAsia="楷体" w:cs="楷体"/>
          <w:sz w:val="31"/>
          <w:szCs w:val="31"/>
          <w:lang w:val="en-US" w:eastAsia="zh-CN"/>
        </w:rPr>
      </w:pPr>
    </w:p>
    <w:p>
      <w:pPr>
        <w:spacing w:before="179" w:line="223" w:lineRule="auto"/>
        <w:ind w:left="632"/>
        <w:rPr>
          <w:rFonts w:hint="default" w:ascii="楷体" w:hAnsi="楷体" w:eastAsia="楷体" w:cs="楷体"/>
          <w:sz w:val="31"/>
          <w:szCs w:val="31"/>
          <w:lang w:val="en-US" w:eastAsia="zh-CN"/>
        </w:rPr>
      </w:pPr>
    </w:p>
    <w:p>
      <w:pPr>
        <w:spacing w:before="179" w:line="223" w:lineRule="auto"/>
        <w:rPr>
          <w:rFonts w:hint="default" w:ascii="楷体" w:hAnsi="楷体" w:eastAsia="楷体" w:cs="楷体"/>
          <w:sz w:val="31"/>
          <w:szCs w:val="31"/>
          <w:lang w:val="en-US" w:eastAsia="zh-CN"/>
        </w:rPr>
      </w:pPr>
    </w:p>
    <w:sectPr>
      <w:footerReference r:id="rId6" w:type="default"/>
      <w:pgSz w:w="11906" w:h="16839"/>
      <w:pgMar w:top="1431" w:right="1231" w:bottom="1147" w:left="1598" w:header="0" w:footer="96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Arial Black">
    <w:panose1 w:val="020B0A04020102020204"/>
    <w:charset w:val="00"/>
    <w:family w:val="swiss"/>
    <w:pitch w:val="default"/>
    <w:sig w:usb0="00000287" w:usb1="00000000" w:usb2="00000000" w:usb3="00000000" w:csb0="2000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6" w:lineRule="auto"/>
      <w:ind w:left="4253"/>
      <w:rPr>
        <w:rFonts w:ascii="Calibri" w:hAnsi="Calibri" w:eastAsia="Calibri" w:cs="Calibri"/>
        <w:sz w:val="20"/>
        <w:szCs w:val="20"/>
      </w:rPr>
    </w:pPr>
    <w:r>
      <w:rPr>
        <w:rFonts w:ascii="Calibri" w:hAnsi="Calibri" w:eastAsia="Calibri" w:cs="Calibri"/>
        <w:spacing w:val="-4"/>
        <w:sz w:val="20"/>
        <w:szCs w:val="20"/>
      </w:rPr>
      <w:t>-</w:t>
    </w:r>
    <w:r>
      <w:rPr>
        <w:rFonts w:ascii="Calibri" w:hAnsi="Calibri" w:eastAsia="Calibri" w:cs="Calibri"/>
        <w:spacing w:val="15"/>
        <w:sz w:val="20"/>
        <w:szCs w:val="20"/>
      </w:rPr>
      <w:t xml:space="preserve"> </w:t>
    </w:r>
    <w:r>
      <w:rPr>
        <w:rFonts w:ascii="Calibri" w:hAnsi="Calibri" w:eastAsia="Calibri" w:cs="Calibri"/>
        <w:spacing w:val="-4"/>
        <w:sz w:val="20"/>
        <w:szCs w:val="20"/>
      </w:rPr>
      <w:t>2</w:t>
    </w:r>
    <w:r>
      <w:rPr>
        <w:rFonts w:ascii="Calibri" w:hAnsi="Calibri" w:eastAsia="Calibri" w:cs="Calibri"/>
        <w:spacing w:val="9"/>
        <w:sz w:val="20"/>
        <w:szCs w:val="20"/>
      </w:rPr>
      <w:t xml:space="preserve"> </w:t>
    </w:r>
    <w:r>
      <w:rPr>
        <w:rFonts w:ascii="Calibri" w:hAnsi="Calibri" w:eastAsia="Calibri" w:cs="Calibri"/>
        <w:spacing w:val="-4"/>
        <w:sz w:val="20"/>
        <w:szCs w:val="20"/>
      </w:rPr>
      <w:t>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4" w:lineRule="auto"/>
      <w:ind w:left="4252"/>
      <w:rPr>
        <w:rFonts w:ascii="Calibri" w:hAnsi="Calibri" w:eastAsia="Calibri" w:cs="Calibri"/>
        <w:sz w:val="20"/>
        <w:szCs w:val="20"/>
      </w:rPr>
    </w:pPr>
    <w:r>
      <w:rPr>
        <w:rFonts w:ascii="Calibri" w:hAnsi="Calibri" w:eastAsia="Calibri" w:cs="Calibri"/>
        <w:spacing w:val="-4"/>
        <w:sz w:val="20"/>
        <w:szCs w:val="20"/>
      </w:rPr>
      <w:t>-</w:t>
    </w:r>
    <w:r>
      <w:rPr>
        <w:rFonts w:ascii="Calibri" w:hAnsi="Calibri" w:eastAsia="Calibri" w:cs="Calibri"/>
        <w:spacing w:val="14"/>
        <w:w w:val="101"/>
        <w:sz w:val="20"/>
        <w:szCs w:val="20"/>
      </w:rPr>
      <w:t xml:space="preserve"> </w:t>
    </w:r>
    <w:r>
      <w:rPr>
        <w:rFonts w:ascii="Calibri" w:hAnsi="Calibri" w:eastAsia="Calibri" w:cs="Calibri"/>
        <w:spacing w:val="-4"/>
        <w:sz w:val="20"/>
        <w:szCs w:val="20"/>
      </w:rPr>
      <w:t>5</w:t>
    </w:r>
    <w:r>
      <w:rPr>
        <w:rFonts w:ascii="Calibri" w:hAnsi="Calibri" w:eastAsia="Calibri" w:cs="Calibri"/>
        <w:spacing w:val="9"/>
        <w:sz w:val="20"/>
        <w:szCs w:val="20"/>
      </w:rPr>
      <w:t xml:space="preserve"> </w:t>
    </w:r>
    <w:r>
      <w:rPr>
        <w:rFonts w:ascii="Calibri" w:hAnsi="Calibri" w:eastAsia="Calibri" w:cs="Calibri"/>
        <w:spacing w:val="-4"/>
        <w:sz w:val="20"/>
        <w:szCs w:val="20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MDg1MTkxMjY0M2I0NTRlNDIwNTIwMjFlMmYxNDlmMzUifQ=="/>
  </w:docVars>
  <w:rsids>
    <w:rsidRoot w:val="00000000"/>
    <w:rsid w:val="07C80EFB"/>
    <w:rsid w:val="081D6D26"/>
    <w:rsid w:val="09414AC1"/>
    <w:rsid w:val="0C0D2ED0"/>
    <w:rsid w:val="28562DBC"/>
    <w:rsid w:val="362E395F"/>
    <w:rsid w:val="3DDC0539"/>
    <w:rsid w:val="3FD44226"/>
    <w:rsid w:val="4FDB03C8"/>
    <w:rsid w:val="541C6F8F"/>
    <w:rsid w:val="58A23EA3"/>
    <w:rsid w:val="5CEE181E"/>
    <w:rsid w:val="6882285C"/>
    <w:rsid w:val="70384ECE"/>
    <w:rsid w:val="75E634B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仿宋_GB2312" w:hAnsi="Times New Roman" w:eastAsia="仿宋_GB2312" w:cs="仿宋_GB2312"/>
      <w:color w:val="000000"/>
      <w:sz w:val="24"/>
      <w:szCs w:val="24"/>
      <w:lang w:val="en-US" w:eastAsia="zh-CN" w:bidi="ar-SA"/>
    </w:rPr>
  </w:style>
  <w:style w:type="paragraph" w:customStyle="1" w:styleId="7">
    <w:name w:val="插入文本样式-插入职责分类绩效目标文件"/>
    <w:basedOn w:val="1"/>
    <w:autoRedefine/>
    <w:qFormat/>
    <w:uiPriority w:val="0"/>
    <w:pPr>
      <w:spacing w:line="500" w:lineRule="exact"/>
      <w:ind w:firstLine="560"/>
    </w:pPr>
    <w:rPr>
      <w:rFonts w:eastAsia="方正仿宋_GBK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3376</Words>
  <Characters>3481</Characters>
  <TotalTime>83</TotalTime>
  <ScaleCrop>false</ScaleCrop>
  <LinksUpToDate>false</LinksUpToDate>
  <CharactersWithSpaces>3574</CharactersWithSpaces>
  <Application>WPS Office_12.1.0.16929_F1E327BC-269C-435d-A152-05C5408002CA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2023-09-27T17:28:00Z</dcterms:created>
  <dc:creator>欣欣大人</dc:creator>
  <cp:lastModifiedBy>Administrator</cp:lastModifiedBy>
  <dcterms:modified xsi:type="dcterms:W3CDTF">2024-06-06T07:20:45Z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2023-10-16T14:43:13Z</vt:filetime>
  </property>
  <property fmtid="{D5CDD505-2E9C-101B-9397-08002B2CF9AE}" pid="4" name="KSOProductBuildVer">
    <vt:lpwstr>2052-12.1.0.16929</vt:lpwstr>
  </property>
  <property fmtid="{D5CDD505-2E9C-101B-9397-08002B2CF9AE}" pid="5" name="ICV">
    <vt:lpwstr>CA419B274A3A426F82C0EFAB05968087_13</vt:lpwstr>
  </property>
</Properties>
</file>