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topLinePunct w:val="0"/>
        <w:autoSpaceDN/>
        <w:bidi w:val="0"/>
        <w:snapToGrid w:val="0"/>
        <w:spacing w:line="360" w:lineRule="auto"/>
        <w:jc w:val="both"/>
        <w:rPr>
          <w:rFonts w:hint="eastAsia" w:ascii="宋体" w:hAnsi="宋体" w:cs="宋体"/>
          <w:b/>
          <w:bCs/>
          <w:sz w:val="36"/>
          <w:szCs w:val="36"/>
          <w:highlight w:val="none"/>
          <w:lang w:val="en-US" w:eastAsia="zh-CN"/>
        </w:rPr>
      </w:pPr>
      <w:bookmarkStart w:id="6" w:name="_GoBack"/>
      <w:bookmarkEnd w:id="6"/>
    </w:p>
    <w:p>
      <w:pPr>
        <w:keepNext w:val="0"/>
        <w:keepLines w:val="0"/>
        <w:pageBreakBefore w:val="0"/>
        <w:kinsoku/>
        <w:wordWrap/>
        <w:topLinePunct w:val="0"/>
        <w:autoSpaceDN/>
        <w:bidi w:val="0"/>
        <w:snapToGrid w:val="0"/>
        <w:spacing w:line="360" w:lineRule="auto"/>
        <w:jc w:val="center"/>
        <w:rPr>
          <w:rFonts w:hint="eastAsia" w:ascii="宋体" w:hAnsi="宋体" w:cs="宋体"/>
          <w:b/>
          <w:bCs/>
          <w:sz w:val="36"/>
          <w:szCs w:val="36"/>
          <w:highlight w:val="none"/>
          <w:lang w:val="en-US" w:eastAsia="zh-CN"/>
        </w:rPr>
      </w:pPr>
    </w:p>
    <w:p>
      <w:pPr>
        <w:keepNext w:val="0"/>
        <w:keepLines w:val="0"/>
        <w:pageBreakBefore w:val="0"/>
        <w:kinsoku/>
        <w:wordWrap/>
        <w:topLinePunct w:val="0"/>
        <w:autoSpaceDN/>
        <w:bidi w:val="0"/>
        <w:snapToGrid w:val="0"/>
        <w:spacing w:line="360" w:lineRule="auto"/>
        <w:jc w:val="center"/>
        <w:rPr>
          <w:rFonts w:hint="eastAsia" w:ascii="宋体" w:hAnsi="宋体" w:cs="宋体"/>
          <w:b/>
          <w:bCs/>
          <w:sz w:val="36"/>
          <w:szCs w:val="36"/>
          <w:highlight w:val="none"/>
          <w:lang w:val="en-US" w:eastAsia="zh-CN"/>
        </w:rPr>
      </w:pPr>
    </w:p>
    <w:p>
      <w:pPr>
        <w:keepNext w:val="0"/>
        <w:keepLines w:val="0"/>
        <w:pageBreakBefore w:val="0"/>
        <w:kinsoku/>
        <w:wordWrap/>
        <w:topLinePunct w:val="0"/>
        <w:autoSpaceDN/>
        <w:bidi w:val="0"/>
        <w:snapToGrid w:val="0"/>
        <w:spacing w:line="360" w:lineRule="auto"/>
        <w:jc w:val="center"/>
        <w:rPr>
          <w:rFonts w:hint="eastAsia" w:ascii="宋体" w:hAnsi="宋体" w:cs="宋体"/>
          <w:b/>
          <w:bCs/>
          <w:sz w:val="36"/>
          <w:szCs w:val="36"/>
          <w:highlight w:val="none"/>
          <w:lang w:val="en-US" w:eastAsia="zh-CN"/>
        </w:rPr>
      </w:pPr>
    </w:p>
    <w:p>
      <w:pPr>
        <w:keepNext w:val="0"/>
        <w:keepLines w:val="0"/>
        <w:pageBreakBefore w:val="0"/>
        <w:kinsoku/>
        <w:wordWrap/>
        <w:topLinePunct w:val="0"/>
        <w:autoSpaceDN/>
        <w:bidi w:val="0"/>
        <w:snapToGrid w:val="0"/>
        <w:spacing w:line="360" w:lineRule="auto"/>
        <w:jc w:val="both"/>
        <w:rPr>
          <w:rFonts w:hint="eastAsia" w:ascii="宋体" w:hAnsi="宋体" w:cs="宋体"/>
          <w:b/>
          <w:bCs/>
          <w:sz w:val="21"/>
          <w:szCs w:val="21"/>
          <w:highlight w:val="none"/>
          <w:lang w:val="en-US" w:eastAsia="zh-CN"/>
        </w:rPr>
      </w:pPr>
    </w:p>
    <w:p>
      <w:pPr>
        <w:keepNext w:val="0"/>
        <w:keepLines w:val="0"/>
        <w:pageBreakBefore w:val="0"/>
        <w:kinsoku/>
        <w:wordWrap/>
        <w:topLinePunct w:val="0"/>
        <w:autoSpaceDN/>
        <w:bidi w:val="0"/>
        <w:snapToGrid w:val="0"/>
        <w:spacing w:line="360" w:lineRule="auto"/>
        <w:jc w:val="both"/>
        <w:rPr>
          <w:rFonts w:hint="eastAsia" w:ascii="宋体" w:hAnsi="宋体" w:cs="宋体"/>
          <w:b/>
          <w:bCs/>
          <w:sz w:val="21"/>
          <w:szCs w:val="21"/>
          <w:highlight w:val="none"/>
          <w:lang w:val="en-US" w:eastAsia="zh-CN"/>
        </w:rPr>
      </w:pP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小标宋简体" w:hAnsi="方正小标宋简体" w:eastAsia="方正小标宋简体" w:cs="方正小标宋简体"/>
          <w:b/>
          <w:sz w:val="36"/>
          <w:szCs w:val="36"/>
          <w:highlight w:val="none"/>
          <w:lang w:val="en-US" w:eastAsia="zh-CN"/>
        </w:rPr>
      </w:pPr>
      <w:r>
        <w:rPr>
          <w:rFonts w:hint="eastAsia" w:ascii="方正小标宋简体" w:hAnsi="方正小标宋简体" w:eastAsia="方正小标宋简体" w:cs="方正小标宋简体"/>
          <w:b/>
          <w:sz w:val="36"/>
          <w:szCs w:val="36"/>
          <w:highlight w:val="none"/>
          <w:lang w:val="en-US" w:eastAsia="zh-CN"/>
        </w:rPr>
        <w:t>石家庄市鹿泉区司法局</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小标宋简体" w:hAnsi="方正小标宋简体" w:eastAsia="方正小标宋简体" w:cs="方正小标宋简体"/>
          <w:b/>
          <w:sz w:val="36"/>
          <w:szCs w:val="36"/>
          <w:highlight w:val="none"/>
          <w:lang w:eastAsia="zh-CN"/>
        </w:rPr>
      </w:pPr>
      <w:r>
        <w:rPr>
          <w:rFonts w:hint="eastAsia" w:ascii="方正小标宋简体" w:hAnsi="方正小标宋简体" w:eastAsia="方正小标宋简体" w:cs="方正小标宋简体"/>
          <w:b/>
          <w:sz w:val="36"/>
          <w:szCs w:val="36"/>
          <w:highlight w:val="none"/>
          <w:lang w:eastAsia="zh-CN"/>
        </w:rPr>
        <w:t>“2022年专项工作经费”项目</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小标宋简体" w:hAnsi="方正小标宋简体" w:eastAsia="方正小标宋简体" w:cs="方正小标宋简体"/>
          <w:b/>
          <w:sz w:val="36"/>
          <w:szCs w:val="36"/>
          <w:highlight w:val="none"/>
        </w:rPr>
      </w:pPr>
      <w:r>
        <w:rPr>
          <w:rFonts w:hint="eastAsia" w:ascii="方正小标宋简体" w:hAnsi="方正小标宋简体" w:eastAsia="方正小标宋简体" w:cs="方正小标宋简体"/>
          <w:b/>
          <w:sz w:val="36"/>
          <w:szCs w:val="36"/>
          <w:highlight w:val="none"/>
        </w:rPr>
        <w:t>绩效评价报告</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仿宋" w:hAnsi="仿宋" w:eastAsia="仿宋" w:cs="仿宋"/>
          <w:sz w:val="28"/>
          <w:szCs w:val="28"/>
          <w:highlight w:val="none"/>
        </w:rPr>
      </w:pPr>
      <w:r>
        <w:rPr>
          <w:rFonts w:hint="eastAsia" w:ascii="仿宋" w:hAnsi="仿宋" w:eastAsia="仿宋" w:cs="仿宋"/>
          <w:sz w:val="28"/>
          <w:szCs w:val="28"/>
          <w:highlight w:val="none"/>
          <w:lang w:val="en-US" w:eastAsia="zh-CN"/>
        </w:rPr>
        <w:t>企融专</w:t>
      </w:r>
      <w:r>
        <w:rPr>
          <w:rFonts w:hint="eastAsia" w:ascii="仿宋" w:hAnsi="仿宋" w:eastAsia="仿宋" w:cs="仿宋"/>
          <w:sz w:val="28"/>
          <w:szCs w:val="28"/>
          <w:highlight w:val="none"/>
        </w:rPr>
        <w:t>字〔202</w:t>
      </w:r>
      <w:r>
        <w:rPr>
          <w:rFonts w:hint="eastAsia" w:ascii="仿宋" w:hAnsi="仿宋" w:eastAsia="仿宋" w:cs="仿宋"/>
          <w:sz w:val="28"/>
          <w:szCs w:val="28"/>
          <w:highlight w:val="none"/>
          <w:lang w:val="en-US" w:eastAsia="zh-CN"/>
        </w:rPr>
        <w:t>3</w:t>
      </w:r>
      <w:r>
        <w:rPr>
          <w:rFonts w:hint="eastAsia" w:ascii="仿宋" w:hAnsi="仿宋" w:eastAsia="仿宋" w:cs="仿宋"/>
          <w:sz w:val="28"/>
          <w:szCs w:val="28"/>
          <w:highlight w:val="none"/>
        </w:rPr>
        <w:t>〕第</w:t>
      </w:r>
      <w:r>
        <w:rPr>
          <w:rFonts w:hint="eastAsia" w:ascii="仿宋" w:hAnsi="仿宋" w:eastAsia="仿宋" w:cs="仿宋"/>
          <w:sz w:val="28"/>
          <w:szCs w:val="28"/>
          <w:highlight w:val="none"/>
          <w:lang w:val="en-US" w:eastAsia="zh-CN"/>
        </w:rPr>
        <w:t>080-3</w:t>
      </w:r>
      <w:r>
        <w:rPr>
          <w:rFonts w:hint="eastAsia" w:ascii="仿宋" w:hAnsi="仿宋" w:eastAsia="仿宋" w:cs="仿宋"/>
          <w:sz w:val="28"/>
          <w:szCs w:val="28"/>
          <w:highlight w:val="none"/>
        </w:rPr>
        <w:t>号</w:t>
      </w:r>
    </w:p>
    <w:p>
      <w:pPr>
        <w:keepNext w:val="0"/>
        <w:keepLines w:val="0"/>
        <w:pageBreakBefore w:val="0"/>
        <w:kinsoku/>
        <w:wordWrap/>
        <w:topLinePunct w:val="0"/>
        <w:autoSpaceDN/>
        <w:bidi w:val="0"/>
        <w:snapToGrid w:val="0"/>
        <w:spacing w:line="360" w:lineRule="auto"/>
        <w:jc w:val="center"/>
        <w:rPr>
          <w:color w:val="FF0000"/>
          <w:sz w:val="30"/>
          <w:szCs w:val="30"/>
          <w:highlight w:val="none"/>
        </w:rPr>
      </w:pPr>
    </w:p>
    <w:p>
      <w:pPr>
        <w:keepNext w:val="0"/>
        <w:keepLines w:val="0"/>
        <w:pageBreakBefore w:val="0"/>
        <w:kinsoku/>
        <w:wordWrap/>
        <w:topLinePunct w:val="0"/>
        <w:autoSpaceDN/>
        <w:bidi w:val="0"/>
        <w:snapToGrid w:val="0"/>
        <w:spacing w:line="360" w:lineRule="auto"/>
        <w:jc w:val="center"/>
        <w:rPr>
          <w:sz w:val="30"/>
          <w:szCs w:val="30"/>
          <w:highlight w:val="none"/>
        </w:rPr>
      </w:pPr>
    </w:p>
    <w:p>
      <w:pPr>
        <w:keepNext w:val="0"/>
        <w:keepLines w:val="0"/>
        <w:pageBreakBefore w:val="0"/>
        <w:kinsoku/>
        <w:wordWrap/>
        <w:topLinePunct w:val="0"/>
        <w:autoSpaceDN/>
        <w:bidi w:val="0"/>
        <w:snapToGrid w:val="0"/>
        <w:spacing w:line="360" w:lineRule="auto"/>
        <w:jc w:val="center"/>
        <w:rPr>
          <w:sz w:val="30"/>
          <w:szCs w:val="30"/>
          <w:highlight w:val="none"/>
        </w:rPr>
      </w:pPr>
    </w:p>
    <w:p>
      <w:pPr>
        <w:keepNext w:val="0"/>
        <w:keepLines w:val="0"/>
        <w:pageBreakBefore w:val="0"/>
        <w:kinsoku/>
        <w:wordWrap/>
        <w:topLinePunct w:val="0"/>
        <w:autoSpaceDN/>
        <w:bidi w:val="0"/>
        <w:snapToGrid w:val="0"/>
        <w:spacing w:line="360" w:lineRule="auto"/>
        <w:jc w:val="center"/>
        <w:rPr>
          <w:sz w:val="30"/>
          <w:szCs w:val="30"/>
          <w:highlight w:val="none"/>
        </w:rPr>
      </w:pPr>
    </w:p>
    <w:p>
      <w:pPr>
        <w:keepNext w:val="0"/>
        <w:keepLines w:val="0"/>
        <w:pageBreakBefore w:val="0"/>
        <w:kinsoku/>
        <w:wordWrap/>
        <w:topLinePunct w:val="0"/>
        <w:autoSpaceDN/>
        <w:bidi w:val="0"/>
        <w:snapToGrid w:val="0"/>
        <w:spacing w:line="360" w:lineRule="auto"/>
        <w:jc w:val="center"/>
        <w:rPr>
          <w:sz w:val="30"/>
          <w:szCs w:val="30"/>
          <w:highlight w:val="none"/>
        </w:rPr>
      </w:pPr>
    </w:p>
    <w:p>
      <w:pPr>
        <w:keepNext w:val="0"/>
        <w:keepLines w:val="0"/>
        <w:pageBreakBefore w:val="0"/>
        <w:kinsoku/>
        <w:wordWrap/>
        <w:topLinePunct w:val="0"/>
        <w:autoSpaceDN/>
        <w:bidi w:val="0"/>
        <w:snapToGrid w:val="0"/>
        <w:spacing w:line="360" w:lineRule="auto"/>
        <w:jc w:val="center"/>
        <w:rPr>
          <w:sz w:val="30"/>
          <w:szCs w:val="30"/>
          <w:highlight w:val="none"/>
        </w:rPr>
      </w:pPr>
    </w:p>
    <w:p>
      <w:pPr>
        <w:keepNext w:val="0"/>
        <w:keepLines w:val="0"/>
        <w:pageBreakBefore w:val="0"/>
        <w:kinsoku/>
        <w:wordWrap/>
        <w:topLinePunct w:val="0"/>
        <w:autoSpaceDN/>
        <w:bidi w:val="0"/>
        <w:snapToGrid w:val="0"/>
        <w:spacing w:line="360" w:lineRule="auto"/>
        <w:jc w:val="center"/>
        <w:rPr>
          <w:sz w:val="30"/>
          <w:szCs w:val="30"/>
          <w:highlight w:val="none"/>
        </w:rPr>
      </w:pPr>
    </w:p>
    <w:p>
      <w:pPr>
        <w:keepNext w:val="0"/>
        <w:keepLines w:val="0"/>
        <w:pageBreakBefore w:val="0"/>
        <w:kinsoku/>
        <w:wordWrap/>
        <w:topLinePunct w:val="0"/>
        <w:autoSpaceDN/>
        <w:bidi w:val="0"/>
        <w:snapToGrid w:val="0"/>
        <w:spacing w:afterLines="50" w:line="360" w:lineRule="auto"/>
        <w:ind w:firstLine="1467" w:firstLineChars="489"/>
        <w:rPr>
          <w:rFonts w:ascii="宋体" w:hAnsi="宋体"/>
          <w:bCs/>
          <w:sz w:val="30"/>
          <w:szCs w:val="30"/>
          <w:highlight w:val="none"/>
        </w:rPr>
      </w:pPr>
    </w:p>
    <w:p>
      <w:pPr>
        <w:keepNext w:val="0"/>
        <w:keepLines w:val="0"/>
        <w:pageBreakBefore w:val="0"/>
        <w:kinsoku/>
        <w:wordWrap/>
        <w:topLinePunct w:val="0"/>
        <w:autoSpaceDN/>
        <w:bidi w:val="0"/>
        <w:snapToGrid w:val="0"/>
        <w:spacing w:afterLines="50" w:line="360" w:lineRule="auto"/>
        <w:ind w:firstLine="1467" w:firstLineChars="489"/>
        <w:rPr>
          <w:rFonts w:ascii="宋体" w:hAnsi="宋体"/>
          <w:bCs/>
          <w:sz w:val="30"/>
          <w:szCs w:val="30"/>
          <w:highlight w:val="none"/>
        </w:rPr>
      </w:pPr>
    </w:p>
    <w:p>
      <w:pPr>
        <w:keepNext w:val="0"/>
        <w:keepLines w:val="0"/>
        <w:pageBreakBefore w:val="0"/>
        <w:tabs>
          <w:tab w:val="left" w:pos="1620"/>
        </w:tabs>
        <w:kinsoku/>
        <w:wordWrap/>
        <w:topLinePunct w:val="0"/>
        <w:autoSpaceDN/>
        <w:bidi w:val="0"/>
        <w:snapToGrid w:val="0"/>
        <w:spacing w:afterLines="50" w:line="360" w:lineRule="auto"/>
        <w:rPr>
          <w:rFonts w:hint="eastAsia" w:ascii="黑体" w:hAnsi="黑体" w:eastAsia="黑体" w:cs="黑体"/>
          <w:b/>
          <w:bCs/>
          <w:sz w:val="30"/>
          <w:szCs w:val="30"/>
          <w:highlight w:val="none"/>
        </w:rPr>
      </w:pPr>
    </w:p>
    <w:p>
      <w:pPr>
        <w:keepNext w:val="0"/>
        <w:keepLines w:val="0"/>
        <w:pageBreakBefore w:val="0"/>
        <w:tabs>
          <w:tab w:val="left" w:pos="1620"/>
        </w:tabs>
        <w:kinsoku/>
        <w:wordWrap/>
        <w:topLinePunct w:val="0"/>
        <w:autoSpaceDN/>
        <w:bidi w:val="0"/>
        <w:snapToGrid w:val="0"/>
        <w:spacing w:afterLines="50" w:line="360" w:lineRule="auto"/>
        <w:rPr>
          <w:rFonts w:hint="eastAsia" w:ascii="仿宋" w:hAnsi="仿宋" w:eastAsia="仿宋" w:cs="仿宋"/>
          <w:b/>
          <w:bCs/>
          <w:sz w:val="28"/>
          <w:szCs w:val="28"/>
          <w:highlight w:val="none"/>
        </w:rPr>
      </w:pPr>
      <w:r>
        <w:rPr>
          <w:rFonts w:hint="eastAsia" w:ascii="仿宋" w:hAnsi="仿宋" w:eastAsia="仿宋" w:cs="仿宋"/>
          <w:b/>
          <w:bCs/>
          <w:sz w:val="28"/>
          <w:szCs w:val="28"/>
          <w:highlight w:val="none"/>
        </w:rPr>
        <w:t>审计单位：河北企融会计师事务所（普通合伙）</w:t>
      </w:r>
    </w:p>
    <w:p>
      <w:pPr>
        <w:keepNext w:val="0"/>
        <w:keepLines w:val="0"/>
        <w:pageBreakBefore w:val="0"/>
        <w:tabs>
          <w:tab w:val="left" w:pos="1620"/>
        </w:tabs>
        <w:kinsoku/>
        <w:wordWrap/>
        <w:topLinePunct w:val="0"/>
        <w:autoSpaceDN/>
        <w:bidi w:val="0"/>
        <w:snapToGrid w:val="0"/>
        <w:spacing w:afterLines="50" w:line="360" w:lineRule="auto"/>
        <w:rPr>
          <w:rFonts w:hint="eastAsia" w:ascii="仿宋" w:hAnsi="仿宋" w:eastAsia="仿宋" w:cs="仿宋"/>
          <w:b/>
          <w:bCs/>
          <w:sz w:val="28"/>
          <w:szCs w:val="28"/>
          <w:highlight w:val="none"/>
        </w:rPr>
      </w:pPr>
      <w:r>
        <w:rPr>
          <w:rFonts w:hint="eastAsia" w:ascii="仿宋" w:hAnsi="仿宋" w:eastAsia="仿宋" w:cs="仿宋"/>
          <w:b/>
          <w:bCs/>
          <w:sz w:val="28"/>
          <w:szCs w:val="28"/>
          <w:highlight w:val="none"/>
        </w:rPr>
        <w:t>地 址：河北省石家庄市</w:t>
      </w:r>
      <w:r>
        <w:rPr>
          <w:rFonts w:hint="eastAsia" w:ascii="仿宋" w:hAnsi="仿宋" w:eastAsia="仿宋" w:cs="仿宋"/>
          <w:b/>
          <w:bCs/>
          <w:sz w:val="28"/>
          <w:szCs w:val="28"/>
          <w:highlight w:val="none"/>
          <w:lang w:val="en-US" w:eastAsia="zh-CN"/>
        </w:rPr>
        <w:t>新华区和平西路256号二楼204室</w:t>
      </w:r>
    </w:p>
    <w:p>
      <w:pPr>
        <w:keepNext w:val="0"/>
        <w:keepLines w:val="0"/>
        <w:pageBreakBefore w:val="0"/>
        <w:tabs>
          <w:tab w:val="left" w:pos="1620"/>
        </w:tabs>
        <w:kinsoku/>
        <w:wordWrap/>
        <w:topLinePunct w:val="0"/>
        <w:autoSpaceDN/>
        <w:bidi w:val="0"/>
        <w:snapToGrid w:val="0"/>
        <w:spacing w:afterLines="50" w:line="360" w:lineRule="auto"/>
        <w:ind w:firstLine="1656" w:firstLineChars="550"/>
        <w:rPr>
          <w:rFonts w:hint="eastAsia" w:ascii="黑体" w:hAnsi="黑体" w:eastAsia="黑体" w:cs="黑体"/>
          <w:b/>
          <w:bCs/>
          <w:sz w:val="30"/>
          <w:szCs w:val="30"/>
          <w:highlight w:val="none"/>
        </w:rPr>
        <w:sectPr>
          <w:headerReference r:id="rId3" w:type="default"/>
          <w:footerReference r:id="rId4" w:type="default"/>
          <w:footerReference r:id="rId5" w:type="even"/>
          <w:pgSz w:w="11906" w:h="16838"/>
          <w:pgMar w:top="1701" w:right="1247" w:bottom="1247" w:left="1361" w:header="1021" w:footer="851" w:gutter="113"/>
          <w:pgNumType w:fmt="decimal" w:start="0"/>
          <w:cols w:space="425" w:num="1"/>
          <w:titlePg/>
          <w:docGrid w:type="lines" w:linePitch="312" w:charSpace="0"/>
        </w:sectPr>
      </w:pPr>
    </w:p>
    <w:p>
      <w:pPr>
        <w:keepNext w:val="0"/>
        <w:keepLines w:val="0"/>
        <w:pageBreakBefore w:val="0"/>
        <w:widowControl w:val="0"/>
        <w:kinsoku/>
        <w:wordWrap/>
        <w:topLinePunct w:val="0"/>
        <w:autoSpaceDN/>
        <w:bidi w:val="0"/>
        <w:spacing w:line="360" w:lineRule="auto"/>
        <w:ind w:right="0" w:rightChars="0"/>
        <w:jc w:val="center"/>
        <w:textAlignment w:val="auto"/>
        <w:outlineLvl w:val="9"/>
        <w:rPr>
          <w:rFonts w:hint="eastAsia" w:ascii="方正小标宋简体" w:hAnsi="方正小标宋简体" w:eastAsia="方正小标宋简体" w:cs="方正小标宋简体"/>
          <w:bCs/>
          <w:sz w:val="32"/>
          <w:szCs w:val="32"/>
          <w:highlight w:val="none"/>
          <w:lang w:val="en-US" w:eastAsia="zh-CN"/>
        </w:rPr>
      </w:pPr>
      <w:r>
        <w:rPr>
          <w:rFonts w:hint="eastAsia" w:ascii="方正小标宋简体" w:hAnsi="方正小标宋简体" w:eastAsia="方正小标宋简体" w:cs="方正小标宋简体"/>
          <w:bCs/>
          <w:sz w:val="32"/>
          <w:szCs w:val="32"/>
          <w:highlight w:val="none"/>
          <w:lang w:val="en-US" w:eastAsia="zh-CN"/>
        </w:rPr>
        <w:t>石家庄市鹿泉区司法局</w:t>
      </w:r>
    </w:p>
    <w:p>
      <w:pPr>
        <w:keepNext w:val="0"/>
        <w:keepLines w:val="0"/>
        <w:pageBreakBefore w:val="0"/>
        <w:widowControl w:val="0"/>
        <w:kinsoku/>
        <w:wordWrap/>
        <w:topLinePunct w:val="0"/>
        <w:autoSpaceDN/>
        <w:bidi w:val="0"/>
        <w:spacing w:line="360" w:lineRule="auto"/>
        <w:ind w:right="0" w:rightChars="0"/>
        <w:jc w:val="center"/>
        <w:textAlignment w:val="auto"/>
        <w:outlineLvl w:val="9"/>
        <w:rPr>
          <w:rFonts w:hint="eastAsia" w:ascii="方正小标宋简体" w:hAnsi="方正小标宋简体" w:eastAsia="方正小标宋简体" w:cs="方正小标宋简体"/>
          <w:bCs/>
          <w:sz w:val="32"/>
          <w:szCs w:val="32"/>
          <w:highlight w:val="none"/>
          <w:lang w:val="en-US" w:eastAsia="zh-CN"/>
        </w:rPr>
      </w:pPr>
      <w:r>
        <w:rPr>
          <w:rFonts w:hint="eastAsia" w:ascii="方正小标宋简体" w:hAnsi="方正小标宋简体" w:eastAsia="方正小标宋简体" w:cs="方正小标宋简体"/>
          <w:bCs/>
          <w:sz w:val="32"/>
          <w:szCs w:val="32"/>
          <w:highlight w:val="none"/>
          <w:lang w:val="en-US" w:eastAsia="zh-CN"/>
        </w:rPr>
        <w:t>“2022年专项工作经费”项目</w:t>
      </w:r>
    </w:p>
    <w:p>
      <w:pPr>
        <w:keepNext w:val="0"/>
        <w:keepLines w:val="0"/>
        <w:pageBreakBefore w:val="0"/>
        <w:widowControl w:val="0"/>
        <w:kinsoku/>
        <w:wordWrap/>
        <w:topLinePunct w:val="0"/>
        <w:autoSpaceDN/>
        <w:bidi w:val="0"/>
        <w:spacing w:line="360" w:lineRule="auto"/>
        <w:ind w:right="0" w:rightChars="0"/>
        <w:jc w:val="center"/>
        <w:textAlignment w:val="auto"/>
        <w:outlineLvl w:val="9"/>
        <w:rPr>
          <w:rFonts w:hint="eastAsia" w:ascii="方正小标宋简体" w:hAnsi="方正小标宋简体" w:eastAsia="方正小标宋简体" w:cs="方正小标宋简体"/>
          <w:bCs/>
          <w:sz w:val="32"/>
          <w:szCs w:val="32"/>
          <w:highlight w:val="none"/>
        </w:rPr>
      </w:pPr>
      <w:r>
        <w:rPr>
          <w:rFonts w:hint="eastAsia" w:ascii="方正小标宋简体" w:hAnsi="方正小标宋简体" w:eastAsia="方正小标宋简体" w:cs="方正小标宋简体"/>
          <w:bCs/>
          <w:sz w:val="32"/>
          <w:szCs w:val="32"/>
          <w:highlight w:val="none"/>
        </w:rPr>
        <w:t>绩效评价报告</w:t>
      </w:r>
    </w:p>
    <w:p>
      <w:pPr>
        <w:keepNext w:val="0"/>
        <w:keepLines w:val="0"/>
        <w:pageBreakBefore w:val="0"/>
        <w:widowControl w:val="0"/>
        <w:kinsoku/>
        <w:wordWrap/>
        <w:overflowPunct w:val="0"/>
        <w:topLinePunct w:val="0"/>
        <w:autoSpaceDE w:val="0"/>
        <w:autoSpaceDN/>
        <w:bidi w:val="0"/>
        <w:spacing w:line="360" w:lineRule="auto"/>
        <w:ind w:right="0" w:rightChars="0"/>
        <w:jc w:val="right"/>
        <w:textAlignment w:val="auto"/>
        <w:outlineLvl w:val="9"/>
        <w:rPr>
          <w:rFonts w:hint="eastAsia" w:ascii="仿宋" w:hAnsi="仿宋" w:eastAsia="仿宋" w:cs="仿宋"/>
          <w:b/>
          <w:bCs/>
          <w:sz w:val="24"/>
          <w:szCs w:val="24"/>
          <w:highlight w:val="none"/>
          <w:lang w:eastAsia="zh-CN"/>
        </w:rPr>
      </w:pPr>
      <w:r>
        <w:rPr>
          <w:rFonts w:hint="eastAsia" w:ascii="仿宋" w:hAnsi="仿宋" w:eastAsia="仿宋" w:cs="仿宋"/>
          <w:sz w:val="24"/>
          <w:szCs w:val="24"/>
          <w:highlight w:val="none"/>
          <w:lang w:val="en-US" w:eastAsia="zh-CN"/>
        </w:rPr>
        <w:t>企融专</w:t>
      </w:r>
      <w:r>
        <w:rPr>
          <w:rFonts w:hint="eastAsia" w:ascii="仿宋" w:hAnsi="仿宋" w:eastAsia="仿宋" w:cs="仿宋"/>
          <w:sz w:val="24"/>
          <w:szCs w:val="24"/>
          <w:highlight w:val="none"/>
        </w:rPr>
        <w:t>字〔202</w:t>
      </w: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〕第</w:t>
      </w:r>
      <w:r>
        <w:rPr>
          <w:rFonts w:hint="eastAsia" w:ascii="仿宋" w:hAnsi="仿宋" w:eastAsia="仿宋" w:cs="仿宋"/>
          <w:sz w:val="24"/>
          <w:szCs w:val="24"/>
          <w:highlight w:val="none"/>
          <w:lang w:val="en-US" w:eastAsia="zh-CN"/>
        </w:rPr>
        <w:t>080-3</w:t>
      </w:r>
      <w:r>
        <w:rPr>
          <w:rFonts w:hint="eastAsia" w:ascii="仿宋" w:hAnsi="仿宋" w:eastAsia="仿宋" w:cs="仿宋"/>
          <w:sz w:val="24"/>
          <w:szCs w:val="24"/>
          <w:highlight w:val="none"/>
        </w:rPr>
        <w:t>号</w:t>
      </w:r>
    </w:p>
    <w:p>
      <w:pPr>
        <w:keepNext w:val="0"/>
        <w:keepLines w:val="0"/>
        <w:pageBreakBefore w:val="0"/>
        <w:widowControl w:val="0"/>
        <w:kinsoku/>
        <w:wordWrap/>
        <w:overflowPunct w:val="0"/>
        <w:topLinePunct w:val="0"/>
        <w:autoSpaceDE w:val="0"/>
        <w:autoSpaceDN/>
        <w:bidi w:val="0"/>
        <w:spacing w:line="360" w:lineRule="auto"/>
        <w:ind w:right="0" w:rightChars="0"/>
        <w:jc w:val="left"/>
        <w:textAlignment w:val="auto"/>
        <w:outlineLvl w:val="9"/>
        <w:rPr>
          <w:rFonts w:hint="eastAsia" w:ascii="仿宋" w:hAnsi="仿宋" w:eastAsia="仿宋" w:cs="仿宋"/>
          <w:b/>
          <w:bCs/>
          <w:sz w:val="32"/>
          <w:szCs w:val="32"/>
          <w:highlight w:val="none"/>
          <w:lang w:eastAsia="zh-CN"/>
        </w:rPr>
      </w:pPr>
      <w:r>
        <w:rPr>
          <w:rFonts w:hint="eastAsia" w:ascii="仿宋" w:hAnsi="仿宋" w:eastAsia="仿宋" w:cs="仿宋"/>
          <w:b/>
          <w:bCs/>
          <w:sz w:val="32"/>
          <w:szCs w:val="32"/>
          <w:highlight w:val="none"/>
          <w:lang w:eastAsia="zh-CN"/>
        </w:rPr>
        <w:t>石家庄市</w:t>
      </w:r>
      <w:r>
        <w:rPr>
          <w:rFonts w:hint="eastAsia" w:ascii="仿宋" w:hAnsi="仿宋" w:eastAsia="仿宋" w:cs="仿宋"/>
          <w:b/>
          <w:bCs/>
          <w:sz w:val="32"/>
          <w:szCs w:val="32"/>
          <w:highlight w:val="none"/>
          <w:lang w:val="en-US" w:eastAsia="zh-CN"/>
        </w:rPr>
        <w:t>鹿泉区财政局</w:t>
      </w:r>
      <w:r>
        <w:rPr>
          <w:rFonts w:hint="eastAsia" w:ascii="仿宋" w:hAnsi="仿宋" w:eastAsia="仿宋" w:cs="仿宋"/>
          <w:b/>
          <w:bCs/>
          <w:sz w:val="32"/>
          <w:szCs w:val="32"/>
          <w:highlight w:val="none"/>
          <w:lang w:eastAsia="zh-CN"/>
        </w:rPr>
        <w:t>：</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我们接受委托，对石家庄市鹿泉区司法局（以下简称鹿泉区司法局）承担的“2022年专项工作经费”项目支出情况进行绩效评价。</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提供真实、合法、完整的绩效评价相关资料是鹿泉区司法局的责任，我们的责任是依据《财政部关于印发&lt;项目支出绩效评价管理办法&gt;的通知》（财预〔2020〕10号）、《关于全面实施预算绩效管理的实施意见》（鹿发〔2019〕8号）、《石家庄市鹿泉区区级预算绩效重点评价管理办法》鹿财字〔2020〕17 号、《河北省法律援助条例》、《河北省关于进一步完善法律援助制度加强援助工作的实施意见》及《河北省财政厅 河北省司法厅关于印发&lt;河北省法律援助经费使用管理办法&gt;的通知》（冀财行〔2013〕80号）等文件要求，对鹿泉区司法局“2022年度专项工作经费”项目支出情况进行绩效评价，并在此基础上出具报告。</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我们结合项目的实际情况，对鹿泉区司法局提供的相关资料、实际完成情况等进行了全面核查和分析，对支出的绩效完成情况进行了评估。现委托事项业已完成，将评估结果汇报如下：</w:t>
      </w:r>
    </w:p>
    <w:p>
      <w:pPr>
        <w:keepNext w:val="0"/>
        <w:keepLines w:val="0"/>
        <w:pageBreakBefore w:val="0"/>
        <w:widowControl w:val="0"/>
        <w:tabs>
          <w:tab w:val="left" w:pos="840"/>
        </w:tabs>
        <w:kinsoku/>
        <w:wordWrap/>
        <w:topLinePunct w:val="0"/>
        <w:autoSpaceDN/>
        <w:bidi w:val="0"/>
        <w:adjustRightInd w:val="0"/>
        <w:snapToGrid w:val="0"/>
        <w:spacing w:line="360" w:lineRule="auto"/>
        <w:ind w:right="0" w:rightChars="0" w:firstLine="640" w:firstLineChars="200"/>
        <w:textAlignment w:val="auto"/>
        <w:outlineLvl w:val="9"/>
        <w:rPr>
          <w:rFonts w:hint="eastAsia" w:ascii="黑体" w:hAnsi="黑体" w:eastAsia="黑体" w:cs="黑体"/>
          <w:bCs/>
          <w:sz w:val="32"/>
          <w:szCs w:val="32"/>
          <w:highlight w:val="none"/>
          <w:lang w:val="en-US" w:eastAsia="zh-CN"/>
        </w:rPr>
      </w:pPr>
      <w:bookmarkStart w:id="0" w:name="_Toc56061027"/>
      <w:r>
        <w:rPr>
          <w:rFonts w:hint="eastAsia" w:ascii="黑体" w:hAnsi="黑体" w:eastAsia="黑体" w:cs="黑体"/>
          <w:bCs/>
          <w:sz w:val="32"/>
          <w:szCs w:val="32"/>
          <w:highlight w:val="none"/>
          <w:lang w:val="en-US" w:eastAsia="zh-CN"/>
        </w:rPr>
        <w:t>一、基本情况</w:t>
      </w:r>
      <w:bookmarkEnd w:id="0"/>
    </w:p>
    <w:p>
      <w:pPr>
        <w:keepNext w:val="0"/>
        <w:keepLines w:val="0"/>
        <w:pageBreakBefore w:val="0"/>
        <w:widowControl w:val="0"/>
        <w:kinsoku/>
        <w:wordWrap/>
        <w:topLinePunct w:val="0"/>
        <w:autoSpaceDN/>
        <w:bidi w:val="0"/>
        <w:spacing w:line="360" w:lineRule="auto"/>
        <w:ind w:right="0" w:rightChars="0" w:firstLine="640" w:firstLineChars="200"/>
        <w:jc w:val="both"/>
        <w:textAlignment w:val="auto"/>
        <w:outlineLvl w:val="9"/>
        <w:rPr>
          <w:rFonts w:hint="eastAsia" w:ascii="楷体_GB2312" w:hAnsi="楷体_GB2312" w:eastAsia="楷体_GB2312" w:cs="楷体_GB2312"/>
          <w:sz w:val="32"/>
          <w:szCs w:val="32"/>
          <w:highlight w:val="none"/>
          <w:lang w:val="en-US" w:eastAsia="zh-CN"/>
        </w:rPr>
      </w:pPr>
      <w:bookmarkStart w:id="1" w:name="_Toc56061028"/>
      <w:r>
        <w:rPr>
          <w:rFonts w:hint="eastAsia" w:ascii="楷体_GB2312" w:hAnsi="楷体_GB2312" w:eastAsia="楷体_GB2312" w:cs="楷体_GB2312"/>
          <w:sz w:val="32"/>
          <w:szCs w:val="32"/>
          <w:highlight w:val="none"/>
          <w:lang w:val="en-US" w:eastAsia="zh-CN"/>
        </w:rPr>
        <w:t>（一）项目概况</w:t>
      </w:r>
      <w:bookmarkEnd w:id="1"/>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1.项目承担单位及实施单位</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项目承担及实施单位为石家庄市鹿泉区司法局属于石家庄市鹿泉区人民政府职能部门，主要职能：</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(1)担全面依法治区重大问题的政策研究。组织协调有关方面提出全面依法治区中长期规划建议，负责有关重大决策部署督查工作。</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负责区政府各部门、各乡（镇、区）政府规范性文件的备案审查工作。负责对区政府政策措施、规范性文件和合同协议的合法性审核工作；承办区政府交办的涉法事务；承办区政府规范性文件上报市政府和区人大常委会备案工作。</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(3)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(4)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(5)负责全区社区矫正工作，负责刑满释放人员帮教安置工作。</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(6)负责拟订公共法律服务体系建设规划并组织实施，统筹和布局全区法律服务资源；负责全区律师、公证、法律援助、司法鉴定和基层法律服务管理工作。</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(7)规划、协调、指导全区法治人才队伍建设相关工作；负责本系统队伍建设。</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(8)完成区委、区政府交办的其他任务。</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2.项目主要实施内容和范围</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积极参与矛盾纠纷排查，对排查发现的矛盾纠纷线索，采取有针对性的措施，预防和减少矛盾纠纷的发生；认真开展矛盾纠纷调解，在充分听取当事人陈述和调查了解有关情况的基础上，通过说服、教育、规劝、疏导等方式方法，促进当事人平等协商、自愿达成调解协议，督促当事人及时履行协议约定的义务，人民调解员对当事人主动申请调解的，无正当理由不得推诿不受理；做好法治宣传教育工作，注重通过调解工作宣传法律法规、规章和政策，教育公民遵纪守法，弘扬社会公德、职业道德和家庭美德 发现违法犯罪以砭影响社会稳定和治安秩库的苗头隐患，及时报告辖区公安机关；主动向所在的人民调解委员会报告矛盾纠纷排查调解情况，认真做好纠纷登记、调解统计、案例选报和文书档案管理等工作；自觉接受司法行政部门指导和基层人民法院业务指导，严格遵守人民调解委员会制度规定，积极参加各项政治学习和业务培训；认真完成司法行政部门和人民调解委员会交办的其他工作任务。</w:t>
      </w:r>
    </w:p>
    <w:p>
      <w:pPr>
        <w:keepNext w:val="0"/>
        <w:keepLines w:val="0"/>
        <w:pageBreakBefore w:val="0"/>
        <w:widowControl w:val="0"/>
        <w:kinsoku/>
        <w:wordWrap/>
        <w:topLinePunct w:val="0"/>
        <w:autoSpaceDN/>
        <w:bidi w:val="0"/>
        <w:spacing w:line="360" w:lineRule="auto"/>
        <w:ind w:right="0" w:rightChars="0" w:firstLine="640" w:firstLineChars="200"/>
        <w:jc w:val="both"/>
        <w:textAlignment w:val="auto"/>
        <w:outlineLvl w:val="9"/>
        <w:rPr>
          <w:rFonts w:hint="eastAsia" w:ascii="楷体_GB2312" w:hAnsi="楷体_GB2312" w:eastAsia="楷体_GB2312" w:cs="楷体_GB2312"/>
          <w:sz w:val="32"/>
          <w:szCs w:val="32"/>
          <w:highlight w:val="none"/>
          <w:lang w:val="en-US" w:eastAsia="zh-CN"/>
        </w:rPr>
      </w:pPr>
      <w:bookmarkStart w:id="2" w:name="_Toc56061029"/>
      <w:r>
        <w:rPr>
          <w:rFonts w:hint="eastAsia" w:ascii="楷体_GB2312" w:hAnsi="楷体_GB2312" w:eastAsia="楷体_GB2312" w:cs="楷体_GB2312"/>
          <w:sz w:val="32"/>
          <w:szCs w:val="32"/>
          <w:highlight w:val="none"/>
          <w:lang w:val="en-US" w:eastAsia="zh-CN"/>
        </w:rPr>
        <w:t>（二）项目资金安排情况</w:t>
      </w:r>
      <w:bookmarkEnd w:id="2"/>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2022年财政预算安排资金300,000.00元，资金全部来源于财政拨款。</w:t>
      </w:r>
    </w:p>
    <w:p>
      <w:pPr>
        <w:keepNext w:val="0"/>
        <w:keepLines w:val="0"/>
        <w:pageBreakBefore w:val="0"/>
        <w:widowControl w:val="0"/>
        <w:kinsoku/>
        <w:wordWrap/>
        <w:topLinePunct w:val="0"/>
        <w:autoSpaceDN/>
        <w:bidi w:val="0"/>
        <w:spacing w:line="360" w:lineRule="auto"/>
        <w:ind w:right="0" w:rightChars="0" w:firstLine="640" w:firstLineChars="200"/>
        <w:jc w:val="both"/>
        <w:textAlignment w:val="auto"/>
        <w:outlineLvl w:val="9"/>
        <w:rPr>
          <w:rFonts w:hint="eastAsia" w:ascii="楷体_GB2312" w:hAnsi="楷体_GB2312" w:eastAsia="楷体_GB2312" w:cs="楷体_GB2312"/>
          <w:sz w:val="32"/>
          <w:szCs w:val="32"/>
          <w:highlight w:val="none"/>
          <w:lang w:val="en-US" w:eastAsia="zh-CN"/>
        </w:rPr>
      </w:pPr>
      <w:bookmarkStart w:id="3" w:name="_Toc56061030"/>
      <w:r>
        <w:rPr>
          <w:rFonts w:hint="eastAsia" w:ascii="楷体_GB2312" w:hAnsi="楷体_GB2312" w:eastAsia="楷体_GB2312" w:cs="楷体_GB2312"/>
          <w:sz w:val="32"/>
          <w:szCs w:val="32"/>
          <w:highlight w:val="none"/>
          <w:lang w:val="en-US" w:eastAsia="zh-CN"/>
        </w:rPr>
        <w:t>（三）项目预期绩效目标</w:t>
      </w:r>
      <w:bookmarkEnd w:id="3"/>
    </w:p>
    <w:p>
      <w:pPr>
        <w:keepNext w:val="0"/>
        <w:keepLines w:val="0"/>
        <w:pageBreakBefore w:val="0"/>
        <w:widowControl w:val="0"/>
        <w:kinsoku/>
        <w:wordWrap/>
        <w:topLinePunct w:val="0"/>
        <w:autoSpaceDN/>
        <w:bidi w:val="0"/>
        <w:spacing w:line="360" w:lineRule="auto"/>
        <w:ind w:right="0" w:rightChars="0" w:firstLine="640" w:firstLineChars="200"/>
        <w:jc w:val="both"/>
        <w:textAlignment w:val="auto"/>
        <w:outlineLvl w:val="9"/>
        <w:rPr>
          <w:rFonts w:hint="eastAsia" w:ascii="仿宋_GB2312" w:hAnsi="仿宋_GB2312" w:eastAsia="仿宋_GB2312" w:cs="仿宋_GB2312"/>
          <w:sz w:val="32"/>
          <w:szCs w:val="32"/>
          <w:highlight w:val="none"/>
          <w:lang w:val="en-US" w:eastAsia="zh-CN"/>
        </w:rPr>
      </w:pPr>
      <w:r>
        <w:rPr>
          <w:rFonts w:hint="eastAsia" w:ascii="仿宋" w:hAnsi="仿宋" w:eastAsia="仿宋" w:cs="仿宋"/>
          <w:sz w:val="32"/>
          <w:szCs w:val="32"/>
          <w:highlight w:val="none"/>
          <w:lang w:val="en-US" w:eastAsia="zh-CN"/>
        </w:rPr>
        <w:t>通过提供法律咨询、代书、办理民事、刑事等法律援助案件以及提供涉法涉诉信访事项服务等，为全区经济困难公民和特殊案件当事人降低门槛、扩大法律援助覆盖面、提供无偿法律援助服务，确保法律援助案件质量提升。</w:t>
      </w:r>
    </w:p>
    <w:p>
      <w:pPr>
        <w:keepNext w:val="0"/>
        <w:keepLines w:val="0"/>
        <w:pageBreakBefore w:val="0"/>
        <w:widowControl w:val="0"/>
        <w:numPr>
          <w:ilvl w:val="0"/>
          <w:numId w:val="1"/>
        </w:numPr>
        <w:kinsoku/>
        <w:wordWrap/>
        <w:topLinePunct w:val="0"/>
        <w:autoSpaceDN/>
        <w:bidi w:val="0"/>
        <w:spacing w:line="360" w:lineRule="auto"/>
        <w:ind w:right="0" w:rightChars="0" w:firstLine="640" w:firstLineChars="200"/>
        <w:jc w:val="both"/>
        <w:textAlignment w:val="auto"/>
        <w:outlineLvl w:val="9"/>
        <w:rPr>
          <w:rFonts w:hint="eastAsia" w:ascii="仿宋_GB2312" w:hAnsi="仿宋_GB2312" w:eastAsia="仿宋_GB2312" w:cs="仿宋_GB2312"/>
          <w:spacing w:val="20"/>
          <w:kern w:val="2"/>
          <w:sz w:val="32"/>
          <w:szCs w:val="32"/>
          <w:highlight w:val="none"/>
          <w:lang w:val="en-US" w:eastAsia="zh-CN" w:bidi="ar-SA"/>
        </w:rPr>
      </w:pPr>
      <w:r>
        <w:rPr>
          <w:rFonts w:hint="eastAsia" w:ascii="楷体_GB2312" w:hAnsi="楷体_GB2312" w:eastAsia="楷体_GB2312" w:cs="楷体_GB2312"/>
          <w:sz w:val="32"/>
          <w:szCs w:val="32"/>
          <w:highlight w:val="none"/>
          <w:lang w:val="en-US" w:eastAsia="zh-CN"/>
        </w:rPr>
        <w:t>项目实际完成情况</w:t>
      </w:r>
    </w:p>
    <w:p>
      <w:pPr>
        <w:keepNext w:val="0"/>
        <w:keepLines w:val="0"/>
        <w:pageBreakBefore w:val="0"/>
        <w:widowControl w:val="0"/>
        <w:numPr>
          <w:ilvl w:val="0"/>
          <w:numId w:val="0"/>
        </w:numPr>
        <w:kinsoku/>
        <w:wordWrap/>
        <w:topLinePunct w:val="0"/>
        <w:autoSpaceDN/>
        <w:bidi w:val="0"/>
        <w:spacing w:line="360" w:lineRule="auto"/>
        <w:ind w:right="0" w:rightChars="0" w:firstLine="720" w:firstLineChars="200"/>
        <w:jc w:val="both"/>
        <w:textAlignment w:val="auto"/>
        <w:outlineLvl w:val="9"/>
        <w:rPr>
          <w:rFonts w:hint="eastAsia" w:ascii="仿宋" w:hAnsi="仿宋" w:eastAsia="仿宋" w:cs="仿宋"/>
          <w:spacing w:val="20"/>
          <w:kern w:val="2"/>
          <w:sz w:val="32"/>
          <w:szCs w:val="32"/>
          <w:highlight w:val="none"/>
          <w:lang w:val="en-US" w:eastAsia="zh-CN" w:bidi="ar-SA"/>
        </w:rPr>
      </w:pPr>
      <w:r>
        <w:rPr>
          <w:rFonts w:hint="eastAsia" w:ascii="仿宋" w:hAnsi="仿宋" w:eastAsia="仿宋" w:cs="仿宋"/>
          <w:spacing w:val="20"/>
          <w:kern w:val="2"/>
          <w:sz w:val="32"/>
          <w:szCs w:val="32"/>
          <w:highlight w:val="none"/>
          <w:lang w:val="en-US" w:eastAsia="zh-CN" w:bidi="ar-SA"/>
        </w:rPr>
        <w:t>1.组织推动</w:t>
      </w:r>
    </w:p>
    <w:p>
      <w:pPr>
        <w:pStyle w:val="3"/>
        <w:keepNext w:val="0"/>
        <w:keepLines w:val="0"/>
        <w:pageBreakBefore w:val="0"/>
        <w:kinsoku/>
        <w:wordWrap/>
        <w:topLinePunct w:val="0"/>
        <w:autoSpaceDN/>
        <w:bidi w:val="0"/>
        <w:spacing w:before="1" w:line="360" w:lineRule="auto"/>
        <w:ind w:firstLine="720" w:firstLineChars="200"/>
        <w:rPr>
          <w:rFonts w:hint="eastAsia" w:ascii="仿宋" w:hAnsi="仿宋" w:eastAsia="仿宋" w:cs="仿宋"/>
          <w:sz w:val="32"/>
          <w:szCs w:val="32"/>
          <w:highlight w:val="none"/>
          <w:lang w:val="en-US" w:eastAsia="zh-CN"/>
        </w:rPr>
      </w:pPr>
      <w:r>
        <w:rPr>
          <w:rFonts w:hint="eastAsia" w:ascii="仿宋" w:hAnsi="仿宋" w:eastAsia="仿宋" w:cs="仿宋"/>
          <w:spacing w:val="20"/>
          <w:kern w:val="2"/>
          <w:sz w:val="32"/>
          <w:szCs w:val="32"/>
          <w:highlight w:val="none"/>
          <w:lang w:val="en-US" w:eastAsia="zh-CN" w:bidi="ar-SA"/>
        </w:rPr>
        <w:t>为“规范对困难群众维护合法权益的法律援助 ”，“决不允许让普通群众打不起官司 ”，实现应援尽援，应援优援，确保民事及刑事案件律师辩护全覆盖工作的有效试行，鹿泉区司法局不断扩展法律援助人群，通过走访摸排，了解农村低保户、五保户和军人军属等特殊群体的法律援助需求，以法律援助法为重点，安排法律援助机构工作人</w:t>
      </w:r>
      <w:r>
        <w:rPr>
          <w:rFonts w:hint="eastAsia" w:ascii="仿宋" w:hAnsi="仿宋" w:eastAsia="仿宋" w:cs="仿宋"/>
          <w:sz w:val="32"/>
          <w:szCs w:val="32"/>
          <w:highlight w:val="none"/>
          <w:lang w:val="en-US" w:eastAsia="zh-CN"/>
        </w:rPr>
        <w:t>员、办案律师及同行评估律师，通过法律宣传，重点为群众讲解法律援助申请流程、援助事项等知识，引导群众依法合理表达诉求，通过法律途径维护自身合法权益。</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2.资金投入</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kern w:val="2"/>
          <w:sz w:val="32"/>
          <w:szCs w:val="32"/>
          <w:highlight w:val="none"/>
          <w:lang w:val="en-US" w:eastAsia="zh-CN" w:bidi="ar-SA"/>
        </w:rPr>
        <w:t>该项目2022年预算资金300,000.00元，财政实际拨入资金225,000.00元，</w:t>
      </w:r>
      <w:r>
        <w:rPr>
          <w:rFonts w:hint="eastAsia" w:ascii="仿宋" w:hAnsi="仿宋" w:eastAsia="仿宋" w:cs="仿宋"/>
          <w:sz w:val="32"/>
          <w:szCs w:val="32"/>
          <w:highlight w:val="none"/>
          <w:lang w:val="en-US" w:eastAsia="zh-CN"/>
        </w:rPr>
        <w:t>至2022年12月31日石家庄市鹿泉区财政局申请财政拨入并支付项目资金224,930.60元，资金到位率75.00%，预算执行率99.97%。</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3.完成情况</w:t>
      </w:r>
    </w:p>
    <w:p>
      <w:pPr>
        <w:keepNext w:val="0"/>
        <w:keepLines w:val="0"/>
        <w:pageBreakBefore w:val="0"/>
        <w:widowControl w:val="0"/>
        <w:kinsoku/>
        <w:wordWrap/>
        <w:overflowPunct/>
        <w:topLinePunct w:val="0"/>
        <w:autoSpaceDE/>
        <w:autoSpaceDN/>
        <w:bidi w:val="0"/>
        <w:adjustRightInd w:val="0"/>
        <w:snapToGrid w:val="0"/>
        <w:spacing w:after="157" w:afterLines="50"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鹿泉区司法局“2022年专项工作经费”项目，实际完成委托公证事项412件，实际完成法律援助案件48件，其中刑事案件11件、民事案件37件。</w:t>
      </w:r>
    </w:p>
    <w:p>
      <w:pPr>
        <w:keepNext w:val="0"/>
        <w:keepLines w:val="0"/>
        <w:pageBreakBefore w:val="0"/>
        <w:widowControl w:val="0"/>
        <w:kinsoku/>
        <w:wordWrap/>
        <w:overflowPunct/>
        <w:topLinePunct w:val="0"/>
        <w:autoSpaceDE/>
        <w:autoSpaceDN/>
        <w:bidi w:val="0"/>
        <w:adjustRightInd w:val="0"/>
        <w:snapToGrid w:val="0"/>
        <w:spacing w:after="157" w:afterLines="50" w:line="360" w:lineRule="auto"/>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 w:hAnsi="仿宋" w:eastAsia="仿宋" w:cs="仿宋"/>
          <w:sz w:val="32"/>
          <w:szCs w:val="32"/>
          <w:highlight w:val="none"/>
          <w:lang w:val="en-US" w:eastAsia="zh-CN"/>
        </w:rPr>
        <w:t>支出合计224,930.60元，其中：2022年支付法律援助宣传品5,672.00元，法律援助值班补贴32,580.00元(120元/人/日），法律援助案件补贴（民事）22,200.00元(600元/件)，法律援助案件补贴（刑事）4,400.00元(400元/件)，区政府购买公证服务费150,000.00元(含临聘公证员2022年工资60,000.00元)，法律援助中心购买电脑及显示器4,380.00元，印制法律援助法书籍等5,698.60元。</w:t>
      </w:r>
    </w:p>
    <w:p>
      <w:pPr>
        <w:keepNext w:val="0"/>
        <w:keepLines w:val="0"/>
        <w:pageBreakBefore w:val="0"/>
        <w:widowControl w:val="0"/>
        <w:tabs>
          <w:tab w:val="left" w:pos="840"/>
        </w:tabs>
        <w:kinsoku/>
        <w:wordWrap/>
        <w:topLinePunct w:val="0"/>
        <w:autoSpaceDN/>
        <w:bidi w:val="0"/>
        <w:adjustRightInd w:val="0"/>
        <w:snapToGrid w:val="0"/>
        <w:spacing w:line="360" w:lineRule="auto"/>
        <w:ind w:right="0" w:rightChars="0" w:firstLine="640" w:firstLineChars="200"/>
        <w:textAlignment w:val="auto"/>
        <w:outlineLvl w:val="9"/>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lang w:val="en-US" w:eastAsia="zh-CN"/>
        </w:rPr>
        <w:t>二、绩效评价目的</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通过对鹿泉区司法局承担的“2022年专项工作经费”项目支出情况开展绩效评价，在了解资金的投入和使用情况、取得成效的基础上，加强预算绩效管理，强化支出责任，提高财政资金的使用绩效。</w:t>
      </w:r>
    </w:p>
    <w:p>
      <w:pPr>
        <w:keepNext w:val="0"/>
        <w:keepLines w:val="0"/>
        <w:pageBreakBefore w:val="0"/>
        <w:widowControl w:val="0"/>
        <w:tabs>
          <w:tab w:val="left" w:pos="840"/>
        </w:tabs>
        <w:kinsoku/>
        <w:wordWrap/>
        <w:topLinePunct w:val="0"/>
        <w:autoSpaceDN/>
        <w:bidi w:val="0"/>
        <w:adjustRightInd w:val="0"/>
        <w:snapToGrid w:val="0"/>
        <w:spacing w:line="360" w:lineRule="auto"/>
        <w:ind w:right="0" w:rightChars="0" w:firstLine="640" w:firstLineChars="200"/>
        <w:textAlignment w:val="auto"/>
        <w:outlineLvl w:val="9"/>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lang w:val="en-US" w:eastAsia="zh-CN"/>
        </w:rPr>
        <w:t>三、绩效评价原则</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遵循“科学性、规范性、客观性、公正性和相关性”的原则，以规定的评价流程、细致的指标体系为指导，采取合理、有效的评价方法，客观、公正地对项目支出进行评价，出具公允、恰当的评价结果。</w:t>
      </w:r>
    </w:p>
    <w:p>
      <w:pPr>
        <w:keepNext w:val="0"/>
        <w:keepLines w:val="0"/>
        <w:pageBreakBefore w:val="0"/>
        <w:widowControl w:val="0"/>
        <w:tabs>
          <w:tab w:val="left" w:pos="840"/>
        </w:tabs>
        <w:kinsoku/>
        <w:wordWrap/>
        <w:topLinePunct w:val="0"/>
        <w:autoSpaceDN/>
        <w:bidi w:val="0"/>
        <w:adjustRightInd w:val="0"/>
        <w:snapToGrid w:val="0"/>
        <w:spacing w:line="360" w:lineRule="auto"/>
        <w:ind w:right="0" w:rightChars="0" w:firstLine="640" w:firstLineChars="200"/>
        <w:textAlignment w:val="auto"/>
        <w:outlineLvl w:val="9"/>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lang w:val="en-US" w:eastAsia="zh-CN"/>
        </w:rPr>
        <w:t>四、评价工作组织实施情况</w:t>
      </w:r>
    </w:p>
    <w:p>
      <w:pPr>
        <w:keepNext w:val="0"/>
        <w:keepLines w:val="0"/>
        <w:pageBreakBefore w:val="0"/>
        <w:widowControl w:val="0"/>
        <w:kinsoku/>
        <w:wordWrap/>
        <w:topLinePunct w:val="0"/>
        <w:autoSpaceDN/>
        <w:bidi w:val="0"/>
        <w:spacing w:line="360" w:lineRule="auto"/>
        <w:ind w:right="0" w:rightChars="0" w:firstLine="640" w:firstLineChars="200"/>
        <w:jc w:val="both"/>
        <w:textAlignment w:val="auto"/>
        <w:outlineLvl w:val="9"/>
        <w:rPr>
          <w:rFonts w:hint="default" w:ascii="楷体_GB2312" w:hAnsi="楷体_GB2312" w:eastAsia="楷体_GB2312" w:cs="楷体_GB2312"/>
          <w:sz w:val="32"/>
          <w:szCs w:val="32"/>
          <w:highlight w:val="none"/>
          <w:lang w:val="en-US" w:eastAsia="zh-CN"/>
        </w:rPr>
      </w:pPr>
      <w:bookmarkStart w:id="4" w:name="_Toc56061035"/>
      <w:r>
        <w:rPr>
          <w:rFonts w:hint="eastAsia" w:ascii="楷体_GB2312" w:hAnsi="楷体_GB2312" w:eastAsia="楷体_GB2312" w:cs="楷体_GB2312"/>
          <w:sz w:val="32"/>
          <w:szCs w:val="32"/>
          <w:highlight w:val="none"/>
          <w:lang w:val="en-US" w:eastAsia="zh-CN"/>
        </w:rPr>
        <w:t>（一）成立绩效评价工作</w:t>
      </w:r>
      <w:bookmarkEnd w:id="4"/>
      <w:r>
        <w:rPr>
          <w:rFonts w:hint="eastAsia" w:ascii="楷体_GB2312" w:hAnsi="楷体_GB2312" w:eastAsia="楷体_GB2312" w:cs="楷体_GB2312"/>
          <w:sz w:val="32"/>
          <w:szCs w:val="32"/>
          <w:highlight w:val="none"/>
          <w:lang w:val="en-US" w:eastAsia="zh-CN"/>
        </w:rPr>
        <w:t>小组</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根据项目实际情况，成立4人评价工作小组，由1名注册会计师担任组长，3名会计师为组员。</w:t>
      </w:r>
    </w:p>
    <w:p>
      <w:pPr>
        <w:keepNext w:val="0"/>
        <w:keepLines w:val="0"/>
        <w:pageBreakBefore w:val="0"/>
        <w:widowControl w:val="0"/>
        <w:kinsoku/>
        <w:wordWrap/>
        <w:topLinePunct w:val="0"/>
        <w:autoSpaceDN/>
        <w:bidi w:val="0"/>
        <w:spacing w:line="360" w:lineRule="auto"/>
        <w:ind w:right="0" w:rightChars="0" w:firstLine="640" w:firstLineChars="200"/>
        <w:jc w:val="both"/>
        <w:textAlignment w:val="auto"/>
        <w:outlineLvl w:val="9"/>
        <w:rPr>
          <w:rFonts w:hint="eastAsia" w:ascii="楷体_GB2312" w:hAnsi="楷体_GB2312" w:eastAsia="楷体_GB2312" w:cs="楷体_GB2312"/>
          <w:sz w:val="32"/>
          <w:szCs w:val="32"/>
          <w:highlight w:val="none"/>
          <w:lang w:val="en-US" w:eastAsia="zh-CN"/>
        </w:rPr>
      </w:pPr>
      <w:r>
        <w:rPr>
          <w:rFonts w:hint="eastAsia" w:ascii="楷体_GB2312" w:hAnsi="楷体_GB2312" w:eastAsia="楷体_GB2312" w:cs="楷体_GB2312"/>
          <w:sz w:val="32"/>
          <w:szCs w:val="32"/>
          <w:highlight w:val="none"/>
          <w:lang w:val="en-US" w:eastAsia="zh-CN"/>
        </w:rPr>
        <w:t>（二）评价方法和过程</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根据本项目评价对象的具体情况，通过询问相关人员，查阅账簿、凭证、案卷等原始资料，随机电话及现场回访调解当事人等多种形式，采用成本效益分析法、比较法、因素分析法等评价方法，按照绩效评价指标体系的评分办法从项目产出、效益、预算执行、满意度等方面进行评价。</w:t>
      </w:r>
    </w:p>
    <w:p>
      <w:pPr>
        <w:keepNext w:val="0"/>
        <w:keepLines w:val="0"/>
        <w:pageBreakBefore w:val="0"/>
        <w:widowControl w:val="0"/>
        <w:kinsoku/>
        <w:wordWrap/>
        <w:topLinePunct w:val="0"/>
        <w:autoSpaceDN/>
        <w:bidi w:val="0"/>
        <w:spacing w:line="360" w:lineRule="auto"/>
        <w:ind w:right="0" w:rightChars="0" w:firstLine="640" w:firstLineChars="200"/>
        <w:jc w:val="both"/>
        <w:textAlignment w:val="auto"/>
        <w:outlineLvl w:val="9"/>
        <w:rPr>
          <w:rFonts w:hint="eastAsia" w:ascii="楷体_GB2312" w:hAnsi="楷体_GB2312" w:eastAsia="楷体_GB2312" w:cs="楷体_GB2312"/>
          <w:sz w:val="32"/>
          <w:szCs w:val="32"/>
          <w:highlight w:val="none"/>
          <w:lang w:val="en-US" w:eastAsia="zh-CN"/>
        </w:rPr>
      </w:pPr>
      <w:r>
        <w:rPr>
          <w:rFonts w:hint="eastAsia" w:ascii="楷体_GB2312" w:hAnsi="楷体_GB2312" w:eastAsia="楷体_GB2312" w:cs="楷体_GB2312"/>
          <w:sz w:val="32"/>
          <w:szCs w:val="32"/>
          <w:highlight w:val="none"/>
          <w:lang w:val="en-US" w:eastAsia="zh-CN"/>
        </w:rPr>
        <w:t>（三）建立绩效评价指标体系</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以《石家庄市鹿泉区区级预算绩效重点评价管理办法》为基础，结合项目实际情况，本着科学性、严谨性、有效性原则设定评价指标及评价标准。评价指标按照百分制评分，其中：项目立项指标权重15%，实施过程指标18%，产出指标权重45%，效益指标权重22%。评价结果以优秀、良好、一般、较差四个等级来反映；分值设置100分，得分≥85分为优秀；75≤得分＜85分为良好；60≤得分＜75分为一般；得分＜60分为较差。</w:t>
      </w:r>
    </w:p>
    <w:p>
      <w:pPr>
        <w:keepNext w:val="0"/>
        <w:keepLines w:val="0"/>
        <w:pageBreakBefore w:val="0"/>
        <w:widowControl w:val="0"/>
        <w:tabs>
          <w:tab w:val="left" w:pos="840"/>
        </w:tabs>
        <w:kinsoku/>
        <w:wordWrap/>
        <w:topLinePunct w:val="0"/>
        <w:autoSpaceDN/>
        <w:bidi w:val="0"/>
        <w:adjustRightInd w:val="0"/>
        <w:snapToGrid w:val="0"/>
        <w:spacing w:line="360" w:lineRule="auto"/>
        <w:ind w:right="0" w:rightChars="0" w:firstLine="640" w:firstLineChars="200"/>
        <w:textAlignment w:val="auto"/>
        <w:outlineLvl w:val="9"/>
        <w:rPr>
          <w:rFonts w:hint="eastAsia" w:ascii="黑体" w:hAnsi="黑体" w:eastAsia="黑体" w:cs="黑体"/>
          <w:bCs/>
          <w:sz w:val="32"/>
          <w:szCs w:val="32"/>
          <w:highlight w:val="none"/>
          <w:lang w:val="zh-TW" w:eastAsia="zh-TW"/>
        </w:rPr>
      </w:pPr>
      <w:r>
        <w:rPr>
          <w:rFonts w:hint="eastAsia" w:ascii="黑体" w:hAnsi="黑体" w:eastAsia="黑体" w:cs="黑体"/>
          <w:bCs/>
          <w:sz w:val="32"/>
          <w:szCs w:val="32"/>
          <w:highlight w:val="none"/>
          <w:lang w:val="en-US" w:eastAsia="zh-CN"/>
        </w:rPr>
        <w:t>五、</w:t>
      </w:r>
      <w:r>
        <w:rPr>
          <w:rFonts w:hint="default" w:ascii="黑体" w:hAnsi="黑体" w:eastAsia="黑体" w:cs="黑体"/>
          <w:bCs/>
          <w:sz w:val="32"/>
          <w:szCs w:val="32"/>
          <w:highlight w:val="none"/>
          <w:lang w:val="zh-TW" w:eastAsia="zh-TW"/>
        </w:rPr>
        <w:t>总体评价</w:t>
      </w:r>
      <w:r>
        <w:rPr>
          <w:rFonts w:hint="eastAsia" w:ascii="黑体" w:hAnsi="黑体" w:eastAsia="黑体" w:cs="黑体"/>
          <w:bCs/>
          <w:sz w:val="32"/>
          <w:szCs w:val="32"/>
          <w:highlight w:val="none"/>
          <w:lang w:val="en-US" w:eastAsia="zh-CN"/>
        </w:rPr>
        <w:t>与指标分析</w:t>
      </w:r>
    </w:p>
    <w:p>
      <w:pPr>
        <w:keepNext w:val="0"/>
        <w:keepLines w:val="0"/>
        <w:pageBreakBefore w:val="0"/>
        <w:widowControl w:val="0"/>
        <w:kinsoku/>
        <w:wordWrap/>
        <w:topLinePunct w:val="0"/>
        <w:autoSpaceDN/>
        <w:bidi w:val="0"/>
        <w:spacing w:line="360" w:lineRule="auto"/>
        <w:ind w:right="0" w:rightChars="0" w:firstLine="640" w:firstLineChars="200"/>
        <w:jc w:val="both"/>
        <w:textAlignment w:val="auto"/>
        <w:outlineLvl w:val="9"/>
        <w:rPr>
          <w:rFonts w:hint="default" w:ascii="楷体_GB2312" w:hAnsi="楷体_GB2312" w:eastAsia="楷体_GB2312" w:cs="楷体_GB2312"/>
          <w:sz w:val="32"/>
          <w:szCs w:val="32"/>
          <w:highlight w:val="none"/>
          <w:lang w:val="en-US" w:eastAsia="zh-CN"/>
        </w:rPr>
      </w:pPr>
      <w:r>
        <w:rPr>
          <w:rFonts w:hint="eastAsia" w:ascii="楷体_GB2312" w:hAnsi="楷体_GB2312" w:eastAsia="楷体_GB2312" w:cs="楷体_GB2312"/>
          <w:sz w:val="32"/>
          <w:szCs w:val="32"/>
          <w:highlight w:val="none"/>
          <w:lang w:val="en-US" w:eastAsia="zh-CN"/>
        </w:rPr>
        <w:t>（一）总体评价</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石家庄市鹿泉区司法局“2022年专项工作经费”项目绩效评价得分75.74分，评价结果为良好。</w:t>
      </w:r>
    </w:p>
    <w:p>
      <w:pPr>
        <w:keepNext w:val="0"/>
        <w:keepLines w:val="0"/>
        <w:pageBreakBefore w:val="0"/>
        <w:widowControl w:val="0"/>
        <w:kinsoku/>
        <w:wordWrap/>
        <w:topLinePunct w:val="0"/>
        <w:autoSpaceDN/>
        <w:bidi w:val="0"/>
        <w:spacing w:line="360" w:lineRule="auto"/>
        <w:ind w:right="0" w:rightChars="0" w:firstLine="640" w:firstLineChars="200"/>
        <w:jc w:val="both"/>
        <w:textAlignment w:val="auto"/>
        <w:outlineLvl w:val="9"/>
        <w:rPr>
          <w:rFonts w:hint="eastAsia" w:ascii="楷体_GB2312" w:hAnsi="楷体_GB2312" w:eastAsia="楷体_GB2312" w:cs="楷体_GB2312"/>
          <w:sz w:val="32"/>
          <w:szCs w:val="32"/>
          <w:highlight w:val="none"/>
          <w:lang w:val="en-US" w:eastAsia="zh-CN"/>
        </w:rPr>
      </w:pPr>
      <w:bookmarkStart w:id="5" w:name="_Toc4146"/>
      <w:r>
        <w:rPr>
          <w:rFonts w:hint="eastAsia" w:ascii="楷体_GB2312" w:hAnsi="楷体_GB2312" w:eastAsia="楷体_GB2312" w:cs="楷体_GB2312"/>
          <w:sz w:val="32"/>
          <w:szCs w:val="32"/>
          <w:highlight w:val="none"/>
          <w:lang w:val="en-US" w:eastAsia="zh-CN"/>
        </w:rPr>
        <w:t>（二）指标分析</w:t>
      </w:r>
      <w:bookmarkEnd w:id="5"/>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绩效评价体系共设置了项目立项指标、实施过程指标、产出指标、效益指标等4个一级指标，下设绩效目标、资金管理、产出数量、质量、社会效益等12个二级指标以及19个三级指标。指标分值共计100分，得分75.74分，扣分24.26分，扣分比例24.26%。各项指标得分及扣分如下（详见附表）：</w:t>
      </w:r>
    </w:p>
    <w:tbl>
      <w:tblPr>
        <w:tblStyle w:val="10"/>
        <w:tblW w:w="874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43"/>
        <w:gridCol w:w="1225"/>
        <w:gridCol w:w="3148"/>
        <w:gridCol w:w="942"/>
        <w:gridCol w:w="821"/>
        <w:gridCol w:w="821"/>
        <w:gridCol w:w="94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85" w:hRule="atLeast"/>
        </w:trPr>
        <w:tc>
          <w:tcPr>
            <w:tcW w:w="8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一级指标</w:t>
            </w: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二级指标</w:t>
            </w:r>
          </w:p>
        </w:tc>
        <w:tc>
          <w:tcPr>
            <w:tcW w:w="31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三级指标</w:t>
            </w:r>
          </w:p>
        </w:tc>
        <w:tc>
          <w:tcPr>
            <w:tcW w:w="9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分值</w:t>
            </w:r>
          </w:p>
        </w:tc>
        <w:tc>
          <w:tcPr>
            <w:tcW w:w="8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得分</w:t>
            </w:r>
          </w:p>
        </w:tc>
        <w:tc>
          <w:tcPr>
            <w:tcW w:w="8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扣分</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扣分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b/>
                <w:bCs/>
                <w:i w:val="0"/>
                <w:iCs w:val="0"/>
                <w:color w:val="000000"/>
                <w:sz w:val="24"/>
                <w:szCs w:val="24"/>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b/>
                <w:bCs/>
                <w:i w:val="0"/>
                <w:iCs w:val="0"/>
                <w:color w:val="000000"/>
                <w:sz w:val="24"/>
                <w:szCs w:val="24"/>
                <w:u w:val="none"/>
              </w:rPr>
            </w:pPr>
          </w:p>
        </w:tc>
        <w:tc>
          <w:tcPr>
            <w:tcW w:w="31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b/>
                <w:bCs/>
                <w:i w:val="0"/>
                <w:iCs w:val="0"/>
                <w:color w:val="000000"/>
                <w:sz w:val="24"/>
                <w:szCs w:val="24"/>
                <w:u w:val="none"/>
              </w:rPr>
            </w:pPr>
          </w:p>
        </w:tc>
        <w:tc>
          <w:tcPr>
            <w:tcW w:w="9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b/>
                <w:bCs/>
                <w:i w:val="0"/>
                <w:iCs w:val="0"/>
                <w:color w:val="000000"/>
                <w:sz w:val="24"/>
                <w:szCs w:val="24"/>
                <w:u w:val="none"/>
              </w:rPr>
            </w:pPr>
          </w:p>
        </w:tc>
        <w:tc>
          <w:tcPr>
            <w:tcW w:w="8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b/>
                <w:bCs/>
                <w:i w:val="0"/>
                <w:iCs w:val="0"/>
                <w:color w:val="000000"/>
                <w:sz w:val="24"/>
                <w:szCs w:val="24"/>
                <w:u w:val="none"/>
              </w:rPr>
            </w:pPr>
          </w:p>
        </w:tc>
        <w:tc>
          <w:tcPr>
            <w:tcW w:w="8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b/>
                <w:bCs/>
                <w:i w:val="0"/>
                <w:iCs w:val="0"/>
                <w:color w:val="000000"/>
                <w:sz w:val="24"/>
                <w:szCs w:val="24"/>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比例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8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项目立项</w:t>
            </w: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项目立项</w:t>
            </w: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立项依据充分性</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立项程序规范性</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绩效目标</w:t>
            </w: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绩效目标合理性</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0.50</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绩效指标明确性</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1.75</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5.25</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资金投入</w:t>
            </w: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预算编制科学性</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资金分配合理性</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43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小计</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15.00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7.25</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7.75</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7.75%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8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实施过程</w:t>
            </w: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资金管理</w:t>
            </w: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资金到位率</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0.50</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预算执行率</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资金使用合规性</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组织实施</w:t>
            </w: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管理制度健全性</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制度执行有效性</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0.50</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43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小计</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18.00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15.00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3.00</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8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产出指标</w:t>
            </w: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产出数量</w:t>
            </w: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实际完成率</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6.70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8.30</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产出质量</w:t>
            </w: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案件办理率</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援助律师工作覆盖率</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产出时效</w:t>
            </w: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完成及时性</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产出成本</w:t>
            </w: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成本节约率</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13.93</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1.07</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43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小计</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45.00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35.63</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9.37</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9.37%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00" w:hRule="atLeast"/>
        </w:trPr>
        <w:tc>
          <w:tcPr>
            <w:tcW w:w="8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效益指标</w:t>
            </w: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社会效益指标</w:t>
            </w: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项目实施对社会发展所带来的直接或间接影响情况</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可持续影响指标</w:t>
            </w: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可持续影响</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3.00</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服务对象满意度</w:t>
            </w:r>
          </w:p>
        </w:tc>
        <w:tc>
          <w:tcPr>
            <w:tcW w:w="3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受助对象满意度</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8.86</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1.14</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43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小计</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22.00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17.86</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4.14</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4.14%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52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100.00</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75.74</w:t>
            </w:r>
          </w:p>
        </w:tc>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24.26</w:t>
            </w:r>
          </w:p>
        </w:tc>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24.26%</w:t>
            </w:r>
          </w:p>
        </w:tc>
      </w:tr>
    </w:tbl>
    <w:p>
      <w:pPr>
        <w:keepNext w:val="0"/>
        <w:keepLines w:val="0"/>
        <w:pageBreakBefore w:val="0"/>
        <w:widowControl w:val="0"/>
        <w:kinsoku/>
        <w:wordWrap/>
        <w:overflowPunct/>
        <w:topLinePunct w:val="0"/>
        <w:autoSpaceDE/>
        <w:autoSpaceDN/>
        <w:bidi w:val="0"/>
        <w:adjustRightInd w:val="0"/>
        <w:snapToGrid w:val="0"/>
        <w:spacing w:line="360" w:lineRule="auto"/>
        <w:ind w:right="0" w:rightChars="0"/>
        <w:textAlignment w:val="auto"/>
        <w:outlineLvl w:val="9"/>
        <w:rPr>
          <w:rFonts w:hint="eastAsia" w:ascii="仿宋_GB2312" w:hAnsi="仿宋_GB2312" w:eastAsia="仿宋_GB2312" w:cs="仿宋_GB2312"/>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1、项目立项（15分）</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（1）项目立项</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①立项依据充分性</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该指标主要考核项目立项是否符合法律法规、相关政策、发展规划、是否与部门职责范围相符，用以反映和考核项目立项依据情况。</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xml:space="preserve">经核实，鹿泉区司法局“2022年专项工作经费”项目，符合《河北省法律援助条例》、《河北省关于进一步完善法律援助制度加强援助工作的实施意见》的相关要求。 </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该指标满分1分，扣0分，得1分。</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②立项程序规范性</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该指标主要考核项目是否按照规定程序申请设立。</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鹿泉区司法局于2021年向石家庄市鹿泉区财政局提交了“2022年专项工作经费”项目预算申请，金额400,000.00元，石家庄市鹿泉区财政局批复预算安排300,000.00元。</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该指标满分1分，扣0分，得1分。</w:t>
      </w:r>
    </w:p>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绩效目标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①绩效目标合理性</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该指标主要考核项目所设定的绩效目标是否依据充分，是否符合客观实际，用以反映和考核项目绩效目标与项目实施的相符情况。</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鹿泉区司法局“2022年专项工作经费”项目绩效目标为：通过提供法律咨询，代书、办理民事、刑事等法律援助案件以及提供涉法涉诉信访事项服务等，为全区经济困难公民和特殊案件当事人降低门槛、扩大法律援助覆盖面，提供无偿法律援助服务，确保法律援助案件质量提升。</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xml:space="preserve">项目设置了绩效目标；绩效目标实际工作内容具体较高的相关性、目标任务合理可行；项目预期产出效益和效果符合正常的业绩水平。  </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该指标满分2分，扣0.5分，得1.5分。扣分原因为：绩效目标未做具体量化</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②绩效指标明确性</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该指标主要考核是否将绩效目标细化分解为具体的绩效指标；指标是否清晰、可衡量。</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鹿泉区司法局“2022年专项工作经费”项目绩效目标已细化分解为具体的绩效指标。</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该指标满分7分，扣5.25分，得1.75分。扣分原因为：指标制定不合理；项目绩效目标与绩效指标不对应。</w:t>
      </w:r>
    </w:p>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auto"/>
        <w:ind w:left="0" w:leftChars="0"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资金投入</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①预算编制科学性</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该指标项目预算编制是否经过科学论证、有明确标准，资金额度与年度目标是否相适应，用以反映和考核项目预算编制的科学性、合理性情况</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鹿泉区司法局“2022年专项工作经费”项目预算编制参考上年预算达成进行编制，预算确定的项目投资额或资金量与年度工作任务相匹配。</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该指标满分2分，扣1分，得1分。扣分原因为：预算内容与项目内容不完全匹配；预算额度测算依据不很充分，部分预算指标按照标准编制。</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②资金分配合理性</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该指标项目主要考核预算资金分配是否有测算依据，与补助单位或地方实际是否相适应，用以反映和考核项目预算资金分配的科学性、合理性情况。</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鹿泉区司法局“2022年度法律援助专项工作经费”项目预算编制经过论证；预算确定的项目投资额或资金量与年度工作任务相匹配。</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该指标满分2分，扣1分，得1分。扣分原因为：预算内容与项目内容不完全匹配；预算额度测算依据不很充分，部分预算指标编制无依据。</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b w:val="0"/>
          <w:bCs w:val="0"/>
          <w:sz w:val="32"/>
          <w:szCs w:val="32"/>
          <w:highlight w:val="none"/>
          <w:lang w:val="en-US" w:eastAsia="zh-CN"/>
        </w:rPr>
        <w:t>2、实施过程（18分）</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（1）资金管理指标</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①资金到位率</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该指标主要考核实际到位资金与计划投入资金的比率，用以反映和考核资金落实情况对项目实施的总体保障程度。</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鹿泉区司法局“2022年专项工作经费”项目预算批复资金300,000.00元，截至2022年12月31日，资金到位225,000.00元，到位率75.00%。</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该指标满分2分，扣0.5分，得1.5分。扣分原因为：预算资金未全部到位。</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②预算执行率</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该指标主要考核项目预算资金是否按照计划执行，用以反映或考核项目预算执行情况。</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经核实，鹿泉区司法局“2022年专项工作经费”项目实际支出资金224,930.60元，占实际到位资金225,000.00元的99.97%。</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该指标满分10分，扣0分，得10分。</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③资金使用合规性</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主要考核项目资金是否遵照国家财经法规和财务管理制度以及有关专项资金管理办法的规定；资金的拨付是否有完整的审批程序和手续；是否符合项目预算批复或合同规定的用途，是否存在截留、挤占、挪用、虚列支出等情况。</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经核实，鹿泉区司法局“2022年专项工作经费”项目已支付224,930.60元，资金支出履行了相关审批程序，符合预算批复的用途，专项资金使用不存在截留、挪用、挤占等情况。</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该指标满分2分，扣0分，得2分。</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（2）组织实施</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①管理制度健全性</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该指标主要考核财务和业务管理制度是否健全，以保障资金规范、项目安全运行。</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经核实，鹿泉区司法局未制定与“法律援助专项工作经费”的财务和业务管理制度。</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该指标满分2分，扣2分，得0分。扣分原因为：未制定与“法律援助专项工作经费”的财务和业务管理制度，业务管理制度不健全。</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②制度执行有效性</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该指标主要考核项目执行是否遵守相关法律法规和相关管理规定；项目调整及支出调整手续是否完备；是否按照业务管理制度的规定执行相关程序；对项目执行有无监督管理资料。</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经核实，鹿泉区司法局在项目实施过程中严格遵守相关法律法规并按照上级相关规定执行相关程序。</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该指标满分2分，扣0.5分，得1.5分。扣分原因为：项目未按照预算的资金分配做分项支出。</w:t>
      </w:r>
    </w:p>
    <w:p>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3.产出指标（45分）</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（1）产出数量指标</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主要考核项目实施的实际产出数与计划产出数的比率，用以反映和考核项目产出数量目标的实现程度。鹿泉区司法局“2022年专项工作经费”项目主要从办理委托公证事项的数量、法律援助刑事案件的数量、法律援助民事案件的数量、法律援助案件数、法律援助机构指派律师数等方面衡量评价。</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经核实计算，鹿泉区司法局“2022年专项工作经费”项目指标完成情况如下：</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①办理委托公证事项的数量计划≥200件，实际完成412件，实际完成率206.00%；</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②法律援助刑事案件的数量计划≥50件，实际完成11件，实际完成率22.00%；</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③法律援助民事案件的数量计划≥59件，实际完成37件，实际完成率62.71%；</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④法律援助案件数计划≥600件，实际完成460件，实际完成率76.67%；</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⑤法律援助机构指派律师数计划≥50人，实际指派31人，实际完成率62.00%</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15分，共设置5个指标，每个指标3分，该指标共计扣5.3分，得6.7分。扣分原因为：办理委托公证事项的数量计划完成200件，实际完成412件，绩效目标制定差异大；法律援助刑事案件数、法律援助民事案件数、法律援助案件数、法律援助机构指派律师数均未达到预算绩效设定指标。</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（2）产出质量指标</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fldChar w:fldCharType="begin"/>
      </w:r>
      <w:r>
        <w:rPr>
          <w:rFonts w:hint="eastAsia" w:ascii="仿宋" w:hAnsi="仿宋" w:eastAsia="仿宋" w:cs="仿宋"/>
          <w:sz w:val="32"/>
          <w:szCs w:val="32"/>
          <w:highlight w:val="none"/>
          <w:lang w:val="en-US" w:eastAsia="zh-CN"/>
        </w:rPr>
        <w:instrText xml:space="preserve"> = 1 \* GB3 \* MERGEFORMAT </w:instrText>
      </w:r>
      <w:r>
        <w:rPr>
          <w:rFonts w:hint="eastAsia" w:ascii="仿宋" w:hAnsi="仿宋" w:eastAsia="仿宋" w:cs="仿宋"/>
          <w:sz w:val="32"/>
          <w:szCs w:val="32"/>
          <w:highlight w:val="none"/>
          <w:lang w:val="en-US" w:eastAsia="zh-CN"/>
        </w:rPr>
        <w:fldChar w:fldCharType="separate"/>
      </w:r>
      <w:r>
        <w:rPr>
          <w:rFonts w:hint="eastAsia" w:ascii="仿宋" w:hAnsi="仿宋" w:eastAsia="仿宋" w:cs="仿宋"/>
          <w:sz w:val="32"/>
          <w:szCs w:val="32"/>
          <w:highlight w:val="none"/>
          <w:lang w:val="en-US" w:eastAsia="zh-CN"/>
        </w:rPr>
        <w:t>①</w:t>
      </w:r>
      <w:r>
        <w:rPr>
          <w:rFonts w:hint="eastAsia" w:ascii="仿宋" w:hAnsi="仿宋" w:eastAsia="仿宋" w:cs="仿宋"/>
          <w:sz w:val="32"/>
          <w:szCs w:val="32"/>
          <w:highlight w:val="none"/>
          <w:lang w:val="en-US" w:eastAsia="zh-CN"/>
        </w:rPr>
        <w:fldChar w:fldCharType="end"/>
      </w:r>
      <w:r>
        <w:rPr>
          <w:rFonts w:hint="eastAsia" w:ascii="仿宋" w:hAnsi="仿宋" w:eastAsia="仿宋" w:cs="仿宋"/>
          <w:sz w:val="32"/>
          <w:szCs w:val="32"/>
          <w:highlight w:val="none"/>
          <w:lang w:val="en-US" w:eastAsia="zh-CN"/>
        </w:rPr>
        <w:t>案件办理率</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该指标主要考核项目完成的质量达标产出数与实际产出数的比率，用以反映和考核项目产出质量目标的实现程度，主要为案件办理率≤2天。</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经抽查询问，案件办理时间均小于2天。</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该指标满分5分，扣0分，得5分。</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fldChar w:fldCharType="begin"/>
      </w:r>
      <w:r>
        <w:rPr>
          <w:rFonts w:hint="eastAsia" w:ascii="仿宋" w:hAnsi="仿宋" w:eastAsia="仿宋" w:cs="仿宋"/>
          <w:sz w:val="32"/>
          <w:szCs w:val="32"/>
          <w:highlight w:val="none"/>
          <w:lang w:val="en-US" w:eastAsia="zh-CN"/>
        </w:rPr>
        <w:instrText xml:space="preserve"> = 2 \* GB3 \* MERGEFORMAT </w:instrText>
      </w:r>
      <w:r>
        <w:rPr>
          <w:rFonts w:hint="eastAsia" w:ascii="仿宋" w:hAnsi="仿宋" w:eastAsia="仿宋" w:cs="仿宋"/>
          <w:sz w:val="32"/>
          <w:szCs w:val="32"/>
          <w:highlight w:val="none"/>
          <w:lang w:val="en-US" w:eastAsia="zh-CN"/>
        </w:rPr>
        <w:fldChar w:fldCharType="separate"/>
      </w:r>
      <w:r>
        <w:rPr>
          <w:rFonts w:hint="eastAsia" w:ascii="仿宋" w:hAnsi="仿宋" w:eastAsia="仿宋" w:cs="仿宋"/>
          <w:sz w:val="32"/>
          <w:szCs w:val="32"/>
          <w:highlight w:val="none"/>
          <w:lang w:val="en-US" w:eastAsia="zh-CN"/>
        </w:rPr>
        <w:t>②</w:t>
      </w:r>
      <w:r>
        <w:rPr>
          <w:rFonts w:hint="eastAsia" w:ascii="仿宋" w:hAnsi="仿宋" w:eastAsia="仿宋" w:cs="仿宋"/>
          <w:sz w:val="32"/>
          <w:szCs w:val="32"/>
          <w:highlight w:val="none"/>
          <w:lang w:val="en-US" w:eastAsia="zh-CN"/>
        </w:rPr>
        <w:fldChar w:fldCharType="end"/>
      </w:r>
      <w:r>
        <w:rPr>
          <w:rFonts w:hint="eastAsia" w:ascii="仿宋" w:hAnsi="仿宋" w:eastAsia="仿宋" w:cs="仿宋"/>
          <w:sz w:val="32"/>
          <w:szCs w:val="32"/>
          <w:highlight w:val="none"/>
          <w:lang w:val="en-US" w:eastAsia="zh-CN"/>
        </w:rPr>
        <w:t>援助律师工作覆盖率</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该指标主要考核律师值班制度和刑事辩护全覆盖执行情况。</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经抽查询问，律师值班制度执行情况较好，派驻律师有较好的执行刑事辩护的能力。</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该指标满分5分，扣0分，得5分。</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（3）产出时效指标</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该指标主要用于项目实际完成时间与计划完成时间的比较，用以反映和考核项目产出时效目标的实现程度，主要为办理委托公证书的时间、法律援助完成的及时性。</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经核实，办理委托公证书的时间计划≤1小时，实际平均每小时可以办理一件委托书公证。</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该指标满分5分，扣0分，得5分。</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（4）产出成本指标</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该指标主要考核完成项目计划工作目标的实际成本与计划成本的节约比率，用以反映和考核项目的成本节约程度，主要为法律援助人均成本、委托公证事项的成本、援助刑事案件的成本、援助民事案件的成本。</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经核实计算，鹿泉区司法局“2022年专项工作经费”项目指标完成情况如下：</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①委托公证事项的成本≤300元/件，实际完成为364.07元/件，成本超支率21.36%；</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②援助刑事案件的成本400-600元/件，实际完成为400元/件，成本未超支；</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③援助民事案件的成本500-900元/件，实际完成为600元/件，成本未超支。</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该指标满分15分，共设置3个指标，该指标共计扣1.07分，得13.93分。扣分原因为：委托公证事项的成本超过预算绩效设定指标。</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4.效益指标（22分）</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（1）社会效益指标</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该指标主要考核通过积极办理法律援助案件，化解弱势群体伸张正义难的社会问题。</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经调查询问，法律援助工作做到了应援尽援，应援优援，通过为经济困难群众提供法律援助，有效地减轻了经济困难当事人的经济压力。</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该指标满分6分，扣0分，得6分。</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（2）可持续影响指标</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该指标通过项目发展目标，制定相关计划，使项目持续发挥作用，主要为是否制定项目绩效工作目标及现行管理体制是否具有可持续性，是否制定详细且针对性强的培训方案且仅培训工作落实到位。</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经核实，鹿泉区司法局“2022年专项工作经费”项目已制定项目发展绩效目标、效益及现行管理体制具有可持续性；</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该指标满分6分，扣3分，得3分。扣分原因为：未制定详细且针对性强的培训方案。</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（3）服务对象满意度</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该指标主要通过对受助对象的调查，统计该项目实施效果的满意程度。</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我们通过电话回访，随机抽取了部分鹿泉区司法局“2022年专项工作经费”项目受助对象进行满意度调查服务。</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该指标满分10分，扣1.14</w:t>
      </w:r>
      <w:r>
        <w:rPr>
          <w:rFonts w:hint="eastAsia" w:ascii="仿宋" w:hAnsi="仿宋" w:eastAsia="仿宋" w:cs="仿宋"/>
          <w:sz w:val="32"/>
          <w:szCs w:val="32"/>
          <w:highlight w:val="none"/>
          <w:lang w:val="en-US" w:eastAsia="zh-CN"/>
        </w:rPr>
        <w:tab/>
      </w:r>
      <w:r>
        <w:rPr>
          <w:rFonts w:hint="eastAsia" w:ascii="仿宋" w:hAnsi="仿宋" w:eastAsia="仿宋" w:cs="仿宋"/>
          <w:sz w:val="32"/>
          <w:szCs w:val="32"/>
          <w:highlight w:val="none"/>
          <w:lang w:val="en-US" w:eastAsia="zh-CN"/>
        </w:rPr>
        <w:t>分，得8.86分。扣分原因为：随机抽取28位委托公众事项的受助对象，其中17人表示满意，1人不配合回访，1人电话错误，1人空号、4人未接电话、1人表示不清楚此事，3人表示未进行委托；随机抽取17位法律援助事项的受助对象，其中12人表示满意，2人空号，1人关机，1人未接，1人拒接。</w:t>
      </w:r>
    </w:p>
    <w:p>
      <w:pPr>
        <w:keepNext w:val="0"/>
        <w:keepLines w:val="0"/>
        <w:pageBreakBefore w:val="0"/>
        <w:widowControl w:val="0"/>
        <w:tabs>
          <w:tab w:val="left" w:pos="840"/>
        </w:tabs>
        <w:kinsoku/>
        <w:wordWrap/>
        <w:topLinePunct w:val="0"/>
        <w:autoSpaceDN/>
        <w:bidi w:val="0"/>
        <w:adjustRightInd w:val="0"/>
        <w:snapToGrid w:val="0"/>
        <w:spacing w:line="360" w:lineRule="auto"/>
        <w:ind w:right="0" w:rightChars="0" w:firstLine="640" w:firstLineChars="200"/>
        <w:textAlignment w:val="auto"/>
        <w:outlineLvl w:val="9"/>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lang w:val="en-US" w:eastAsia="zh-CN"/>
        </w:rPr>
        <w:tab/>
      </w:r>
      <w:r>
        <w:rPr>
          <w:rFonts w:hint="eastAsia" w:ascii="黑体" w:hAnsi="黑体" w:eastAsia="黑体" w:cs="黑体"/>
          <w:bCs/>
          <w:sz w:val="32"/>
          <w:szCs w:val="32"/>
          <w:highlight w:val="none"/>
          <w:lang w:val="en-US" w:eastAsia="zh-CN"/>
        </w:rPr>
        <w:t>六、绩效评价结果</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经审核，石家庄市鹿泉区司法局承担的“2022年专项工作经费”，基本能够按照相关文件要求执行，绩效评价得分75.74分，评价结果为良好。</w:t>
      </w:r>
    </w:p>
    <w:p>
      <w:pPr>
        <w:keepNext w:val="0"/>
        <w:keepLines w:val="0"/>
        <w:pageBreakBefore w:val="0"/>
        <w:widowControl w:val="0"/>
        <w:numPr>
          <w:ilvl w:val="0"/>
          <w:numId w:val="3"/>
        </w:numPr>
        <w:tabs>
          <w:tab w:val="left" w:pos="840"/>
        </w:tabs>
        <w:kinsoku/>
        <w:wordWrap/>
        <w:topLinePunct w:val="0"/>
        <w:autoSpaceDN/>
        <w:bidi w:val="0"/>
        <w:adjustRightInd w:val="0"/>
        <w:snapToGrid w:val="0"/>
        <w:spacing w:line="360" w:lineRule="auto"/>
        <w:ind w:right="0" w:rightChars="0" w:firstLine="640" w:firstLineChars="200"/>
        <w:textAlignment w:val="auto"/>
        <w:outlineLvl w:val="9"/>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lang w:val="en-US" w:eastAsia="zh-CN"/>
        </w:rPr>
        <w:t>存在的问题及有关建议</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 w:hAnsi="仿宋" w:eastAsia="仿宋" w:cs="仿宋"/>
          <w:sz w:val="32"/>
          <w:szCs w:val="32"/>
          <w:highlight w:val="none"/>
          <w:lang w:val="en-US" w:eastAsia="zh-CN"/>
        </w:rPr>
        <w:t>项目预期产出及效益得到较好落实，实施过程较为规范，得到社会一定好评。主管单位在项目实施过程中能积极落实绩效管理，年度绩效目标及指标符合完整性、相关性、全面性、可行性及可衡量性要求，但在项目整体实施层面也存在一些不足。</w:t>
      </w:r>
    </w:p>
    <w:p>
      <w:pPr>
        <w:pStyle w:val="3"/>
        <w:keepNext w:val="0"/>
        <w:keepLines w:val="0"/>
        <w:pageBreakBefore w:val="0"/>
        <w:widowControl w:val="0"/>
        <w:numPr>
          <w:ilvl w:val="0"/>
          <w:numId w:val="0"/>
        </w:numPr>
        <w:kinsoku/>
        <w:wordWrap/>
        <w:overflowPunct/>
        <w:topLinePunct w:val="0"/>
        <w:autoSpaceDE/>
        <w:autoSpaceDN/>
        <w:bidi w:val="0"/>
        <w:adjustRightInd/>
        <w:snapToGrid/>
        <w:spacing w:before="150" w:line="360" w:lineRule="auto"/>
        <w:ind w:firstLine="640" w:firstLineChars="200"/>
        <w:jc w:val="both"/>
        <w:textAlignment w:val="auto"/>
        <w:rPr>
          <w:rFonts w:hint="eastAsia" w:ascii="楷体" w:hAnsi="楷体" w:eastAsia="楷体" w:cs="楷体"/>
          <w:spacing w:val="0"/>
          <w:kern w:val="2"/>
          <w:sz w:val="32"/>
          <w:szCs w:val="32"/>
          <w:highlight w:val="none"/>
          <w:lang w:val="en-US" w:eastAsia="zh-CN" w:bidi="ar-SA"/>
        </w:rPr>
      </w:pPr>
      <w:r>
        <w:rPr>
          <w:rFonts w:hint="eastAsia" w:ascii="楷体" w:hAnsi="楷体" w:eastAsia="楷体" w:cs="楷体"/>
          <w:spacing w:val="0"/>
          <w:kern w:val="2"/>
          <w:sz w:val="32"/>
          <w:szCs w:val="32"/>
          <w:highlight w:val="none"/>
          <w:lang w:val="en-US" w:eastAsia="zh-CN" w:bidi="ar-SA"/>
        </w:rPr>
        <w:t>（一）绩效指标制定不合理</w:t>
      </w:r>
    </w:p>
    <w:p>
      <w:pPr>
        <w:pStyle w:val="3"/>
        <w:keepNext w:val="0"/>
        <w:keepLines w:val="0"/>
        <w:pageBreakBefore w:val="0"/>
        <w:widowControl w:val="0"/>
        <w:numPr>
          <w:ilvl w:val="0"/>
          <w:numId w:val="0"/>
        </w:numPr>
        <w:kinsoku/>
        <w:wordWrap/>
        <w:overflowPunct/>
        <w:topLinePunct w:val="0"/>
        <w:autoSpaceDE/>
        <w:autoSpaceDN/>
        <w:bidi w:val="0"/>
        <w:adjustRightInd/>
        <w:snapToGrid/>
        <w:spacing w:before="150" w:line="360" w:lineRule="auto"/>
        <w:ind w:firstLine="72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鹿泉区司法局“2022年专项工作经费”项目年初设定绩效指标，委托公证事项的成本大于（含）150元/件，按照《河北省发展和改革委员会、河北省司法厅关于进一步完善公证服务价格政策的通知》（冀发改公价[2022]574号）及附件《河北省公证服务收费标准》第6项的规定，公证费为每件300元。</w:t>
      </w:r>
    </w:p>
    <w:p>
      <w:pPr>
        <w:pStyle w:val="3"/>
        <w:keepNext w:val="0"/>
        <w:keepLines w:val="0"/>
        <w:pageBreakBefore w:val="0"/>
        <w:widowControl w:val="0"/>
        <w:numPr>
          <w:ilvl w:val="0"/>
          <w:numId w:val="0"/>
        </w:numPr>
        <w:kinsoku/>
        <w:wordWrap/>
        <w:overflowPunct/>
        <w:topLinePunct w:val="0"/>
        <w:autoSpaceDE/>
        <w:autoSpaceDN/>
        <w:bidi w:val="0"/>
        <w:adjustRightInd/>
        <w:snapToGrid/>
        <w:spacing w:before="150" w:line="360" w:lineRule="auto"/>
        <w:ind w:firstLine="720" w:firstLineChars="200"/>
        <w:jc w:val="both"/>
        <w:textAlignment w:val="auto"/>
        <w:rPr>
          <w:rFonts w:hint="eastAsia" w:ascii="仿宋" w:hAnsi="仿宋" w:eastAsia="仿宋" w:cs="仿宋"/>
          <w:i w:val="0"/>
          <w:iCs w:val="0"/>
          <w:color w:val="333333"/>
          <w:sz w:val="28"/>
          <w:szCs w:val="28"/>
          <w:highlight w:val="none"/>
          <w:lang w:val="en-US" w:eastAsia="zh-CN"/>
        </w:rPr>
      </w:pPr>
      <w:r>
        <w:rPr>
          <w:rFonts w:hint="eastAsia" w:ascii="仿宋" w:hAnsi="仿宋" w:eastAsia="仿宋" w:cs="仿宋"/>
          <w:sz w:val="32"/>
          <w:szCs w:val="32"/>
          <w:highlight w:val="none"/>
          <w:lang w:val="en-US" w:eastAsia="zh-CN"/>
        </w:rPr>
        <w:t>办理委托公证事项的数量大于（含）200件，实际完成412件。</w:t>
      </w:r>
    </w:p>
    <w:p>
      <w:pPr>
        <w:pStyle w:val="3"/>
        <w:keepNext w:val="0"/>
        <w:keepLines w:val="0"/>
        <w:pageBreakBefore w:val="0"/>
        <w:widowControl w:val="0"/>
        <w:kinsoku/>
        <w:wordWrap/>
        <w:overflowPunct/>
        <w:topLinePunct w:val="0"/>
        <w:autoSpaceDE/>
        <w:autoSpaceDN/>
        <w:bidi w:val="0"/>
        <w:adjustRightInd/>
        <w:snapToGrid/>
        <w:spacing w:before="150" w:line="360" w:lineRule="auto"/>
        <w:ind w:firstLine="72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建议：</w:t>
      </w:r>
      <w:r>
        <w:rPr>
          <w:rFonts w:hint="eastAsia" w:ascii="仿宋" w:hAnsi="仿宋" w:eastAsia="仿宋" w:cs="仿宋"/>
          <w:spacing w:val="0"/>
          <w:kern w:val="2"/>
          <w:sz w:val="32"/>
          <w:szCs w:val="32"/>
          <w:highlight w:val="none"/>
          <w:lang w:val="en-US" w:eastAsia="zh-CN" w:bidi="ar-SA"/>
        </w:rPr>
        <w:t>提高预算编制科学性，完善质量监管体系，保质提效，可对以前年度法律援助案件结案及归档情况进行梳理分析，掌握案件办结、归档时长的一般规律，在编制项目预算资金计划时，结合相关政策法规、上一年度办理法律援助案件数量、未归档案件数量等，</w:t>
      </w:r>
      <w:r>
        <w:rPr>
          <w:rFonts w:hint="eastAsia" w:ascii="仿宋" w:hAnsi="仿宋" w:eastAsia="仿宋" w:cs="仿宋"/>
          <w:sz w:val="32"/>
          <w:szCs w:val="32"/>
          <w:highlight w:val="none"/>
          <w:lang w:val="en-US" w:eastAsia="zh-CN"/>
        </w:rPr>
        <w:t>合理测算，提高预算编制的科学性和准确性。</w:t>
      </w:r>
    </w:p>
    <w:p>
      <w:pPr>
        <w:pStyle w:val="3"/>
        <w:keepNext w:val="0"/>
        <w:keepLines w:val="0"/>
        <w:pageBreakBefore w:val="0"/>
        <w:widowControl w:val="0"/>
        <w:numPr>
          <w:ilvl w:val="0"/>
          <w:numId w:val="0"/>
        </w:numPr>
        <w:kinsoku/>
        <w:wordWrap/>
        <w:overflowPunct/>
        <w:topLinePunct w:val="0"/>
        <w:autoSpaceDE/>
        <w:autoSpaceDN/>
        <w:bidi w:val="0"/>
        <w:adjustRightInd/>
        <w:snapToGrid/>
        <w:spacing w:before="150" w:line="360" w:lineRule="auto"/>
        <w:ind w:firstLine="640" w:firstLineChars="200"/>
        <w:jc w:val="both"/>
        <w:textAlignment w:val="auto"/>
        <w:rPr>
          <w:rFonts w:hint="eastAsia" w:ascii="楷体" w:hAnsi="楷体" w:eastAsia="楷体" w:cs="楷体"/>
          <w:spacing w:val="0"/>
          <w:kern w:val="2"/>
          <w:sz w:val="32"/>
          <w:szCs w:val="32"/>
          <w:highlight w:val="none"/>
          <w:lang w:val="en-US" w:eastAsia="zh-CN" w:bidi="ar-SA"/>
        </w:rPr>
      </w:pPr>
      <w:r>
        <w:rPr>
          <w:rFonts w:hint="eastAsia" w:ascii="楷体" w:hAnsi="楷体" w:eastAsia="楷体" w:cs="楷体"/>
          <w:spacing w:val="0"/>
          <w:kern w:val="2"/>
          <w:sz w:val="32"/>
          <w:szCs w:val="32"/>
          <w:highlight w:val="none"/>
          <w:lang w:val="en-US" w:eastAsia="zh-CN" w:bidi="ar-SA"/>
        </w:rPr>
        <w:t>（二）制度建设需健全，办案过程监管需优化</w:t>
      </w:r>
    </w:p>
    <w:p>
      <w:pPr>
        <w:pStyle w:val="3"/>
        <w:keepNext w:val="0"/>
        <w:keepLines w:val="0"/>
        <w:pageBreakBefore w:val="0"/>
        <w:widowControl w:val="0"/>
        <w:numPr>
          <w:ilvl w:val="0"/>
          <w:numId w:val="0"/>
        </w:numPr>
        <w:kinsoku/>
        <w:wordWrap/>
        <w:overflowPunct/>
        <w:topLinePunct w:val="0"/>
        <w:autoSpaceDE/>
        <w:autoSpaceDN/>
        <w:bidi w:val="0"/>
        <w:adjustRightInd/>
        <w:snapToGrid/>
        <w:spacing w:before="150" w:line="360" w:lineRule="auto"/>
        <w:ind w:firstLine="640" w:firstLineChars="200"/>
        <w:jc w:val="both"/>
        <w:textAlignment w:val="auto"/>
        <w:rPr>
          <w:rFonts w:hint="eastAsia" w:ascii="仿宋" w:hAnsi="仿宋" w:eastAsia="仿宋" w:cs="仿宋"/>
          <w:spacing w:val="0"/>
          <w:kern w:val="2"/>
          <w:sz w:val="32"/>
          <w:szCs w:val="32"/>
          <w:highlight w:val="none"/>
          <w:lang w:val="en-US" w:eastAsia="zh-CN" w:bidi="ar-SA"/>
        </w:rPr>
      </w:pPr>
      <w:r>
        <w:rPr>
          <w:rFonts w:hint="eastAsia" w:ascii="仿宋" w:hAnsi="仿宋" w:eastAsia="仿宋" w:cs="仿宋"/>
          <w:spacing w:val="0"/>
          <w:kern w:val="2"/>
          <w:sz w:val="32"/>
          <w:szCs w:val="32"/>
          <w:highlight w:val="none"/>
          <w:lang w:val="en-US" w:eastAsia="zh-CN" w:bidi="ar-SA"/>
        </w:rPr>
        <w:t>鹿泉区司法局未建立或具有与“法律援助专项工作经费”项目相对应的财务和业务管理制度，项目执行未见监管资料。</w:t>
      </w:r>
    </w:p>
    <w:p>
      <w:pPr>
        <w:pStyle w:val="3"/>
        <w:keepNext w:val="0"/>
        <w:keepLines w:val="0"/>
        <w:pageBreakBefore w:val="0"/>
        <w:widowControl w:val="0"/>
        <w:kinsoku/>
        <w:wordWrap/>
        <w:overflowPunct/>
        <w:topLinePunct w:val="0"/>
        <w:autoSpaceDE/>
        <w:autoSpaceDN/>
        <w:bidi w:val="0"/>
        <w:adjustRightInd/>
        <w:snapToGrid/>
        <w:spacing w:before="150" w:line="360" w:lineRule="auto"/>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pacing w:val="0"/>
          <w:kern w:val="2"/>
          <w:sz w:val="32"/>
          <w:szCs w:val="32"/>
          <w:highlight w:val="none"/>
          <w:lang w:val="en-US" w:eastAsia="zh-CN" w:bidi="ar-SA"/>
        </w:rPr>
        <w:t>建议：制度建设需健全。项目制度建设应侧重于法律援助办案经费，加强值班律师工作情况的监管机制，分清用人单位职责，将派驻律师值班出勤情况、专业水平发挥、服务态度、受援对象满意度等要素列入考评范围；制定详细且针对性强的培训方案，将继续培训工作落实到位，提升承办律师的办案质量，加强办案过程的监管。</w:t>
      </w:r>
    </w:p>
    <w:p>
      <w:pPr>
        <w:keepNext w:val="0"/>
        <w:keepLines w:val="0"/>
        <w:pageBreakBefore w:val="0"/>
        <w:widowControl w:val="0"/>
        <w:numPr>
          <w:ilvl w:val="0"/>
          <w:numId w:val="0"/>
        </w:numPr>
        <w:kinsoku/>
        <w:wordWrap/>
        <w:topLinePunct w:val="0"/>
        <w:autoSpaceDN/>
        <w:bidi w:val="0"/>
        <w:adjustRightInd w:val="0"/>
        <w:snapToGrid w:val="0"/>
        <w:spacing w:line="580" w:lineRule="exact"/>
        <w:ind w:right="0" w:rightChars="0" w:firstLine="640" w:firstLineChars="200"/>
        <w:textAlignment w:val="auto"/>
        <w:outlineLvl w:val="9"/>
        <w:rPr>
          <w:rFonts w:hint="eastAsia" w:ascii="楷体" w:hAnsi="楷体" w:eastAsia="楷体" w:cs="楷体"/>
          <w:b w:val="0"/>
          <w:bCs w:val="0"/>
          <w:spacing w:val="0"/>
          <w:kern w:val="2"/>
          <w:sz w:val="32"/>
          <w:szCs w:val="32"/>
          <w:highlight w:val="none"/>
          <w:lang w:val="en-US" w:eastAsia="zh-CN" w:bidi="ar-SA"/>
        </w:rPr>
      </w:pPr>
      <w:r>
        <w:rPr>
          <w:rFonts w:hint="eastAsia" w:ascii="楷体" w:hAnsi="楷体" w:eastAsia="楷体" w:cs="楷体"/>
          <w:b w:val="0"/>
          <w:bCs w:val="0"/>
          <w:spacing w:val="0"/>
          <w:kern w:val="2"/>
          <w:sz w:val="32"/>
          <w:szCs w:val="32"/>
          <w:highlight w:val="none"/>
          <w:lang w:val="en-US" w:eastAsia="zh-CN" w:bidi="ar-SA"/>
        </w:rPr>
        <w:t>（三）年初计划绩效目标与实际完成存在差异</w:t>
      </w:r>
    </w:p>
    <w:p>
      <w:pPr>
        <w:keepNext w:val="0"/>
        <w:keepLines w:val="0"/>
        <w:pageBreakBefore w:val="0"/>
        <w:widowControl w:val="0"/>
        <w:numPr>
          <w:ilvl w:val="0"/>
          <w:numId w:val="0"/>
        </w:numPr>
        <w:kinsoku/>
        <w:wordWrap/>
        <w:topLinePunct w:val="0"/>
        <w:autoSpaceDN/>
        <w:bidi w:val="0"/>
        <w:adjustRightInd w:val="0"/>
        <w:snapToGrid w:val="0"/>
        <w:spacing w:line="580" w:lineRule="exact"/>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鹿泉区司法局“2022年专项工作经费”项目年初设定绩效指标，办理委托公证事项的数量200件（含）以上，实际完成412件；计划法律援助刑事案件50件（含）以上，实际完成11件；计划法律援助民事案件59件（含）以上，实际完成37件；计划法律援助案件数600件（含）以上，实际完成460件；计划法律援助机构指派律师数50人（含）以上，实际指派律师人数31人。</w:t>
      </w:r>
    </w:p>
    <w:p>
      <w:pPr>
        <w:keepNext w:val="0"/>
        <w:keepLines w:val="0"/>
        <w:pageBreakBefore w:val="0"/>
        <w:widowControl w:val="0"/>
        <w:numPr>
          <w:ilvl w:val="0"/>
          <w:numId w:val="0"/>
        </w:numPr>
        <w:kinsoku/>
        <w:wordWrap/>
        <w:topLinePunct w:val="0"/>
        <w:autoSpaceDN/>
        <w:bidi w:val="0"/>
        <w:adjustRightInd w:val="0"/>
        <w:snapToGrid w:val="0"/>
        <w:spacing w:line="580" w:lineRule="exact"/>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建议：应参照以前年度绩效实际达成指标，合理设置项目绩效指标。项目绩效指标的设置应采用科学合理的方法加以测算，尽量做到年初计划绩效目标与实际完成情况匹配。</w:t>
      </w:r>
    </w:p>
    <w:p>
      <w:pPr>
        <w:pStyle w:val="3"/>
        <w:keepNext w:val="0"/>
        <w:keepLines w:val="0"/>
        <w:pageBreakBefore w:val="0"/>
        <w:widowControl w:val="0"/>
        <w:numPr>
          <w:ilvl w:val="0"/>
          <w:numId w:val="0"/>
        </w:numPr>
        <w:kinsoku/>
        <w:wordWrap/>
        <w:overflowPunct/>
        <w:topLinePunct w:val="0"/>
        <w:autoSpaceDE/>
        <w:autoSpaceDN/>
        <w:bidi w:val="0"/>
        <w:adjustRightInd/>
        <w:snapToGrid/>
        <w:spacing w:before="150" w:line="360" w:lineRule="auto"/>
        <w:ind w:leftChars="200"/>
        <w:jc w:val="both"/>
        <w:textAlignment w:val="auto"/>
        <w:rPr>
          <w:rFonts w:hint="eastAsia" w:ascii="楷体" w:hAnsi="楷体" w:eastAsia="楷体" w:cs="楷体"/>
          <w:spacing w:val="0"/>
          <w:kern w:val="2"/>
          <w:sz w:val="32"/>
          <w:szCs w:val="32"/>
          <w:highlight w:val="none"/>
          <w:lang w:val="en-US" w:eastAsia="zh-CN" w:bidi="ar-SA"/>
        </w:rPr>
      </w:pPr>
      <w:r>
        <w:rPr>
          <w:rFonts w:hint="eastAsia" w:ascii="楷体" w:hAnsi="楷体" w:eastAsia="楷体" w:cs="楷体"/>
          <w:spacing w:val="0"/>
          <w:kern w:val="2"/>
          <w:sz w:val="32"/>
          <w:szCs w:val="32"/>
          <w:highlight w:val="none"/>
          <w:lang w:val="en-US" w:eastAsia="zh-CN" w:bidi="ar-SA"/>
        </w:rPr>
        <w:t>（四）服务对象满意度有待提高</w:t>
      </w:r>
    </w:p>
    <w:p>
      <w:pPr>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pacing w:val="0"/>
          <w:kern w:val="2"/>
          <w:sz w:val="32"/>
          <w:szCs w:val="32"/>
          <w:highlight w:val="none"/>
          <w:lang w:val="en-US" w:eastAsia="zh-CN" w:bidi="ar-SA"/>
        </w:rPr>
      </w:pPr>
      <w:r>
        <w:rPr>
          <w:rFonts w:hint="eastAsia" w:ascii="仿宋" w:hAnsi="仿宋" w:eastAsia="仿宋" w:cs="仿宋"/>
          <w:spacing w:val="0"/>
          <w:kern w:val="2"/>
          <w:sz w:val="32"/>
          <w:szCs w:val="32"/>
          <w:highlight w:val="none"/>
          <w:lang w:val="en-US" w:eastAsia="zh-CN" w:bidi="ar-SA"/>
        </w:rPr>
        <w:t>随机抽取28位委托公众事项的受助对象，其中17人表示满意，1人不配合回访，1人电话错误，1人空号、4人未接电话、1人表示不清楚此事，3人表示未进行委托；；</w:t>
      </w:r>
    </w:p>
    <w:p>
      <w:pPr>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0" w:leftChars="0" w:right="0" w:rightChars="0" w:firstLine="640" w:firstLineChars="200"/>
        <w:textAlignment w:val="auto"/>
        <w:outlineLvl w:val="9"/>
        <w:rPr>
          <w:rFonts w:hint="eastAsia" w:ascii="仿宋" w:hAnsi="仿宋" w:eastAsia="仿宋" w:cs="仿宋"/>
          <w:spacing w:val="0"/>
          <w:kern w:val="2"/>
          <w:sz w:val="32"/>
          <w:szCs w:val="32"/>
          <w:highlight w:val="none"/>
          <w:lang w:val="en-US" w:eastAsia="zh-CN" w:bidi="ar-SA"/>
        </w:rPr>
      </w:pPr>
      <w:r>
        <w:rPr>
          <w:rFonts w:hint="eastAsia" w:ascii="仿宋" w:hAnsi="仿宋" w:eastAsia="仿宋" w:cs="仿宋"/>
          <w:spacing w:val="0"/>
          <w:kern w:val="2"/>
          <w:sz w:val="32"/>
          <w:szCs w:val="32"/>
          <w:highlight w:val="none"/>
          <w:lang w:val="en-US" w:eastAsia="zh-CN" w:bidi="ar-SA"/>
        </w:rPr>
        <w:t>随机抽取17位法律援助事项的受助对象，其中12人表示满意，2人空号，1人关机，1人未接，1人拒接</w:t>
      </w:r>
      <w:r>
        <w:rPr>
          <w:rFonts w:hint="eastAsia" w:ascii="仿宋" w:hAnsi="仿宋" w:eastAsia="仿宋" w:cs="仿宋"/>
          <w:spacing w:val="0"/>
          <w:kern w:val="2"/>
          <w:sz w:val="32"/>
          <w:szCs w:val="32"/>
          <w:highlight w:val="none"/>
          <w:lang w:val="en-US" w:eastAsia="zh-CN" w:bidi="ar-SA"/>
        </w:rPr>
        <w:tab/>
      </w:r>
      <w:r>
        <w:rPr>
          <w:rFonts w:hint="eastAsia" w:ascii="仿宋" w:hAnsi="仿宋" w:eastAsia="仿宋" w:cs="仿宋"/>
          <w:spacing w:val="0"/>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pacing w:val="0"/>
          <w:kern w:val="2"/>
          <w:sz w:val="32"/>
          <w:szCs w:val="32"/>
          <w:highlight w:val="none"/>
          <w:lang w:val="en-US" w:eastAsia="zh-CN" w:bidi="ar-SA"/>
        </w:rPr>
      </w:pPr>
      <w:r>
        <w:rPr>
          <w:rFonts w:hint="eastAsia" w:ascii="仿宋" w:hAnsi="仿宋" w:eastAsia="仿宋" w:cs="仿宋"/>
          <w:spacing w:val="0"/>
          <w:kern w:val="2"/>
          <w:sz w:val="32"/>
          <w:szCs w:val="32"/>
          <w:highlight w:val="none"/>
          <w:lang w:val="en-US" w:eastAsia="zh-CN" w:bidi="ar-SA"/>
        </w:rPr>
        <w:t>建议：加强免费法律援助政策宣传，定期组织法律服务人员深入社区、乡村、企业等开展宣传活动，办案过程中提高服务人员服务态度和办案专业度，对发现问题后要及时了解具体情况，妥善处理群众的意见和建议，提高服务对象满意度。</w:t>
      </w:r>
    </w:p>
    <w:p>
      <w:pPr>
        <w:pStyle w:val="3"/>
        <w:keepNext w:val="0"/>
        <w:keepLines w:val="0"/>
        <w:pageBreakBefore w:val="0"/>
        <w:widowControl w:val="0"/>
        <w:kinsoku/>
        <w:wordWrap/>
        <w:overflowPunct/>
        <w:topLinePunct w:val="0"/>
        <w:autoSpaceDE/>
        <w:autoSpaceDN/>
        <w:bidi w:val="0"/>
        <w:adjustRightInd/>
        <w:snapToGrid/>
        <w:spacing w:before="150" w:line="360" w:lineRule="auto"/>
        <w:ind w:firstLine="72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附：“2022年专项工作经费”项目绩效评价指标体系明细表</w:t>
      </w:r>
    </w:p>
    <w:p>
      <w:pPr>
        <w:keepNext w:val="0"/>
        <w:keepLines w:val="0"/>
        <w:pageBreakBefore w:val="0"/>
        <w:tabs>
          <w:tab w:val="left" w:pos="2535"/>
        </w:tabs>
        <w:kinsoku/>
        <w:wordWrap/>
        <w:overflowPunct/>
        <w:topLinePunct w:val="0"/>
        <w:autoSpaceDE/>
        <w:autoSpaceDN/>
        <w:bidi w:val="0"/>
        <w:adjustRightInd w:val="0"/>
        <w:snapToGrid w:val="0"/>
        <w:spacing w:line="360" w:lineRule="auto"/>
        <w:ind w:right="0" w:rightChars="0" w:firstLine="640" w:firstLineChars="200"/>
        <w:rPr>
          <w:rFonts w:hint="eastAsia" w:ascii="宋体" w:hAnsi="宋体" w:eastAsia="宋体" w:cs="宋体"/>
          <w:kern w:val="0"/>
          <w:sz w:val="32"/>
          <w:szCs w:val="32"/>
          <w:highlight w:val="none"/>
          <w:lang w:val="en-US" w:eastAsia="zh-CN"/>
        </w:rPr>
      </w:pPr>
    </w:p>
    <w:p>
      <w:pPr>
        <w:keepNext w:val="0"/>
        <w:keepLines w:val="0"/>
        <w:pageBreakBefore w:val="0"/>
        <w:tabs>
          <w:tab w:val="left" w:pos="2535"/>
        </w:tabs>
        <w:kinsoku/>
        <w:wordWrap/>
        <w:overflowPunct/>
        <w:topLinePunct w:val="0"/>
        <w:autoSpaceDE/>
        <w:autoSpaceDN/>
        <w:bidi w:val="0"/>
        <w:adjustRightInd w:val="0"/>
        <w:snapToGrid w:val="0"/>
        <w:spacing w:line="360" w:lineRule="auto"/>
        <w:ind w:right="0" w:rightChars="0" w:firstLine="640" w:firstLineChars="200"/>
        <w:rPr>
          <w:rFonts w:hint="eastAsia" w:ascii="宋体" w:hAnsi="宋体" w:eastAsia="宋体" w:cs="宋体"/>
          <w:kern w:val="0"/>
          <w:sz w:val="32"/>
          <w:szCs w:val="32"/>
          <w:highlight w:val="none"/>
          <w:lang w:val="en-US" w:eastAsia="zh-CN"/>
        </w:rPr>
      </w:pPr>
    </w:p>
    <w:p>
      <w:pPr>
        <w:keepNext w:val="0"/>
        <w:keepLines w:val="0"/>
        <w:pageBreakBefore w:val="0"/>
        <w:tabs>
          <w:tab w:val="left" w:pos="2535"/>
        </w:tabs>
        <w:kinsoku/>
        <w:wordWrap/>
        <w:overflowPunct/>
        <w:topLinePunct w:val="0"/>
        <w:autoSpaceDE/>
        <w:autoSpaceDN/>
        <w:bidi w:val="0"/>
        <w:adjustRightInd w:val="0"/>
        <w:snapToGrid w:val="0"/>
        <w:spacing w:line="360" w:lineRule="auto"/>
        <w:ind w:right="0" w:rightChars="0" w:firstLine="640" w:firstLineChars="200"/>
        <w:rPr>
          <w:rFonts w:hint="eastAsia" w:ascii="宋体" w:hAnsi="宋体" w:eastAsia="宋体" w:cs="宋体"/>
          <w:kern w:val="0"/>
          <w:sz w:val="32"/>
          <w:szCs w:val="32"/>
          <w:highlight w:val="none"/>
          <w:lang w:val="en-US" w:eastAsia="zh-CN"/>
        </w:rPr>
      </w:pPr>
    </w:p>
    <w:p>
      <w:pPr>
        <w:pStyle w:val="7"/>
        <w:keepNext w:val="0"/>
        <w:keepLines w:val="0"/>
        <w:pageBreakBefore w:val="0"/>
        <w:kinsoku/>
        <w:wordWrap/>
        <w:topLinePunct w:val="0"/>
        <w:autoSpaceDN/>
        <w:bidi w:val="0"/>
        <w:spacing w:line="360" w:lineRule="auto"/>
        <w:rPr>
          <w:rFonts w:hint="eastAsia" w:ascii="宋体" w:hAnsi="宋体" w:eastAsia="宋体" w:cs="宋体"/>
          <w:kern w:val="0"/>
          <w:sz w:val="32"/>
          <w:szCs w:val="32"/>
          <w:highlight w:val="none"/>
          <w:lang w:val="en-US" w:eastAsia="zh-CN"/>
        </w:rPr>
      </w:pPr>
    </w:p>
    <w:p>
      <w:pPr>
        <w:pStyle w:val="7"/>
        <w:keepNext w:val="0"/>
        <w:keepLines w:val="0"/>
        <w:pageBreakBefore w:val="0"/>
        <w:kinsoku/>
        <w:wordWrap/>
        <w:topLinePunct w:val="0"/>
        <w:autoSpaceDN/>
        <w:bidi w:val="0"/>
        <w:spacing w:line="360" w:lineRule="auto"/>
        <w:rPr>
          <w:rFonts w:hint="eastAsia" w:ascii="宋体" w:hAnsi="宋体" w:eastAsia="宋体" w:cs="宋体"/>
          <w:kern w:val="0"/>
          <w:sz w:val="32"/>
          <w:szCs w:val="32"/>
          <w:highlight w:val="none"/>
          <w:lang w:val="en-US" w:eastAsia="zh-CN"/>
        </w:rPr>
      </w:pPr>
    </w:p>
    <w:p>
      <w:pPr>
        <w:pStyle w:val="7"/>
        <w:keepNext w:val="0"/>
        <w:keepLines w:val="0"/>
        <w:pageBreakBefore w:val="0"/>
        <w:kinsoku/>
        <w:wordWrap/>
        <w:topLinePunct w:val="0"/>
        <w:autoSpaceDN/>
        <w:bidi w:val="0"/>
        <w:spacing w:line="360" w:lineRule="auto"/>
        <w:rPr>
          <w:rFonts w:hint="eastAsia" w:ascii="宋体" w:hAnsi="宋体" w:eastAsia="宋体" w:cs="宋体"/>
          <w:kern w:val="0"/>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textAlignment w:val="auto"/>
        <w:outlineLvl w:val="9"/>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（此页无正文）</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河北企融会计师事务所          中国注册会计师：</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xml:space="preserve">      </w:t>
      </w:r>
    </w:p>
    <w:p>
      <w:pPr>
        <w:keepNext w:val="0"/>
        <w:keepLines w:val="0"/>
        <w:pageBreakBefore w:val="0"/>
        <w:widowControl w:val="0"/>
        <w:kinsoku/>
        <w:wordWrap/>
        <w:topLinePunct w:val="0"/>
        <w:autoSpaceDN/>
        <w:bidi w:val="0"/>
        <w:adjustRightInd w:val="0"/>
        <w:snapToGrid w:val="0"/>
        <w:spacing w:line="360" w:lineRule="auto"/>
        <w:ind w:right="0" w:rightChars="0" w:firstLine="1600" w:firstLineChars="5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（普通合伙）            中国注册会计师：</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w:t>
      </w:r>
    </w:p>
    <w:p>
      <w:pPr>
        <w:keepNext w:val="0"/>
        <w:keepLines w:val="0"/>
        <w:pageBreakBefore w:val="0"/>
        <w:widowControl w:val="0"/>
        <w:kinsoku/>
        <w:wordWrap/>
        <w:topLinePunct w:val="0"/>
        <w:autoSpaceDN/>
        <w:bidi w:val="0"/>
        <w:adjustRightInd w:val="0"/>
        <w:snapToGrid w:val="0"/>
        <w:spacing w:line="360" w:lineRule="auto"/>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 xml:space="preserve">  中国·石家庄     　　   二Ο二三年十二月五日</w:t>
      </w:r>
    </w:p>
    <w:sectPr>
      <w:footerReference r:id="rId7" w:type="first"/>
      <w:footerReference r:id="rId6" w:type="default"/>
      <w:pgSz w:w="11906" w:h="16838"/>
      <w:pgMar w:top="2098" w:right="1587" w:bottom="1984" w:left="1587" w:header="1021" w:footer="851" w:gutter="113"/>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B0EBDB6-4D26-418E-9EA7-98C4FBEACC6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embedRegular r:id="rId2" w:fontKey="{8B067E76-9320-44AF-A522-96834845C474}"/>
  </w:font>
  <w:font w:name="方正小标宋简体">
    <w:panose1 w:val="03000509000000000000"/>
    <w:charset w:val="86"/>
    <w:family w:val="auto"/>
    <w:pitch w:val="default"/>
    <w:sig w:usb0="00000001" w:usb1="080E0000" w:usb2="00000000" w:usb3="00000000" w:csb0="00040000" w:csb1="00000000"/>
    <w:embedRegular r:id="rId3" w:fontKey="{8EBDA73B-238C-4C0C-827B-7407B8ABBB77}"/>
  </w:font>
  <w:font w:name="楷体_GB2312">
    <w:altName w:val="楷体"/>
    <w:panose1 w:val="02010609030101010101"/>
    <w:charset w:val="86"/>
    <w:family w:val="modern"/>
    <w:pitch w:val="default"/>
    <w:sig w:usb0="00000000" w:usb1="00000000" w:usb2="00000000" w:usb3="00000000" w:csb0="00040000" w:csb1="00000000"/>
    <w:embedRegular r:id="rId4" w:fontKey="{C0A98EDB-DDC6-44FC-9033-120782FF6710}"/>
  </w:font>
  <w:font w:name="仿宋_GB2312">
    <w:panose1 w:val="02010609030101010101"/>
    <w:charset w:val="86"/>
    <w:family w:val="modern"/>
    <w:pitch w:val="default"/>
    <w:sig w:usb0="00000001" w:usb1="080E0000" w:usb2="00000000" w:usb3="00000000" w:csb0="00040000" w:csb1="00000000"/>
    <w:embedRegular r:id="rId5" w:fontKey="{C8FF2C53-1373-47EA-815F-277494AD642D}"/>
  </w:font>
  <w:font w:name="楷体">
    <w:panose1 w:val="02010609060101010101"/>
    <w:charset w:val="86"/>
    <w:family w:val="auto"/>
    <w:pitch w:val="default"/>
    <w:sig w:usb0="800002BF" w:usb1="38CF7CFA" w:usb2="00000016" w:usb3="00000000" w:csb0="00040001" w:csb1="00000000"/>
    <w:embedRegular r:id="rId6" w:fontKey="{AE5C05EE-1B7E-458A-862B-CCFBEF7877A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enter" w:pos="4497"/>
        <w:tab w:val="right" w:pos="8995"/>
      </w:tabs>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3"/>
      </w:rPr>
    </w:pPr>
    <w:r>
      <w:rPr>
        <w:rStyle w:val="13"/>
      </w:rPr>
      <w:fldChar w:fldCharType="begin"/>
    </w:r>
    <w:r>
      <w:rPr>
        <w:rStyle w:val="13"/>
      </w:rPr>
      <w:instrText xml:space="preserve">PAGE  </w:instrText>
    </w:r>
    <w:r>
      <w:rPr>
        <w:rStyle w:val="13"/>
      </w:rPr>
      <w:fldChar w:fldCharType="end"/>
    </w:r>
  </w:p>
  <w:p>
    <w:pPr>
      <w:pStyle w:val="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enter" w:pos="4497"/>
        <w:tab w:val="right" w:pos="8995"/>
      </w:tabs>
      <w:ind w:right="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tabs>
                              <w:tab w:val="center" w:pos="4497"/>
                              <w:tab w:val="right" w:pos="8995"/>
                            </w:tabs>
                            <w:ind w:right="360"/>
                          </w:pPr>
                          <w:r>
                            <w:t xml:space="preserve">— </w:t>
                          </w:r>
                          <w:r>
                            <w:fldChar w:fldCharType="begin"/>
                          </w:r>
                          <w:r>
                            <w:instrText xml:space="preserve"> PAGE  \* MERGEFORMAT </w:instrText>
                          </w:r>
                          <w:r>
                            <w:fldChar w:fldCharType="separate"/>
                          </w:r>
                          <w:r>
                            <w:t>1</w:t>
                          </w:r>
                          <w:r>
                            <w:fldChar w:fldCharType="end"/>
                          </w:r>
                          <w:r>
                            <w:t xml:space="preserve"> —</w:t>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Inj1Y+wAQAA&#10;TgMAAA4AAAAAAAAAAQAgAAAAHgEAAGRycy9lMm9Eb2MueG1sUEsFBgAAAAAGAAYAWQEAAEAFAAAA&#10;AA==&#10;">
              <v:fill on="f" focussize="0,0"/>
              <v:stroke on="f"/>
              <v:imagedata o:title=""/>
              <o:lock v:ext="edit" aspectratio="f"/>
              <v:textbox inset="0mm,0mm,0mm,0mm" style="mso-fit-shape-to-text:t;">
                <w:txbxContent>
                  <w:p>
                    <w:pPr>
                      <w:pStyle w:val="5"/>
                      <w:tabs>
                        <w:tab w:val="center" w:pos="4497"/>
                        <w:tab w:val="right" w:pos="8995"/>
                      </w:tabs>
                      <w:ind w:right="360"/>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pPr>
                          <w:r>
                            <w:fldChar w:fldCharType="begin"/>
                          </w:r>
                          <w:r>
                            <w:instrText xml:space="preserve"> PAGE  \* MERGEFORMAT </w:instrText>
                          </w:r>
                          <w:r>
                            <w:fldChar w:fldCharType="separate"/>
                          </w:r>
                          <w:r>
                            <w:t>0</w:t>
                          </w:r>
                          <w: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W8wmPsQEA&#10;AE4DAAAOAAAAAAAAAAEAIAAAAB4BAABkcnMvZTJvRG9jLnhtbFBLBQYAAAAABgAGAFkBAABBBQAA&#10;AAA=&#10;">
              <v:fill on="f" focussize="0,0"/>
              <v:stroke on="f"/>
              <v:imagedata o:title=""/>
              <o:lock v:ext="edit" aspectratio="f"/>
              <v:textbox inset="0mm,0mm,0mm,0mm" style="mso-fit-shape-to-text:t;">
                <w:txbxContent>
                  <w:p>
                    <w:pPr>
                      <w:pStyle w:val="5"/>
                    </w:pPr>
                    <w:r>
                      <w:fldChar w:fldCharType="begin"/>
                    </w:r>
                    <w:r>
                      <w:instrText xml:space="preserve"> PAGE  \* MERGEFORMAT </w:instrText>
                    </w:r>
                    <w:r>
                      <w:fldChar w:fldCharType="separate"/>
                    </w:r>
                    <w:r>
                      <w:t>0</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single" w:color="auto" w:sz="4" w:space="0"/>
      </w:pBdr>
      <w:jc w:val="left"/>
    </w:pPr>
    <w:r>
      <w:rPr>
        <w:rFonts w:hint="eastAsia"/>
        <w:i/>
        <w:iCs/>
        <w:lang w:val="en-US" w:eastAsia="zh-CN"/>
      </w:rPr>
      <w:t>河北企融会计师事务所（普通合伙）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1DD900"/>
    <w:multiLevelType w:val="singleLevel"/>
    <w:tmpl w:val="831DD900"/>
    <w:lvl w:ilvl="0" w:tentative="0">
      <w:start w:val="7"/>
      <w:numFmt w:val="chineseCounting"/>
      <w:suff w:val="nothing"/>
      <w:lvlText w:val="%1、"/>
      <w:lvlJc w:val="left"/>
      <w:rPr>
        <w:rFonts w:hint="eastAsia"/>
      </w:rPr>
    </w:lvl>
  </w:abstractNum>
  <w:abstractNum w:abstractNumId="1">
    <w:nsid w:val="BF407E5A"/>
    <w:multiLevelType w:val="singleLevel"/>
    <w:tmpl w:val="BF407E5A"/>
    <w:lvl w:ilvl="0" w:tentative="0">
      <w:start w:val="1"/>
      <w:numFmt w:val="decimal"/>
      <w:suff w:val="nothing"/>
      <w:lvlText w:val="%1、"/>
      <w:lvlJc w:val="left"/>
    </w:lvl>
  </w:abstractNum>
  <w:abstractNum w:abstractNumId="2">
    <w:nsid w:val="DA8C59BC"/>
    <w:multiLevelType w:val="singleLevel"/>
    <w:tmpl w:val="DA8C59BC"/>
    <w:lvl w:ilvl="0" w:tentative="0">
      <w:start w:val="2"/>
      <w:numFmt w:val="decimal"/>
      <w:suff w:val="nothing"/>
      <w:lvlText w:val="（%1）"/>
      <w:lvlJc w:val="left"/>
    </w:lvl>
  </w:abstractNum>
  <w:abstractNum w:abstractNumId="3">
    <w:nsid w:val="E44CEC24"/>
    <w:multiLevelType w:val="singleLevel"/>
    <w:tmpl w:val="E44CEC24"/>
    <w:lvl w:ilvl="0" w:tentative="0">
      <w:start w:val="4"/>
      <w:numFmt w:val="chineseCounting"/>
      <w:suff w:val="nothing"/>
      <w:lvlText w:val="（%1）"/>
      <w:lvlJc w:val="left"/>
      <w:rPr>
        <w:rFonts w:hint="eastAsia"/>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ZhOGFjZmY4ZmRkMTM2MWFiOGQ0NDM5NzgwMjc3M2UifQ=="/>
  </w:docVars>
  <w:rsids>
    <w:rsidRoot w:val="00E54E3D"/>
    <w:rsid w:val="00001C43"/>
    <w:rsid w:val="00010A46"/>
    <w:rsid w:val="00013735"/>
    <w:rsid w:val="00014E52"/>
    <w:rsid w:val="00015222"/>
    <w:rsid w:val="000156A3"/>
    <w:rsid w:val="00017A16"/>
    <w:rsid w:val="00027190"/>
    <w:rsid w:val="000316E2"/>
    <w:rsid w:val="000341E4"/>
    <w:rsid w:val="00041D26"/>
    <w:rsid w:val="0004328C"/>
    <w:rsid w:val="000434C7"/>
    <w:rsid w:val="00054BB2"/>
    <w:rsid w:val="00057C27"/>
    <w:rsid w:val="00060F24"/>
    <w:rsid w:val="000648E4"/>
    <w:rsid w:val="00065A85"/>
    <w:rsid w:val="000665D2"/>
    <w:rsid w:val="000749E0"/>
    <w:rsid w:val="000816E6"/>
    <w:rsid w:val="00085D35"/>
    <w:rsid w:val="00090246"/>
    <w:rsid w:val="00091DB7"/>
    <w:rsid w:val="00095521"/>
    <w:rsid w:val="00096C78"/>
    <w:rsid w:val="000A092F"/>
    <w:rsid w:val="000A1387"/>
    <w:rsid w:val="000A261A"/>
    <w:rsid w:val="000A42DF"/>
    <w:rsid w:val="000A43B7"/>
    <w:rsid w:val="000A43C1"/>
    <w:rsid w:val="000B3752"/>
    <w:rsid w:val="000B38AA"/>
    <w:rsid w:val="000B64D9"/>
    <w:rsid w:val="000C07FA"/>
    <w:rsid w:val="000C4688"/>
    <w:rsid w:val="000C68EF"/>
    <w:rsid w:val="000D247E"/>
    <w:rsid w:val="000D4BF8"/>
    <w:rsid w:val="000D7AE5"/>
    <w:rsid w:val="000E065B"/>
    <w:rsid w:val="000E1305"/>
    <w:rsid w:val="000E20C9"/>
    <w:rsid w:val="000E4F0D"/>
    <w:rsid w:val="000F2420"/>
    <w:rsid w:val="000F53D0"/>
    <w:rsid w:val="00110856"/>
    <w:rsid w:val="00110A91"/>
    <w:rsid w:val="00124703"/>
    <w:rsid w:val="0014353F"/>
    <w:rsid w:val="00153B64"/>
    <w:rsid w:val="001546A7"/>
    <w:rsid w:val="00161BEB"/>
    <w:rsid w:val="00163CDE"/>
    <w:rsid w:val="001650DB"/>
    <w:rsid w:val="001707DC"/>
    <w:rsid w:val="00171047"/>
    <w:rsid w:val="00171598"/>
    <w:rsid w:val="00176C03"/>
    <w:rsid w:val="00181B75"/>
    <w:rsid w:val="001908FE"/>
    <w:rsid w:val="00194FAF"/>
    <w:rsid w:val="00196E9A"/>
    <w:rsid w:val="001A3CE5"/>
    <w:rsid w:val="001A75C9"/>
    <w:rsid w:val="001A783E"/>
    <w:rsid w:val="001B3D45"/>
    <w:rsid w:val="001B416F"/>
    <w:rsid w:val="001D4059"/>
    <w:rsid w:val="001E47A9"/>
    <w:rsid w:val="001E726C"/>
    <w:rsid w:val="001F13F0"/>
    <w:rsid w:val="001F1862"/>
    <w:rsid w:val="001F2231"/>
    <w:rsid w:val="001F3B42"/>
    <w:rsid w:val="001F3D06"/>
    <w:rsid w:val="002017A6"/>
    <w:rsid w:val="0020343A"/>
    <w:rsid w:val="00215AA4"/>
    <w:rsid w:val="00225F1F"/>
    <w:rsid w:val="0022613D"/>
    <w:rsid w:val="00227363"/>
    <w:rsid w:val="00230839"/>
    <w:rsid w:val="00232E11"/>
    <w:rsid w:val="002372FE"/>
    <w:rsid w:val="00241192"/>
    <w:rsid w:val="002470BE"/>
    <w:rsid w:val="00250E0A"/>
    <w:rsid w:val="002548BA"/>
    <w:rsid w:val="00255117"/>
    <w:rsid w:val="00263504"/>
    <w:rsid w:val="0027262D"/>
    <w:rsid w:val="00276918"/>
    <w:rsid w:val="00276F57"/>
    <w:rsid w:val="00285716"/>
    <w:rsid w:val="002860DD"/>
    <w:rsid w:val="00290E3E"/>
    <w:rsid w:val="002964C0"/>
    <w:rsid w:val="002A584B"/>
    <w:rsid w:val="002B015F"/>
    <w:rsid w:val="002B4D87"/>
    <w:rsid w:val="002B6C7C"/>
    <w:rsid w:val="002B7E52"/>
    <w:rsid w:val="002C202A"/>
    <w:rsid w:val="002C3583"/>
    <w:rsid w:val="002C4A46"/>
    <w:rsid w:val="002C507D"/>
    <w:rsid w:val="002C65B0"/>
    <w:rsid w:val="002D66A6"/>
    <w:rsid w:val="002D7C50"/>
    <w:rsid w:val="002E161C"/>
    <w:rsid w:val="002E402E"/>
    <w:rsid w:val="002E5F78"/>
    <w:rsid w:val="002F1E42"/>
    <w:rsid w:val="002F2E7B"/>
    <w:rsid w:val="00300759"/>
    <w:rsid w:val="00302034"/>
    <w:rsid w:val="00302E02"/>
    <w:rsid w:val="003032A1"/>
    <w:rsid w:val="0030401B"/>
    <w:rsid w:val="003052B9"/>
    <w:rsid w:val="003069C6"/>
    <w:rsid w:val="00311C4E"/>
    <w:rsid w:val="00311D5E"/>
    <w:rsid w:val="00312642"/>
    <w:rsid w:val="00317287"/>
    <w:rsid w:val="0031748E"/>
    <w:rsid w:val="00337BA9"/>
    <w:rsid w:val="00340274"/>
    <w:rsid w:val="003415A8"/>
    <w:rsid w:val="00346C9A"/>
    <w:rsid w:val="003470EC"/>
    <w:rsid w:val="00350ED0"/>
    <w:rsid w:val="003521FF"/>
    <w:rsid w:val="00353465"/>
    <w:rsid w:val="00355070"/>
    <w:rsid w:val="00356687"/>
    <w:rsid w:val="00356935"/>
    <w:rsid w:val="00362979"/>
    <w:rsid w:val="003629FE"/>
    <w:rsid w:val="0037303D"/>
    <w:rsid w:val="00376468"/>
    <w:rsid w:val="00376A4A"/>
    <w:rsid w:val="0038591C"/>
    <w:rsid w:val="00387BAE"/>
    <w:rsid w:val="00397299"/>
    <w:rsid w:val="003A2190"/>
    <w:rsid w:val="003C04BA"/>
    <w:rsid w:val="003C7D1F"/>
    <w:rsid w:val="003D3F04"/>
    <w:rsid w:val="003D4ABD"/>
    <w:rsid w:val="003F10B2"/>
    <w:rsid w:val="003F2A85"/>
    <w:rsid w:val="00401E29"/>
    <w:rsid w:val="00404D08"/>
    <w:rsid w:val="00406CFE"/>
    <w:rsid w:val="00411306"/>
    <w:rsid w:val="00412EFD"/>
    <w:rsid w:val="00414987"/>
    <w:rsid w:val="00414E76"/>
    <w:rsid w:val="004164D7"/>
    <w:rsid w:val="00423C11"/>
    <w:rsid w:val="00430187"/>
    <w:rsid w:val="00433525"/>
    <w:rsid w:val="00437F25"/>
    <w:rsid w:val="0044227B"/>
    <w:rsid w:val="00444880"/>
    <w:rsid w:val="0047791C"/>
    <w:rsid w:val="00480A0E"/>
    <w:rsid w:val="00481FBC"/>
    <w:rsid w:val="004823F2"/>
    <w:rsid w:val="00483DD3"/>
    <w:rsid w:val="004A0FD3"/>
    <w:rsid w:val="004A11BF"/>
    <w:rsid w:val="004A6C59"/>
    <w:rsid w:val="004B075A"/>
    <w:rsid w:val="004B224E"/>
    <w:rsid w:val="004B2ADF"/>
    <w:rsid w:val="004B370E"/>
    <w:rsid w:val="004B5D48"/>
    <w:rsid w:val="004B6A2C"/>
    <w:rsid w:val="004D0855"/>
    <w:rsid w:val="004D3A9A"/>
    <w:rsid w:val="004D6518"/>
    <w:rsid w:val="004D6849"/>
    <w:rsid w:val="004E19DA"/>
    <w:rsid w:val="004E2181"/>
    <w:rsid w:val="004E74E1"/>
    <w:rsid w:val="004F5DCA"/>
    <w:rsid w:val="005037F0"/>
    <w:rsid w:val="00510906"/>
    <w:rsid w:val="0051269B"/>
    <w:rsid w:val="005219C5"/>
    <w:rsid w:val="00524CFE"/>
    <w:rsid w:val="005278D4"/>
    <w:rsid w:val="00532712"/>
    <w:rsid w:val="00532BD3"/>
    <w:rsid w:val="00542ABD"/>
    <w:rsid w:val="005439E0"/>
    <w:rsid w:val="0054491C"/>
    <w:rsid w:val="0054497C"/>
    <w:rsid w:val="005474EF"/>
    <w:rsid w:val="0055004B"/>
    <w:rsid w:val="00552875"/>
    <w:rsid w:val="00552A29"/>
    <w:rsid w:val="00554DAF"/>
    <w:rsid w:val="00556A2A"/>
    <w:rsid w:val="0056034E"/>
    <w:rsid w:val="0056425B"/>
    <w:rsid w:val="0056490C"/>
    <w:rsid w:val="00572471"/>
    <w:rsid w:val="00573467"/>
    <w:rsid w:val="00573E4E"/>
    <w:rsid w:val="00573EBA"/>
    <w:rsid w:val="005745BF"/>
    <w:rsid w:val="00574778"/>
    <w:rsid w:val="0057497D"/>
    <w:rsid w:val="0058431F"/>
    <w:rsid w:val="00584807"/>
    <w:rsid w:val="00585D9C"/>
    <w:rsid w:val="00593845"/>
    <w:rsid w:val="00596714"/>
    <w:rsid w:val="005A001C"/>
    <w:rsid w:val="005A6877"/>
    <w:rsid w:val="005B3F17"/>
    <w:rsid w:val="005B6314"/>
    <w:rsid w:val="005C19E2"/>
    <w:rsid w:val="005C56B9"/>
    <w:rsid w:val="005D028F"/>
    <w:rsid w:val="005D5629"/>
    <w:rsid w:val="005E1431"/>
    <w:rsid w:val="005E1ED6"/>
    <w:rsid w:val="005E6EBD"/>
    <w:rsid w:val="005E7F70"/>
    <w:rsid w:val="005F0AF8"/>
    <w:rsid w:val="005F207E"/>
    <w:rsid w:val="005F2EFD"/>
    <w:rsid w:val="005F5D84"/>
    <w:rsid w:val="00600E94"/>
    <w:rsid w:val="006034B8"/>
    <w:rsid w:val="00604625"/>
    <w:rsid w:val="00622DA4"/>
    <w:rsid w:val="00626082"/>
    <w:rsid w:val="00630E86"/>
    <w:rsid w:val="00643CE1"/>
    <w:rsid w:val="0064699A"/>
    <w:rsid w:val="00647F5E"/>
    <w:rsid w:val="006504FA"/>
    <w:rsid w:val="006539E1"/>
    <w:rsid w:val="00654730"/>
    <w:rsid w:val="006568B6"/>
    <w:rsid w:val="00666642"/>
    <w:rsid w:val="006673C1"/>
    <w:rsid w:val="00684364"/>
    <w:rsid w:val="00691303"/>
    <w:rsid w:val="006A4573"/>
    <w:rsid w:val="006A6BE0"/>
    <w:rsid w:val="006B020F"/>
    <w:rsid w:val="006B324B"/>
    <w:rsid w:val="006C2179"/>
    <w:rsid w:val="006C2759"/>
    <w:rsid w:val="006C51F2"/>
    <w:rsid w:val="006C5BE6"/>
    <w:rsid w:val="006D124D"/>
    <w:rsid w:val="006D7FA4"/>
    <w:rsid w:val="006E0B18"/>
    <w:rsid w:val="006E2E5F"/>
    <w:rsid w:val="006E329E"/>
    <w:rsid w:val="006F0B35"/>
    <w:rsid w:val="007003E8"/>
    <w:rsid w:val="00702D3A"/>
    <w:rsid w:val="00707023"/>
    <w:rsid w:val="00711A98"/>
    <w:rsid w:val="007137E8"/>
    <w:rsid w:val="00715771"/>
    <w:rsid w:val="007167F7"/>
    <w:rsid w:val="00721E45"/>
    <w:rsid w:val="00722C0E"/>
    <w:rsid w:val="0072611F"/>
    <w:rsid w:val="00726CB1"/>
    <w:rsid w:val="00730EF3"/>
    <w:rsid w:val="007348D0"/>
    <w:rsid w:val="00736F08"/>
    <w:rsid w:val="00736F95"/>
    <w:rsid w:val="00742339"/>
    <w:rsid w:val="00742B9C"/>
    <w:rsid w:val="00745C9A"/>
    <w:rsid w:val="007505FE"/>
    <w:rsid w:val="00757191"/>
    <w:rsid w:val="00757FF6"/>
    <w:rsid w:val="007613F9"/>
    <w:rsid w:val="007618A2"/>
    <w:rsid w:val="007656BC"/>
    <w:rsid w:val="007679DF"/>
    <w:rsid w:val="00770140"/>
    <w:rsid w:val="00770145"/>
    <w:rsid w:val="007713D5"/>
    <w:rsid w:val="00772976"/>
    <w:rsid w:val="00781529"/>
    <w:rsid w:val="00781E98"/>
    <w:rsid w:val="00783C0C"/>
    <w:rsid w:val="00791216"/>
    <w:rsid w:val="0079374E"/>
    <w:rsid w:val="00797467"/>
    <w:rsid w:val="00797CA6"/>
    <w:rsid w:val="00797D8D"/>
    <w:rsid w:val="007A2B8F"/>
    <w:rsid w:val="007B003B"/>
    <w:rsid w:val="007B351C"/>
    <w:rsid w:val="007C5DCD"/>
    <w:rsid w:val="007D04C9"/>
    <w:rsid w:val="007D12B9"/>
    <w:rsid w:val="007E1E64"/>
    <w:rsid w:val="007E6172"/>
    <w:rsid w:val="008058EE"/>
    <w:rsid w:val="008101FD"/>
    <w:rsid w:val="00813241"/>
    <w:rsid w:val="00826494"/>
    <w:rsid w:val="008271FA"/>
    <w:rsid w:val="00835C1B"/>
    <w:rsid w:val="00836E03"/>
    <w:rsid w:val="008441ED"/>
    <w:rsid w:val="00847F39"/>
    <w:rsid w:val="00852262"/>
    <w:rsid w:val="00860F88"/>
    <w:rsid w:val="00864A97"/>
    <w:rsid w:val="00873E34"/>
    <w:rsid w:val="00880CB1"/>
    <w:rsid w:val="008817D2"/>
    <w:rsid w:val="008B1A65"/>
    <w:rsid w:val="008B35DB"/>
    <w:rsid w:val="008C0191"/>
    <w:rsid w:val="008C608B"/>
    <w:rsid w:val="008D2456"/>
    <w:rsid w:val="008D612A"/>
    <w:rsid w:val="008E65E4"/>
    <w:rsid w:val="008F00EB"/>
    <w:rsid w:val="008F592A"/>
    <w:rsid w:val="008F7DFA"/>
    <w:rsid w:val="00905187"/>
    <w:rsid w:val="00907F31"/>
    <w:rsid w:val="009154C2"/>
    <w:rsid w:val="009177A0"/>
    <w:rsid w:val="009233D3"/>
    <w:rsid w:val="009252C4"/>
    <w:rsid w:val="0092655B"/>
    <w:rsid w:val="0093617A"/>
    <w:rsid w:val="00936657"/>
    <w:rsid w:val="009413C5"/>
    <w:rsid w:val="0094440F"/>
    <w:rsid w:val="00944FCA"/>
    <w:rsid w:val="00946E28"/>
    <w:rsid w:val="00950AE3"/>
    <w:rsid w:val="00952F4A"/>
    <w:rsid w:val="009563FF"/>
    <w:rsid w:val="009611DD"/>
    <w:rsid w:val="00967403"/>
    <w:rsid w:val="0097372B"/>
    <w:rsid w:val="009B06D5"/>
    <w:rsid w:val="009B11B6"/>
    <w:rsid w:val="009B5D4A"/>
    <w:rsid w:val="009D6154"/>
    <w:rsid w:val="009E0A08"/>
    <w:rsid w:val="009F0047"/>
    <w:rsid w:val="009F6F93"/>
    <w:rsid w:val="00A0319E"/>
    <w:rsid w:val="00A03255"/>
    <w:rsid w:val="00A0325E"/>
    <w:rsid w:val="00A103FF"/>
    <w:rsid w:val="00A20EE7"/>
    <w:rsid w:val="00A21BB2"/>
    <w:rsid w:val="00A251A6"/>
    <w:rsid w:val="00A32FB1"/>
    <w:rsid w:val="00A407D0"/>
    <w:rsid w:val="00A43775"/>
    <w:rsid w:val="00A53600"/>
    <w:rsid w:val="00A5538E"/>
    <w:rsid w:val="00A65D9B"/>
    <w:rsid w:val="00A8143B"/>
    <w:rsid w:val="00A830B6"/>
    <w:rsid w:val="00A837B1"/>
    <w:rsid w:val="00A842C3"/>
    <w:rsid w:val="00A84585"/>
    <w:rsid w:val="00A942A6"/>
    <w:rsid w:val="00A9451B"/>
    <w:rsid w:val="00A953DB"/>
    <w:rsid w:val="00AA02DA"/>
    <w:rsid w:val="00AA13F8"/>
    <w:rsid w:val="00AA19DB"/>
    <w:rsid w:val="00AA52E7"/>
    <w:rsid w:val="00AA6243"/>
    <w:rsid w:val="00AA6E5D"/>
    <w:rsid w:val="00AB0F95"/>
    <w:rsid w:val="00AC79F5"/>
    <w:rsid w:val="00AD0F12"/>
    <w:rsid w:val="00AD3C21"/>
    <w:rsid w:val="00AE6F34"/>
    <w:rsid w:val="00AF13EA"/>
    <w:rsid w:val="00AF308D"/>
    <w:rsid w:val="00B00CA3"/>
    <w:rsid w:val="00B11890"/>
    <w:rsid w:val="00B13761"/>
    <w:rsid w:val="00B20CFC"/>
    <w:rsid w:val="00B271C8"/>
    <w:rsid w:val="00B27612"/>
    <w:rsid w:val="00B278E6"/>
    <w:rsid w:val="00B27CE5"/>
    <w:rsid w:val="00B35B68"/>
    <w:rsid w:val="00B37E6A"/>
    <w:rsid w:val="00B41B78"/>
    <w:rsid w:val="00B437DB"/>
    <w:rsid w:val="00B47B6B"/>
    <w:rsid w:val="00B50D94"/>
    <w:rsid w:val="00B51960"/>
    <w:rsid w:val="00B53877"/>
    <w:rsid w:val="00B751D8"/>
    <w:rsid w:val="00B76E84"/>
    <w:rsid w:val="00B87758"/>
    <w:rsid w:val="00B87F34"/>
    <w:rsid w:val="00B904C6"/>
    <w:rsid w:val="00B91403"/>
    <w:rsid w:val="00B943EE"/>
    <w:rsid w:val="00B94787"/>
    <w:rsid w:val="00B94EAA"/>
    <w:rsid w:val="00BA2DCC"/>
    <w:rsid w:val="00BA31C3"/>
    <w:rsid w:val="00BA558B"/>
    <w:rsid w:val="00BB527E"/>
    <w:rsid w:val="00BC137F"/>
    <w:rsid w:val="00BC2586"/>
    <w:rsid w:val="00BD709E"/>
    <w:rsid w:val="00BE0334"/>
    <w:rsid w:val="00BE1920"/>
    <w:rsid w:val="00BE2DFC"/>
    <w:rsid w:val="00BF0BCE"/>
    <w:rsid w:val="00BF346D"/>
    <w:rsid w:val="00BF4EB0"/>
    <w:rsid w:val="00BF782F"/>
    <w:rsid w:val="00C009C2"/>
    <w:rsid w:val="00C04869"/>
    <w:rsid w:val="00C13DE6"/>
    <w:rsid w:val="00C155FA"/>
    <w:rsid w:val="00C200F9"/>
    <w:rsid w:val="00C2525C"/>
    <w:rsid w:val="00C333E4"/>
    <w:rsid w:val="00C337BA"/>
    <w:rsid w:val="00C410EC"/>
    <w:rsid w:val="00C4699E"/>
    <w:rsid w:val="00C524D2"/>
    <w:rsid w:val="00C528B9"/>
    <w:rsid w:val="00C55DD0"/>
    <w:rsid w:val="00C57A48"/>
    <w:rsid w:val="00C62BEB"/>
    <w:rsid w:val="00C64DB0"/>
    <w:rsid w:val="00C70FCB"/>
    <w:rsid w:val="00C748F0"/>
    <w:rsid w:val="00C92D05"/>
    <w:rsid w:val="00C95F97"/>
    <w:rsid w:val="00CA0FAA"/>
    <w:rsid w:val="00CA4163"/>
    <w:rsid w:val="00CA5CE4"/>
    <w:rsid w:val="00CB53AB"/>
    <w:rsid w:val="00CB5F69"/>
    <w:rsid w:val="00CC1D96"/>
    <w:rsid w:val="00CC42C1"/>
    <w:rsid w:val="00CD1B1F"/>
    <w:rsid w:val="00CD3FFC"/>
    <w:rsid w:val="00CD53BB"/>
    <w:rsid w:val="00CD5ADA"/>
    <w:rsid w:val="00CF1ADE"/>
    <w:rsid w:val="00CF5ACB"/>
    <w:rsid w:val="00CF68E3"/>
    <w:rsid w:val="00D011A4"/>
    <w:rsid w:val="00D02B2A"/>
    <w:rsid w:val="00D10C4E"/>
    <w:rsid w:val="00D111B9"/>
    <w:rsid w:val="00D210E4"/>
    <w:rsid w:val="00D21904"/>
    <w:rsid w:val="00D27517"/>
    <w:rsid w:val="00D304B9"/>
    <w:rsid w:val="00D34CF1"/>
    <w:rsid w:val="00D447DA"/>
    <w:rsid w:val="00D44E68"/>
    <w:rsid w:val="00D571E5"/>
    <w:rsid w:val="00D62E9C"/>
    <w:rsid w:val="00D658BB"/>
    <w:rsid w:val="00D66935"/>
    <w:rsid w:val="00D74341"/>
    <w:rsid w:val="00D74A64"/>
    <w:rsid w:val="00D90E2E"/>
    <w:rsid w:val="00DA0E69"/>
    <w:rsid w:val="00DA36FD"/>
    <w:rsid w:val="00DA39DD"/>
    <w:rsid w:val="00DA7C56"/>
    <w:rsid w:val="00DC6726"/>
    <w:rsid w:val="00DC6FDE"/>
    <w:rsid w:val="00DD157F"/>
    <w:rsid w:val="00DD4A59"/>
    <w:rsid w:val="00DD5D28"/>
    <w:rsid w:val="00DD7F72"/>
    <w:rsid w:val="00DE067A"/>
    <w:rsid w:val="00DF10FD"/>
    <w:rsid w:val="00DF4AE8"/>
    <w:rsid w:val="00DF51DC"/>
    <w:rsid w:val="00E02919"/>
    <w:rsid w:val="00E10452"/>
    <w:rsid w:val="00E16FE2"/>
    <w:rsid w:val="00E213C5"/>
    <w:rsid w:val="00E22BA8"/>
    <w:rsid w:val="00E35F1A"/>
    <w:rsid w:val="00E42D1E"/>
    <w:rsid w:val="00E452C7"/>
    <w:rsid w:val="00E45BBF"/>
    <w:rsid w:val="00E470EE"/>
    <w:rsid w:val="00E52A03"/>
    <w:rsid w:val="00E54E3D"/>
    <w:rsid w:val="00E56BF6"/>
    <w:rsid w:val="00E60423"/>
    <w:rsid w:val="00E60814"/>
    <w:rsid w:val="00E63086"/>
    <w:rsid w:val="00E654D9"/>
    <w:rsid w:val="00E70AF9"/>
    <w:rsid w:val="00E7225B"/>
    <w:rsid w:val="00E80992"/>
    <w:rsid w:val="00E85C31"/>
    <w:rsid w:val="00E918D0"/>
    <w:rsid w:val="00E975B7"/>
    <w:rsid w:val="00EA5A06"/>
    <w:rsid w:val="00EB0158"/>
    <w:rsid w:val="00EB024A"/>
    <w:rsid w:val="00EB3A0F"/>
    <w:rsid w:val="00EB65FE"/>
    <w:rsid w:val="00ED015D"/>
    <w:rsid w:val="00ED3A44"/>
    <w:rsid w:val="00ED3BE0"/>
    <w:rsid w:val="00EE02C5"/>
    <w:rsid w:val="00EF0962"/>
    <w:rsid w:val="00EF4709"/>
    <w:rsid w:val="00F10F94"/>
    <w:rsid w:val="00F11314"/>
    <w:rsid w:val="00F15628"/>
    <w:rsid w:val="00F2114F"/>
    <w:rsid w:val="00F2147F"/>
    <w:rsid w:val="00F25069"/>
    <w:rsid w:val="00F261CA"/>
    <w:rsid w:val="00F26592"/>
    <w:rsid w:val="00F27441"/>
    <w:rsid w:val="00F3152F"/>
    <w:rsid w:val="00F35582"/>
    <w:rsid w:val="00F36CBD"/>
    <w:rsid w:val="00F420A4"/>
    <w:rsid w:val="00F433D4"/>
    <w:rsid w:val="00F45085"/>
    <w:rsid w:val="00F471DA"/>
    <w:rsid w:val="00F94453"/>
    <w:rsid w:val="00FA1F08"/>
    <w:rsid w:val="00FB46F3"/>
    <w:rsid w:val="00FB6572"/>
    <w:rsid w:val="00FB6DE1"/>
    <w:rsid w:val="00FB6EC3"/>
    <w:rsid w:val="00FC4486"/>
    <w:rsid w:val="00FC4618"/>
    <w:rsid w:val="00FC606C"/>
    <w:rsid w:val="00FE16FE"/>
    <w:rsid w:val="00FE339B"/>
    <w:rsid w:val="00FE5653"/>
    <w:rsid w:val="00FE65CD"/>
    <w:rsid w:val="00FF6F9F"/>
    <w:rsid w:val="016A5229"/>
    <w:rsid w:val="016D5559"/>
    <w:rsid w:val="01782003"/>
    <w:rsid w:val="018A3C95"/>
    <w:rsid w:val="02560248"/>
    <w:rsid w:val="02EA4873"/>
    <w:rsid w:val="0303347F"/>
    <w:rsid w:val="03540400"/>
    <w:rsid w:val="036266DA"/>
    <w:rsid w:val="04281A46"/>
    <w:rsid w:val="04B164B4"/>
    <w:rsid w:val="05D37841"/>
    <w:rsid w:val="05F652DD"/>
    <w:rsid w:val="06560D9D"/>
    <w:rsid w:val="068A20F2"/>
    <w:rsid w:val="068A391B"/>
    <w:rsid w:val="06D21E1F"/>
    <w:rsid w:val="071A6B4E"/>
    <w:rsid w:val="073603F4"/>
    <w:rsid w:val="078F09EF"/>
    <w:rsid w:val="07BA233A"/>
    <w:rsid w:val="07E80887"/>
    <w:rsid w:val="0813320D"/>
    <w:rsid w:val="0860460C"/>
    <w:rsid w:val="087F780C"/>
    <w:rsid w:val="088F19A5"/>
    <w:rsid w:val="08BA63AC"/>
    <w:rsid w:val="091C7AE0"/>
    <w:rsid w:val="09465E54"/>
    <w:rsid w:val="094C1B7E"/>
    <w:rsid w:val="095C5D9F"/>
    <w:rsid w:val="09760CC5"/>
    <w:rsid w:val="099058CD"/>
    <w:rsid w:val="09C26A4D"/>
    <w:rsid w:val="09C43DFE"/>
    <w:rsid w:val="09DF47CF"/>
    <w:rsid w:val="09FF384E"/>
    <w:rsid w:val="0A24098F"/>
    <w:rsid w:val="0A5224DD"/>
    <w:rsid w:val="0AB415B6"/>
    <w:rsid w:val="0AC97102"/>
    <w:rsid w:val="0B323FB2"/>
    <w:rsid w:val="0B3764AE"/>
    <w:rsid w:val="0B596EF6"/>
    <w:rsid w:val="0BC63728"/>
    <w:rsid w:val="0C056275"/>
    <w:rsid w:val="0C0F70F9"/>
    <w:rsid w:val="0C101724"/>
    <w:rsid w:val="0C8F3D96"/>
    <w:rsid w:val="0C964CA2"/>
    <w:rsid w:val="0D1C2595"/>
    <w:rsid w:val="0D8F54C8"/>
    <w:rsid w:val="0E3746E5"/>
    <w:rsid w:val="0E910F22"/>
    <w:rsid w:val="0F425ADA"/>
    <w:rsid w:val="0F5A68DD"/>
    <w:rsid w:val="0F5D1774"/>
    <w:rsid w:val="0FC226D4"/>
    <w:rsid w:val="0FCB1FCB"/>
    <w:rsid w:val="100A344F"/>
    <w:rsid w:val="104636C6"/>
    <w:rsid w:val="10DF6166"/>
    <w:rsid w:val="10EF574B"/>
    <w:rsid w:val="110E47EE"/>
    <w:rsid w:val="112943D9"/>
    <w:rsid w:val="1174438C"/>
    <w:rsid w:val="11AE1D1E"/>
    <w:rsid w:val="11E93F48"/>
    <w:rsid w:val="11EE155E"/>
    <w:rsid w:val="120A33A5"/>
    <w:rsid w:val="122D13AE"/>
    <w:rsid w:val="1232769D"/>
    <w:rsid w:val="124B69B1"/>
    <w:rsid w:val="12665FE4"/>
    <w:rsid w:val="12695B7F"/>
    <w:rsid w:val="129236B5"/>
    <w:rsid w:val="12B37BA3"/>
    <w:rsid w:val="130B6508"/>
    <w:rsid w:val="1354716C"/>
    <w:rsid w:val="13581385"/>
    <w:rsid w:val="13B36686"/>
    <w:rsid w:val="13B47B21"/>
    <w:rsid w:val="13BC22CB"/>
    <w:rsid w:val="13D942F6"/>
    <w:rsid w:val="140137CB"/>
    <w:rsid w:val="141E750A"/>
    <w:rsid w:val="14465682"/>
    <w:rsid w:val="145B5F39"/>
    <w:rsid w:val="14916DF2"/>
    <w:rsid w:val="1508785D"/>
    <w:rsid w:val="1587232E"/>
    <w:rsid w:val="15FB0E7E"/>
    <w:rsid w:val="16F125E3"/>
    <w:rsid w:val="16F413C5"/>
    <w:rsid w:val="17903359"/>
    <w:rsid w:val="17AD3DA9"/>
    <w:rsid w:val="17C05709"/>
    <w:rsid w:val="185760AF"/>
    <w:rsid w:val="186E51A7"/>
    <w:rsid w:val="18CC1A63"/>
    <w:rsid w:val="18E145F5"/>
    <w:rsid w:val="1901248C"/>
    <w:rsid w:val="190575E8"/>
    <w:rsid w:val="19530820"/>
    <w:rsid w:val="196F35E9"/>
    <w:rsid w:val="197219A1"/>
    <w:rsid w:val="19836A86"/>
    <w:rsid w:val="19883913"/>
    <w:rsid w:val="199F46D7"/>
    <w:rsid w:val="19B34C0A"/>
    <w:rsid w:val="1A101FB8"/>
    <w:rsid w:val="1A2E2E40"/>
    <w:rsid w:val="1A6F34CA"/>
    <w:rsid w:val="1AAC1E98"/>
    <w:rsid w:val="1AE259D8"/>
    <w:rsid w:val="1B027BA1"/>
    <w:rsid w:val="1B167B85"/>
    <w:rsid w:val="1B1E1A93"/>
    <w:rsid w:val="1B696C09"/>
    <w:rsid w:val="1B6A1C3F"/>
    <w:rsid w:val="1BB4082D"/>
    <w:rsid w:val="1C5C679C"/>
    <w:rsid w:val="1C9562BF"/>
    <w:rsid w:val="1CC53064"/>
    <w:rsid w:val="1D2C5C80"/>
    <w:rsid w:val="1D2C6176"/>
    <w:rsid w:val="1D355EF9"/>
    <w:rsid w:val="1D9B5E24"/>
    <w:rsid w:val="1E3015B8"/>
    <w:rsid w:val="1EC724F6"/>
    <w:rsid w:val="1ED41C72"/>
    <w:rsid w:val="1ED612BA"/>
    <w:rsid w:val="1EEE7C68"/>
    <w:rsid w:val="1F7C289F"/>
    <w:rsid w:val="1F9D3F58"/>
    <w:rsid w:val="1FB72357"/>
    <w:rsid w:val="20326C05"/>
    <w:rsid w:val="204C25BC"/>
    <w:rsid w:val="204F3B10"/>
    <w:rsid w:val="20FF72E4"/>
    <w:rsid w:val="211B680F"/>
    <w:rsid w:val="21466494"/>
    <w:rsid w:val="21884230"/>
    <w:rsid w:val="21E8421C"/>
    <w:rsid w:val="223D5983"/>
    <w:rsid w:val="22425D54"/>
    <w:rsid w:val="225A4AC4"/>
    <w:rsid w:val="22652E4C"/>
    <w:rsid w:val="22A10672"/>
    <w:rsid w:val="22E42C35"/>
    <w:rsid w:val="22F72329"/>
    <w:rsid w:val="23046E34"/>
    <w:rsid w:val="23494626"/>
    <w:rsid w:val="23594007"/>
    <w:rsid w:val="23C30E5B"/>
    <w:rsid w:val="23CD5478"/>
    <w:rsid w:val="23F07DF8"/>
    <w:rsid w:val="23F62787"/>
    <w:rsid w:val="24834C17"/>
    <w:rsid w:val="250349E0"/>
    <w:rsid w:val="25064410"/>
    <w:rsid w:val="258778A8"/>
    <w:rsid w:val="25B66D34"/>
    <w:rsid w:val="25C6044D"/>
    <w:rsid w:val="25FC7B0B"/>
    <w:rsid w:val="26845BB1"/>
    <w:rsid w:val="26971D6D"/>
    <w:rsid w:val="269D0675"/>
    <w:rsid w:val="26AA124E"/>
    <w:rsid w:val="26AD1590"/>
    <w:rsid w:val="26C534BB"/>
    <w:rsid w:val="273A48D6"/>
    <w:rsid w:val="277E5CCD"/>
    <w:rsid w:val="27E70451"/>
    <w:rsid w:val="27F751B9"/>
    <w:rsid w:val="286A05DF"/>
    <w:rsid w:val="28722A91"/>
    <w:rsid w:val="28DC43AF"/>
    <w:rsid w:val="291D0C4F"/>
    <w:rsid w:val="292C72D3"/>
    <w:rsid w:val="296578E1"/>
    <w:rsid w:val="29B86B61"/>
    <w:rsid w:val="29CF75DD"/>
    <w:rsid w:val="29D4637D"/>
    <w:rsid w:val="29F31FC6"/>
    <w:rsid w:val="2A56665B"/>
    <w:rsid w:val="2AA91FD6"/>
    <w:rsid w:val="2AD51AF0"/>
    <w:rsid w:val="2B206B4F"/>
    <w:rsid w:val="2B404BD5"/>
    <w:rsid w:val="2B481888"/>
    <w:rsid w:val="2B4E46E4"/>
    <w:rsid w:val="2B9160D5"/>
    <w:rsid w:val="2BD63337"/>
    <w:rsid w:val="2BD81141"/>
    <w:rsid w:val="2BF80D37"/>
    <w:rsid w:val="2C232ACF"/>
    <w:rsid w:val="2C500483"/>
    <w:rsid w:val="2C527C78"/>
    <w:rsid w:val="2C5D6C6E"/>
    <w:rsid w:val="2C8332C8"/>
    <w:rsid w:val="2CB16976"/>
    <w:rsid w:val="2CCA2CCE"/>
    <w:rsid w:val="2D127A68"/>
    <w:rsid w:val="2D395E59"/>
    <w:rsid w:val="2DA240F8"/>
    <w:rsid w:val="2DA736F5"/>
    <w:rsid w:val="2DAC13B7"/>
    <w:rsid w:val="2DD90EBD"/>
    <w:rsid w:val="2DFC498D"/>
    <w:rsid w:val="2E255EB0"/>
    <w:rsid w:val="2E262354"/>
    <w:rsid w:val="2ED65572"/>
    <w:rsid w:val="2EDC6EB7"/>
    <w:rsid w:val="2EEF264E"/>
    <w:rsid w:val="2EF52334"/>
    <w:rsid w:val="2F2A4445"/>
    <w:rsid w:val="2FB15C4D"/>
    <w:rsid w:val="2FB45451"/>
    <w:rsid w:val="301937F3"/>
    <w:rsid w:val="30262D24"/>
    <w:rsid w:val="302E54F0"/>
    <w:rsid w:val="31340616"/>
    <w:rsid w:val="31E721B1"/>
    <w:rsid w:val="320717E0"/>
    <w:rsid w:val="320C0693"/>
    <w:rsid w:val="32200D33"/>
    <w:rsid w:val="32265107"/>
    <w:rsid w:val="32811EE4"/>
    <w:rsid w:val="3286232D"/>
    <w:rsid w:val="328D6DAB"/>
    <w:rsid w:val="329D0AB2"/>
    <w:rsid w:val="32F04CDF"/>
    <w:rsid w:val="3368460A"/>
    <w:rsid w:val="33996024"/>
    <w:rsid w:val="33B65046"/>
    <w:rsid w:val="33BC729A"/>
    <w:rsid w:val="33E4407A"/>
    <w:rsid w:val="33EC6397"/>
    <w:rsid w:val="33EF31E8"/>
    <w:rsid w:val="33F33382"/>
    <w:rsid w:val="349E4CF3"/>
    <w:rsid w:val="34DB6E0C"/>
    <w:rsid w:val="351078BA"/>
    <w:rsid w:val="35710227"/>
    <w:rsid w:val="363C5FC2"/>
    <w:rsid w:val="365E12E3"/>
    <w:rsid w:val="36E44289"/>
    <w:rsid w:val="36ED67B6"/>
    <w:rsid w:val="370E5E19"/>
    <w:rsid w:val="374C0F79"/>
    <w:rsid w:val="376A3E27"/>
    <w:rsid w:val="37B15860"/>
    <w:rsid w:val="381C47C8"/>
    <w:rsid w:val="381C51E2"/>
    <w:rsid w:val="381E745E"/>
    <w:rsid w:val="386B52E1"/>
    <w:rsid w:val="390C49EB"/>
    <w:rsid w:val="39162DB3"/>
    <w:rsid w:val="39272B6C"/>
    <w:rsid w:val="395A6FB2"/>
    <w:rsid w:val="39624118"/>
    <w:rsid w:val="39B747A8"/>
    <w:rsid w:val="3A461688"/>
    <w:rsid w:val="3A474D13"/>
    <w:rsid w:val="3B012A58"/>
    <w:rsid w:val="3B175AED"/>
    <w:rsid w:val="3B2A71FC"/>
    <w:rsid w:val="3B3F6B82"/>
    <w:rsid w:val="3B7351F1"/>
    <w:rsid w:val="3BC438EB"/>
    <w:rsid w:val="3BE86E9B"/>
    <w:rsid w:val="3BE97A7F"/>
    <w:rsid w:val="3C2854E9"/>
    <w:rsid w:val="3C454289"/>
    <w:rsid w:val="3C74252A"/>
    <w:rsid w:val="3CD236A7"/>
    <w:rsid w:val="3D46319F"/>
    <w:rsid w:val="3D962FE5"/>
    <w:rsid w:val="3DA63607"/>
    <w:rsid w:val="3DBC05B8"/>
    <w:rsid w:val="3DC70D32"/>
    <w:rsid w:val="3DCC6CE4"/>
    <w:rsid w:val="3DD272F9"/>
    <w:rsid w:val="3DE76202"/>
    <w:rsid w:val="3E300685"/>
    <w:rsid w:val="3EC1531F"/>
    <w:rsid w:val="3EDA1A7B"/>
    <w:rsid w:val="3EE020AB"/>
    <w:rsid w:val="3F65003E"/>
    <w:rsid w:val="3F92673C"/>
    <w:rsid w:val="3F9410E8"/>
    <w:rsid w:val="3FC42A6A"/>
    <w:rsid w:val="3FF7445C"/>
    <w:rsid w:val="40E65973"/>
    <w:rsid w:val="40EA7211"/>
    <w:rsid w:val="419D4283"/>
    <w:rsid w:val="41B85BC8"/>
    <w:rsid w:val="429463B9"/>
    <w:rsid w:val="42EB7C5A"/>
    <w:rsid w:val="42F643F9"/>
    <w:rsid w:val="43574906"/>
    <w:rsid w:val="43963A5A"/>
    <w:rsid w:val="43C652A7"/>
    <w:rsid w:val="43D9399F"/>
    <w:rsid w:val="440C0CD8"/>
    <w:rsid w:val="442552F7"/>
    <w:rsid w:val="448930CF"/>
    <w:rsid w:val="448B22E8"/>
    <w:rsid w:val="44C77869"/>
    <w:rsid w:val="44F67A05"/>
    <w:rsid w:val="451559CC"/>
    <w:rsid w:val="4530540F"/>
    <w:rsid w:val="45794F7E"/>
    <w:rsid w:val="45801956"/>
    <w:rsid w:val="459E447E"/>
    <w:rsid w:val="45CF4C28"/>
    <w:rsid w:val="466F2450"/>
    <w:rsid w:val="471D3887"/>
    <w:rsid w:val="47D95A2F"/>
    <w:rsid w:val="47E11926"/>
    <w:rsid w:val="47E349BA"/>
    <w:rsid w:val="48376AB4"/>
    <w:rsid w:val="483F6900"/>
    <w:rsid w:val="48561833"/>
    <w:rsid w:val="49B57DB4"/>
    <w:rsid w:val="49C67C86"/>
    <w:rsid w:val="49F6111E"/>
    <w:rsid w:val="49FE593F"/>
    <w:rsid w:val="4A0D3589"/>
    <w:rsid w:val="4AAE387B"/>
    <w:rsid w:val="4B150F83"/>
    <w:rsid w:val="4B1A6945"/>
    <w:rsid w:val="4B292767"/>
    <w:rsid w:val="4B6C0139"/>
    <w:rsid w:val="4B8D4EEB"/>
    <w:rsid w:val="4BDF0841"/>
    <w:rsid w:val="4BE87C7F"/>
    <w:rsid w:val="4C59349D"/>
    <w:rsid w:val="4C6A57B6"/>
    <w:rsid w:val="4C71358C"/>
    <w:rsid w:val="4C797921"/>
    <w:rsid w:val="4CC0176E"/>
    <w:rsid w:val="4CF7154D"/>
    <w:rsid w:val="4D2477B8"/>
    <w:rsid w:val="4D3D2709"/>
    <w:rsid w:val="4D533430"/>
    <w:rsid w:val="4E3C144A"/>
    <w:rsid w:val="4E4C150B"/>
    <w:rsid w:val="4E641116"/>
    <w:rsid w:val="4E712D20"/>
    <w:rsid w:val="4E7B008E"/>
    <w:rsid w:val="4E837991"/>
    <w:rsid w:val="4EE507AC"/>
    <w:rsid w:val="4F3A75B6"/>
    <w:rsid w:val="4F70000C"/>
    <w:rsid w:val="4FA023BE"/>
    <w:rsid w:val="4FF05949"/>
    <w:rsid w:val="503A5777"/>
    <w:rsid w:val="504D4742"/>
    <w:rsid w:val="505350B8"/>
    <w:rsid w:val="50AE4DEC"/>
    <w:rsid w:val="514D31E1"/>
    <w:rsid w:val="5168238E"/>
    <w:rsid w:val="51B96C3C"/>
    <w:rsid w:val="51E76C80"/>
    <w:rsid w:val="51ED4DB3"/>
    <w:rsid w:val="523C3645"/>
    <w:rsid w:val="5255348B"/>
    <w:rsid w:val="526F57C8"/>
    <w:rsid w:val="52B66D07"/>
    <w:rsid w:val="52D46573"/>
    <w:rsid w:val="52ED0DE3"/>
    <w:rsid w:val="53173662"/>
    <w:rsid w:val="53321512"/>
    <w:rsid w:val="53517B1F"/>
    <w:rsid w:val="53A67AD5"/>
    <w:rsid w:val="54972377"/>
    <w:rsid w:val="54AB5154"/>
    <w:rsid w:val="54EE2998"/>
    <w:rsid w:val="55200FFC"/>
    <w:rsid w:val="552E303C"/>
    <w:rsid w:val="556E2C87"/>
    <w:rsid w:val="557C2F18"/>
    <w:rsid w:val="55BD7017"/>
    <w:rsid w:val="565A3FC7"/>
    <w:rsid w:val="565F7902"/>
    <w:rsid w:val="568D515A"/>
    <w:rsid w:val="56A95021"/>
    <w:rsid w:val="56E04DB0"/>
    <w:rsid w:val="56F3235B"/>
    <w:rsid w:val="56F50266"/>
    <w:rsid w:val="57082F3E"/>
    <w:rsid w:val="57330ACD"/>
    <w:rsid w:val="575952DA"/>
    <w:rsid w:val="5778282F"/>
    <w:rsid w:val="57931F59"/>
    <w:rsid w:val="57932B88"/>
    <w:rsid w:val="579B4E57"/>
    <w:rsid w:val="57F90199"/>
    <w:rsid w:val="58471494"/>
    <w:rsid w:val="586645F9"/>
    <w:rsid w:val="58D47B28"/>
    <w:rsid w:val="5934212E"/>
    <w:rsid w:val="594947C0"/>
    <w:rsid w:val="59645F25"/>
    <w:rsid w:val="59724A0A"/>
    <w:rsid w:val="59E64B21"/>
    <w:rsid w:val="5A2C601C"/>
    <w:rsid w:val="5A8E158E"/>
    <w:rsid w:val="5AA71D71"/>
    <w:rsid w:val="5B105CCE"/>
    <w:rsid w:val="5B835CA0"/>
    <w:rsid w:val="5B84500D"/>
    <w:rsid w:val="5C1723E1"/>
    <w:rsid w:val="5CBF10FA"/>
    <w:rsid w:val="5CD31049"/>
    <w:rsid w:val="5CFA77E8"/>
    <w:rsid w:val="5D167746"/>
    <w:rsid w:val="5D221689"/>
    <w:rsid w:val="5D351BDE"/>
    <w:rsid w:val="5D862A69"/>
    <w:rsid w:val="5DB20402"/>
    <w:rsid w:val="5DBB3FB7"/>
    <w:rsid w:val="5DF72B16"/>
    <w:rsid w:val="5E0D4548"/>
    <w:rsid w:val="5E323B4E"/>
    <w:rsid w:val="5E6E2DD8"/>
    <w:rsid w:val="5E996426"/>
    <w:rsid w:val="5EA902B4"/>
    <w:rsid w:val="5EC4601C"/>
    <w:rsid w:val="5F076029"/>
    <w:rsid w:val="5F4536A0"/>
    <w:rsid w:val="5F8108E9"/>
    <w:rsid w:val="5F9C3975"/>
    <w:rsid w:val="604B2581"/>
    <w:rsid w:val="610A28C6"/>
    <w:rsid w:val="612C7226"/>
    <w:rsid w:val="618704AE"/>
    <w:rsid w:val="61D93CB2"/>
    <w:rsid w:val="61FC1E0B"/>
    <w:rsid w:val="622D6587"/>
    <w:rsid w:val="629152E7"/>
    <w:rsid w:val="62965EF1"/>
    <w:rsid w:val="629B2C72"/>
    <w:rsid w:val="62AC7DB9"/>
    <w:rsid w:val="62B2109E"/>
    <w:rsid w:val="62C20029"/>
    <w:rsid w:val="62D445CD"/>
    <w:rsid w:val="634B6ED5"/>
    <w:rsid w:val="63571EFD"/>
    <w:rsid w:val="638634BC"/>
    <w:rsid w:val="63BB005E"/>
    <w:rsid w:val="64076ADD"/>
    <w:rsid w:val="64137B56"/>
    <w:rsid w:val="64AE2C3F"/>
    <w:rsid w:val="652901EB"/>
    <w:rsid w:val="653E39A1"/>
    <w:rsid w:val="6540540B"/>
    <w:rsid w:val="65C5406D"/>
    <w:rsid w:val="65CD7846"/>
    <w:rsid w:val="65DB0986"/>
    <w:rsid w:val="660D4E96"/>
    <w:rsid w:val="665F449F"/>
    <w:rsid w:val="66961477"/>
    <w:rsid w:val="66B15F58"/>
    <w:rsid w:val="6706354C"/>
    <w:rsid w:val="672901E4"/>
    <w:rsid w:val="67667FDB"/>
    <w:rsid w:val="676F196F"/>
    <w:rsid w:val="67C27CF0"/>
    <w:rsid w:val="68432F92"/>
    <w:rsid w:val="688A4C3F"/>
    <w:rsid w:val="692D1139"/>
    <w:rsid w:val="69A2427D"/>
    <w:rsid w:val="69DA3265"/>
    <w:rsid w:val="69EA352F"/>
    <w:rsid w:val="6A87566C"/>
    <w:rsid w:val="6A9A67EE"/>
    <w:rsid w:val="6B2810C4"/>
    <w:rsid w:val="6C4D7D8E"/>
    <w:rsid w:val="6C50072F"/>
    <w:rsid w:val="6C9F07DA"/>
    <w:rsid w:val="6CC938CF"/>
    <w:rsid w:val="6CCC46B5"/>
    <w:rsid w:val="6CED3C15"/>
    <w:rsid w:val="6D1E7EE8"/>
    <w:rsid w:val="6D5950F1"/>
    <w:rsid w:val="6D8346CA"/>
    <w:rsid w:val="6D9263B7"/>
    <w:rsid w:val="6DC11578"/>
    <w:rsid w:val="6DDE6CA3"/>
    <w:rsid w:val="6DE73E01"/>
    <w:rsid w:val="6E62679B"/>
    <w:rsid w:val="6E6715F2"/>
    <w:rsid w:val="6E9C5EB1"/>
    <w:rsid w:val="6EAE50A9"/>
    <w:rsid w:val="6EDB691B"/>
    <w:rsid w:val="6F11299E"/>
    <w:rsid w:val="6F2F65B3"/>
    <w:rsid w:val="6F402E3D"/>
    <w:rsid w:val="6F6D61EF"/>
    <w:rsid w:val="6FDA01B4"/>
    <w:rsid w:val="70274A7F"/>
    <w:rsid w:val="70A02B99"/>
    <w:rsid w:val="70B0102E"/>
    <w:rsid w:val="70B52AE8"/>
    <w:rsid w:val="70B567E8"/>
    <w:rsid w:val="70BC27CE"/>
    <w:rsid w:val="70DC08CE"/>
    <w:rsid w:val="70E944EF"/>
    <w:rsid w:val="71327C95"/>
    <w:rsid w:val="716B66FC"/>
    <w:rsid w:val="71863BD5"/>
    <w:rsid w:val="718A288E"/>
    <w:rsid w:val="71BA01CD"/>
    <w:rsid w:val="71C31544"/>
    <w:rsid w:val="71EB1615"/>
    <w:rsid w:val="72021B5A"/>
    <w:rsid w:val="728E0876"/>
    <w:rsid w:val="72AA43F2"/>
    <w:rsid w:val="72C54B39"/>
    <w:rsid w:val="72D82ABE"/>
    <w:rsid w:val="72DB1706"/>
    <w:rsid w:val="72E01973"/>
    <w:rsid w:val="734C0DB6"/>
    <w:rsid w:val="73872A74"/>
    <w:rsid w:val="73E248BE"/>
    <w:rsid w:val="74076C60"/>
    <w:rsid w:val="74277EFC"/>
    <w:rsid w:val="7434019A"/>
    <w:rsid w:val="744B2B8A"/>
    <w:rsid w:val="74942A15"/>
    <w:rsid w:val="74CB28DA"/>
    <w:rsid w:val="751A1115"/>
    <w:rsid w:val="758C3096"/>
    <w:rsid w:val="75970AC9"/>
    <w:rsid w:val="75CE1F56"/>
    <w:rsid w:val="75E32AFB"/>
    <w:rsid w:val="75FE283B"/>
    <w:rsid w:val="760F492A"/>
    <w:rsid w:val="7614571C"/>
    <w:rsid w:val="76472434"/>
    <w:rsid w:val="76876306"/>
    <w:rsid w:val="768D2D8C"/>
    <w:rsid w:val="76A2129F"/>
    <w:rsid w:val="76AD7DBE"/>
    <w:rsid w:val="76DA2C24"/>
    <w:rsid w:val="770F2826"/>
    <w:rsid w:val="77244524"/>
    <w:rsid w:val="774E707B"/>
    <w:rsid w:val="782E61C7"/>
    <w:rsid w:val="78903954"/>
    <w:rsid w:val="78A57613"/>
    <w:rsid w:val="78B83730"/>
    <w:rsid w:val="79286C39"/>
    <w:rsid w:val="79727E45"/>
    <w:rsid w:val="79813C7F"/>
    <w:rsid w:val="79C00829"/>
    <w:rsid w:val="79E65AC0"/>
    <w:rsid w:val="79EC2CE6"/>
    <w:rsid w:val="7A6969C2"/>
    <w:rsid w:val="7A83799C"/>
    <w:rsid w:val="7A8B6668"/>
    <w:rsid w:val="7AD9513D"/>
    <w:rsid w:val="7B5B538E"/>
    <w:rsid w:val="7B6F78D7"/>
    <w:rsid w:val="7B793146"/>
    <w:rsid w:val="7B841A35"/>
    <w:rsid w:val="7B8F3F36"/>
    <w:rsid w:val="7BE44282"/>
    <w:rsid w:val="7CA103C5"/>
    <w:rsid w:val="7D0C27D4"/>
    <w:rsid w:val="7D4E2B0D"/>
    <w:rsid w:val="7D8950E1"/>
    <w:rsid w:val="7DA102E7"/>
    <w:rsid w:val="7DB6108A"/>
    <w:rsid w:val="7E0F35E8"/>
    <w:rsid w:val="7E2748F9"/>
    <w:rsid w:val="7E313CA7"/>
    <w:rsid w:val="7EE06CAE"/>
    <w:rsid w:val="7EFC7B34"/>
    <w:rsid w:val="7F260238"/>
    <w:rsid w:val="7F522D38"/>
    <w:rsid w:val="7F9C2D42"/>
    <w:rsid w:val="7FC77E91"/>
    <w:rsid w:val="7FD12D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Layout w:type="fixed"/>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Body Text"/>
    <w:basedOn w:val="1"/>
    <w:qFormat/>
    <w:uiPriority w:val="0"/>
    <w:pPr>
      <w:spacing w:line="440" w:lineRule="exact"/>
    </w:pPr>
    <w:rPr>
      <w:rFonts w:ascii="宋体" w:hAnsi="宋体"/>
      <w:spacing w:val="20"/>
      <w:sz w:val="24"/>
    </w:rPr>
  </w:style>
  <w:style w:type="paragraph" w:styleId="4">
    <w:name w:val="Body Text Indent"/>
    <w:basedOn w:val="1"/>
    <w:link w:val="15"/>
    <w:unhideWhenUsed/>
    <w:qFormat/>
    <w:uiPriority w:val="99"/>
    <w:pPr>
      <w:spacing w:after="120"/>
      <w:ind w:left="420" w:leftChars="200"/>
      <w:jc w:val="left"/>
    </w:pPr>
    <w:rPr>
      <w:rFonts w:asciiTheme="minorHAnsi" w:hAnsiTheme="minorHAnsi" w:eastAsiaTheme="minorEastAsia" w:cstheme="minorBidi"/>
      <w:kern w:val="0"/>
      <w:sz w:val="22"/>
      <w:szCs w:val="22"/>
      <w:lang w:eastAsia="en-US"/>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tabs>
        <w:tab w:val="center" w:pos="4153"/>
        <w:tab w:val="right" w:pos="8306"/>
      </w:tabs>
      <w:snapToGrid w:val="0"/>
      <w:jc w:val="center"/>
    </w:pPr>
    <w:rPr>
      <w:sz w:val="18"/>
      <w:szCs w:val="18"/>
    </w:rPr>
  </w:style>
  <w:style w:type="paragraph" w:styleId="7">
    <w:name w:val="footnote text"/>
    <w:basedOn w:val="1"/>
    <w:qFormat/>
    <w:uiPriority w:val="0"/>
    <w:pPr>
      <w:snapToGrid w:val="0"/>
      <w:jc w:val="left"/>
    </w:pPr>
    <w:rPr>
      <w:sz w:val="18"/>
      <w:szCs w:val="18"/>
    </w:rPr>
  </w:style>
  <w:style w:type="paragraph" w:styleId="8">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9">
    <w:name w:val="Body Text First Indent 2"/>
    <w:basedOn w:val="4"/>
    <w:qFormat/>
    <w:uiPriority w:val="0"/>
    <w:pPr>
      <w:ind w:firstLine="420" w:firstLineChars="200"/>
    </w:p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13">
    <w:name w:val="page number"/>
    <w:basedOn w:val="12"/>
    <w:qFormat/>
    <w:uiPriority w:val="0"/>
  </w:style>
  <w:style w:type="paragraph" w:customStyle="1" w:styleId="14">
    <w:name w:val="列表段落1"/>
    <w:basedOn w:val="1"/>
    <w:qFormat/>
    <w:uiPriority w:val="34"/>
    <w:pPr>
      <w:ind w:firstLine="420" w:firstLineChars="200"/>
    </w:pPr>
    <w:rPr>
      <w:rFonts w:ascii="Calibri" w:hAnsi="Calibri"/>
    </w:rPr>
  </w:style>
  <w:style w:type="character" w:customStyle="1" w:styleId="15">
    <w:name w:val="正文文本缩进 Char"/>
    <w:basedOn w:val="12"/>
    <w:link w:val="4"/>
    <w:qFormat/>
    <w:uiPriority w:val="99"/>
    <w:rPr>
      <w:rFonts w:asciiTheme="minorHAnsi" w:hAnsiTheme="minorHAnsi" w:eastAsiaTheme="minorEastAsia" w:cstheme="minorBidi"/>
      <w:sz w:val="22"/>
      <w:szCs w:val="22"/>
      <w:lang w:eastAsia="en-US"/>
    </w:rPr>
  </w:style>
  <w:style w:type="paragraph" w:customStyle="1" w:styleId="16">
    <w:name w:val="_Style 1"/>
    <w:unhideWhenUsed/>
    <w:qFormat/>
    <w:uiPriority w:val="0"/>
    <w:pPr>
      <w:widowControl w:val="0"/>
    </w:pPr>
    <w:rPr>
      <w:rFonts w:ascii="Times New Roman" w:hAnsi="Times New Roman" w:eastAsia="宋体" w:cs="Times New Roman"/>
      <w:kern w:val="2"/>
      <w:sz w:val="21"/>
      <w:szCs w:val="24"/>
      <w:lang w:val="en-US" w:eastAsia="zh-CN" w:bidi="ar-SA"/>
    </w:rPr>
  </w:style>
  <w:style w:type="table" w:customStyle="1" w:styleId="17">
    <w:name w:val="Table Normal"/>
    <w:semiHidden/>
    <w:unhideWhenUsed/>
    <w:qFormat/>
    <w:uiPriority w:val="0"/>
    <w:tblPr>
      <w:tblLayout w:type="fixed"/>
      <w:tblCellMar>
        <w:top w:w="0" w:type="dxa"/>
        <w:left w:w="0" w:type="dxa"/>
        <w:bottom w:w="0" w:type="dxa"/>
        <w:right w:w="0" w:type="dxa"/>
      </w:tblCellMar>
    </w:tblPr>
  </w:style>
  <w:style w:type="paragraph" w:customStyle="1" w:styleId="18">
    <w:name w:val="Table Text"/>
    <w:basedOn w:val="1"/>
    <w:semiHidden/>
    <w:qFormat/>
    <w:uiPriority w:val="0"/>
    <w:rPr>
      <w:rFonts w:ascii="仿宋" w:hAnsi="仿宋" w:eastAsia="仿宋" w:cs="仿宋"/>
      <w:sz w:val="22"/>
      <w:szCs w:val="22"/>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hc</Company>
  <Pages>6</Pages>
  <Words>417</Words>
  <Characters>2378</Characters>
  <Lines>19</Lines>
  <Paragraphs>5</Paragraphs>
  <TotalTime>8</TotalTime>
  <ScaleCrop>false</ScaleCrop>
  <LinksUpToDate>false</LinksUpToDate>
  <CharactersWithSpaces>2790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2019-11-21T14:41:00Z</dcterms:created>
  <dc:creator>hc</dc:creator>
  <cp:lastModifiedBy>Lenovo</cp:lastModifiedBy>
  <cp:lastPrinted>2023-12-05T08:04:00Z</cp:lastPrinted>
  <dcterms:modified xsi:type="dcterms:W3CDTF">2023-12-08T07:09:11Z</dcterms:modified>
  <dc:title>审  计  报  告</dc:title>
  <cp:revision>74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0266F5C8C7F34E389D332016C63FCA9A_13</vt:lpwstr>
  </property>
</Properties>
</file>