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jc w:val="center"/>
        <w:rPr>
          <w:rFonts w:ascii="黑体" w:hAnsi="黑体" w:eastAsia="黑体" w:cs="宋体"/>
          <w:b/>
          <w:bCs/>
          <w:sz w:val="44"/>
          <w:szCs w:val="44"/>
        </w:rPr>
      </w:pPr>
      <w:bookmarkStart w:id="6" w:name="_GoBack"/>
      <w:bookmarkEnd w:id="6"/>
      <w:r>
        <w:rPr>
          <w:rFonts w:hint="eastAsia" w:ascii="黑体" w:hAnsi="黑体" w:eastAsia="黑体" w:cs="宋体"/>
          <w:b/>
          <w:bCs/>
          <w:sz w:val="44"/>
          <w:szCs w:val="44"/>
        </w:rPr>
        <w:t xml:space="preserve"> “2022义务教育中小学维修基金”</w:t>
      </w:r>
      <w:r>
        <w:rPr>
          <w:rFonts w:ascii="黑体" w:hAnsi="黑体" w:eastAsia="黑体" w:cs="宋体"/>
          <w:b/>
          <w:bCs/>
          <w:sz w:val="44"/>
          <w:szCs w:val="44"/>
        </w:rPr>
        <w:t>项目</w:t>
      </w:r>
    </w:p>
    <w:p>
      <w:pPr>
        <w:spacing w:line="480" w:lineRule="auto"/>
        <w:jc w:val="center"/>
        <w:rPr>
          <w:rFonts w:ascii="黑体" w:hAnsi="黑体" w:eastAsia="黑体" w:cs="宋体"/>
          <w:b/>
          <w:bCs/>
          <w:sz w:val="44"/>
          <w:szCs w:val="44"/>
        </w:rPr>
      </w:pPr>
      <w:r>
        <w:rPr>
          <w:rFonts w:hint="eastAsia" w:ascii="黑体" w:hAnsi="黑体" w:eastAsia="黑体" w:cs="宋体"/>
          <w:b/>
          <w:bCs/>
          <w:sz w:val="44"/>
          <w:szCs w:val="44"/>
        </w:rPr>
        <w:t>绩效评价报告</w:t>
      </w:r>
    </w:p>
    <w:p>
      <w:pPr>
        <w:spacing w:line="480" w:lineRule="auto"/>
        <w:jc w:val="right"/>
        <w:rPr>
          <w:rFonts w:cs="Times New Roman" w:asciiTheme="minorEastAsia" w:hAnsiTheme="minorEastAsia"/>
          <w:bCs/>
          <w:kern w:val="0"/>
          <w:sz w:val="24"/>
          <w:szCs w:val="24"/>
        </w:rPr>
      </w:pPr>
      <w:r>
        <w:rPr>
          <w:rFonts w:hint="eastAsia" w:ascii="仿宋" w:hAnsi="仿宋" w:eastAsia="仿宋" w:cs="Times New Roman"/>
          <w:b/>
          <w:sz w:val="24"/>
          <w:szCs w:val="24"/>
        </w:rPr>
        <w:t>企融咨字【2023】007号</w:t>
      </w:r>
    </w:p>
    <w:p>
      <w:pPr>
        <w:spacing w:line="360" w:lineRule="auto"/>
        <w:jc w:val="left"/>
        <w:rPr>
          <w:rFonts w:ascii="仿宋" w:hAnsi="仿宋" w:eastAsia="仿宋"/>
          <w:b/>
          <w:sz w:val="28"/>
          <w:szCs w:val="28"/>
        </w:rPr>
      </w:pPr>
      <w:bookmarkStart w:id="0" w:name="_Toc10111737"/>
      <w:r>
        <w:rPr>
          <w:rFonts w:hint="eastAsia" w:ascii="仿宋" w:hAnsi="仿宋" w:eastAsia="仿宋"/>
          <w:b/>
          <w:sz w:val="28"/>
          <w:szCs w:val="28"/>
        </w:rPr>
        <w:t>鹿泉区财政局：</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我们接受贵单位委托，对 “2022义务教育中小学维修基金”项目进行评价。鹿泉区教育局（简称 “教育局”）对其提供的财务资料、管理制度以及其他相关资料的真实性和完整性负责。我们的责任是对此进行绩效评价并出具报告。</w:t>
      </w:r>
    </w:p>
    <w:bookmarkEnd w:id="0"/>
    <w:p>
      <w:pPr>
        <w:spacing w:line="360" w:lineRule="auto"/>
        <w:ind w:firstLine="562" w:firstLineChars="200"/>
        <w:jc w:val="left"/>
        <w:rPr>
          <w:rFonts w:ascii="黑体" w:hAnsi="黑体" w:eastAsia="黑体"/>
          <w:b/>
          <w:sz w:val="28"/>
          <w:szCs w:val="28"/>
        </w:rPr>
      </w:pPr>
      <w:r>
        <w:rPr>
          <w:rFonts w:hint="eastAsia" w:ascii="黑体" w:hAnsi="黑体" w:eastAsia="黑体"/>
          <w:b/>
          <w:sz w:val="28"/>
          <w:szCs w:val="28"/>
        </w:rPr>
        <w:t>一、基本情况</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（一）项目概况</w:t>
      </w:r>
    </w:p>
    <w:p>
      <w:pPr>
        <w:tabs>
          <w:tab w:val="left" w:pos="3195"/>
        </w:tabs>
        <w:spacing w:line="360" w:lineRule="auto"/>
        <w:ind w:firstLine="562" w:firstLineChars="200"/>
        <w:rPr>
          <w:rFonts w:ascii="仿宋" w:hAnsi="仿宋" w:eastAsia="仿宋"/>
          <w:b/>
          <w:sz w:val="28"/>
          <w:szCs w:val="28"/>
        </w:rPr>
      </w:pPr>
      <w:bookmarkStart w:id="1" w:name="_Toc10111739"/>
      <w:r>
        <w:rPr>
          <w:rFonts w:hint="eastAsia" w:ascii="仿宋" w:hAnsi="仿宋" w:eastAsia="仿宋"/>
          <w:b/>
          <w:sz w:val="28"/>
          <w:szCs w:val="28"/>
        </w:rPr>
        <w:t>1、项目基本情况</w:t>
      </w:r>
      <w:r>
        <w:rPr>
          <w:rFonts w:ascii="仿宋" w:hAnsi="仿宋" w:eastAsia="仿宋"/>
          <w:b/>
          <w:sz w:val="28"/>
          <w:szCs w:val="28"/>
        </w:rPr>
        <w:tab/>
      </w:r>
    </w:p>
    <w:p>
      <w:pPr>
        <w:pStyle w:val="11"/>
        <w:numPr>
          <w:ilvl w:val="0"/>
          <w:numId w:val="1"/>
        </w:numPr>
        <w:spacing w:line="360" w:lineRule="auto"/>
        <w:ind w:firstLineChars="0"/>
        <w:rPr>
          <w:rFonts w:ascii="仿宋" w:hAnsi="仿宋" w:eastAsia="仿宋"/>
          <w:sz w:val="28"/>
          <w:szCs w:val="28"/>
        </w:rPr>
      </w:pPr>
      <w:r>
        <w:rPr>
          <w:rFonts w:hint="eastAsia" w:ascii="仿宋" w:hAnsi="仿宋" w:eastAsia="仿宋"/>
          <w:sz w:val="28"/>
          <w:szCs w:val="28"/>
        </w:rPr>
        <w:t>本项目实施单位：鹿泉区教育局。</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（2）项目主要内容为：消除学校安全隐患，改善教学环境，完善教学设施，提高综合教学能力。</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2、资金投入和使用情况</w:t>
      </w:r>
    </w:p>
    <w:p>
      <w:pPr>
        <w:spacing w:line="360" w:lineRule="auto"/>
        <w:ind w:firstLine="560" w:firstLineChars="200"/>
        <w:rPr>
          <w:rFonts w:ascii="仿宋" w:hAnsi="仿宋" w:eastAsia="仿宋"/>
          <w:sz w:val="28"/>
          <w:szCs w:val="28"/>
        </w:rPr>
      </w:pPr>
      <w:r>
        <w:rPr>
          <w:rFonts w:hint="eastAsia" w:ascii="仿宋" w:hAnsi="仿宋" w:eastAsia="仿宋"/>
          <w:sz w:val="28"/>
          <w:szCs w:val="28"/>
        </w:rPr>
        <w:t>经核实，本项目预计投入3,600,000元，实际本年度支出金额为1,606,530.00元，均为财政拨款资金。</w:t>
      </w:r>
    </w:p>
    <w:bookmarkEnd w:id="1"/>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（二）项目绩效目标</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2022年绩效目标：消除校舍安全隐患、美化教学环境、满足师生需求，保障义务教育长期发展。</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（三）项目评价政策依据</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1、《项目支出绩效评价管理办法》（财预〔</w:t>
      </w:r>
      <w:r>
        <w:rPr>
          <w:rFonts w:ascii="仿宋" w:hAnsi="仿宋" w:eastAsia="仿宋"/>
          <w:sz w:val="28"/>
          <w:szCs w:val="28"/>
        </w:rPr>
        <w:t>2020〕10号）</w:t>
      </w:r>
      <w:r>
        <w:rPr>
          <w:rFonts w:hint="eastAsia" w:ascii="仿宋" w:hAnsi="仿宋" w:eastAsia="仿宋"/>
          <w:sz w:val="28"/>
          <w:szCs w:val="28"/>
        </w:rPr>
        <w:t xml:space="preserve">； </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2、《财政部门监督办法》（财政部令〔</w:t>
      </w:r>
      <w:r>
        <w:rPr>
          <w:rFonts w:ascii="仿宋" w:hAnsi="仿宋" w:eastAsia="仿宋"/>
          <w:sz w:val="28"/>
          <w:szCs w:val="28"/>
        </w:rPr>
        <w:t>2012</w:t>
      </w:r>
      <w:r>
        <w:rPr>
          <w:rFonts w:hint="eastAsia" w:ascii="仿宋" w:hAnsi="仿宋" w:eastAsia="仿宋"/>
          <w:sz w:val="28"/>
          <w:szCs w:val="28"/>
        </w:rPr>
        <w:t>〕</w:t>
      </w:r>
      <w:r>
        <w:rPr>
          <w:rFonts w:ascii="仿宋" w:hAnsi="仿宋" w:eastAsia="仿宋"/>
          <w:sz w:val="28"/>
          <w:szCs w:val="28"/>
        </w:rPr>
        <w:t>69</w:t>
      </w:r>
      <w:r>
        <w:rPr>
          <w:rFonts w:hint="eastAsia" w:ascii="仿宋" w:hAnsi="仿宋" w:eastAsia="仿宋"/>
          <w:sz w:val="28"/>
          <w:szCs w:val="28"/>
        </w:rPr>
        <w:t>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3、《财政检查工作办法》（财政部令〔</w:t>
      </w:r>
      <w:r>
        <w:rPr>
          <w:rFonts w:ascii="仿宋" w:hAnsi="仿宋" w:eastAsia="仿宋"/>
          <w:sz w:val="28"/>
          <w:szCs w:val="28"/>
        </w:rPr>
        <w:t>2006</w:t>
      </w:r>
      <w:r>
        <w:rPr>
          <w:rFonts w:hint="eastAsia" w:ascii="仿宋" w:hAnsi="仿宋" w:eastAsia="仿宋"/>
          <w:sz w:val="28"/>
          <w:szCs w:val="28"/>
        </w:rPr>
        <w:t>〕</w:t>
      </w:r>
      <w:r>
        <w:rPr>
          <w:rFonts w:ascii="仿宋" w:hAnsi="仿宋" w:eastAsia="仿宋"/>
          <w:sz w:val="28"/>
          <w:szCs w:val="28"/>
        </w:rPr>
        <w:t>32</w:t>
      </w:r>
      <w:r>
        <w:rPr>
          <w:rFonts w:hint="eastAsia" w:ascii="仿宋" w:hAnsi="仿宋" w:eastAsia="仿宋"/>
          <w:sz w:val="28"/>
          <w:szCs w:val="28"/>
        </w:rPr>
        <w:t>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4、《中华人民共和国预算法》；</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5、其他相关法律、法规、政策文件。</w:t>
      </w:r>
    </w:p>
    <w:p>
      <w:pPr>
        <w:spacing w:line="360" w:lineRule="auto"/>
        <w:ind w:firstLine="562" w:firstLineChars="200"/>
        <w:jc w:val="left"/>
        <w:rPr>
          <w:rFonts w:ascii="黑体" w:hAnsi="黑体" w:eastAsia="黑体"/>
          <w:b/>
          <w:sz w:val="28"/>
          <w:szCs w:val="28"/>
        </w:rPr>
      </w:pPr>
      <w:bookmarkStart w:id="2" w:name="_Toc10111742"/>
      <w:r>
        <w:rPr>
          <w:rFonts w:hint="eastAsia" w:ascii="黑体" w:hAnsi="黑体" w:eastAsia="黑体"/>
          <w:b/>
          <w:sz w:val="28"/>
          <w:szCs w:val="28"/>
        </w:rPr>
        <w:t>二、绩效评价工作开展情况</w:t>
      </w:r>
      <w:bookmarkEnd w:id="2"/>
    </w:p>
    <w:p>
      <w:pPr>
        <w:spacing w:line="360" w:lineRule="auto"/>
        <w:ind w:firstLine="560" w:firstLineChars="200"/>
        <w:jc w:val="left"/>
        <w:rPr>
          <w:rFonts w:ascii="仿宋" w:hAnsi="仿宋" w:eastAsia="仿宋"/>
          <w:sz w:val="28"/>
          <w:szCs w:val="28"/>
        </w:rPr>
      </w:pPr>
      <w:bookmarkStart w:id="3" w:name="_Toc10111744"/>
      <w:r>
        <w:rPr>
          <w:rFonts w:hint="eastAsia" w:ascii="仿宋" w:hAnsi="仿宋" w:eastAsia="仿宋"/>
          <w:sz w:val="28"/>
          <w:szCs w:val="28"/>
        </w:rPr>
        <w:t>（一）绩效评价原则、</w:t>
      </w:r>
      <w:bookmarkEnd w:id="3"/>
      <w:r>
        <w:rPr>
          <w:rFonts w:hint="eastAsia" w:ascii="仿宋" w:hAnsi="仿宋" w:eastAsia="仿宋"/>
          <w:sz w:val="28"/>
          <w:szCs w:val="28"/>
        </w:rPr>
        <w:t>评价标准、评价方法和评价指标体系</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1、绩效评价原则</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按照《项目支出绩效评价管理办法》（财预〔2020〕10号）有关规定，本着“科学公正、统筹兼顾、激励约束、公开透明”的原则开展。</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2、绩效评价标准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根据重要性、系统性、经济性和相关性原则，参照《项目支出绩效评价指标体系框架（参考）》，保持一级指标不变，根据项目特点，对部分二级指标进行了调整，并合理设置指标分值，明确具体评价标准，形成《绩效评价指标表》。绩效评价指标表由项目决策、过程、产出、效益、满意度等五部分组成，指标总分值100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3、评价方法</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采取定量分析与定性分析相结合，运用因素分析法、比较法、现场核查法、访谈等基本方法开展评价工作。</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（1）因素分析法。通过列举分析影响绩效目标实现、实施效果的内外因素，评价绩效目标实现程度。</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（2）比较法。通过对项目当期实际产生的项目效益结果与预期目标进行定性分析、定量分析，分析完成（或未完成）目标的因素，从而评价财政支出绩效。</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（3）现场核查法。现场对项目进行核实，实事求是检查其财务情况和绩效表现等相关资料。</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（4）访谈。通过与相关人员进行面谈，针对项目的不同特点和关键问题，直接听取项目管理者、实施人员的意见。</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4、评价指标体系</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我们依据财政部《项目支出绩效评价管理办法》（财预〔</w:t>
      </w:r>
      <w:r>
        <w:rPr>
          <w:rFonts w:ascii="仿宋" w:hAnsi="仿宋" w:eastAsia="仿宋"/>
          <w:sz w:val="28"/>
          <w:szCs w:val="28"/>
        </w:rPr>
        <w:t>2020〕10号）文中要求</w:t>
      </w:r>
      <w:r>
        <w:rPr>
          <w:rFonts w:hint="eastAsia" w:ascii="仿宋" w:hAnsi="仿宋" w:eastAsia="仿宋"/>
          <w:sz w:val="28"/>
          <w:szCs w:val="28"/>
        </w:rPr>
        <w:t>，</w:t>
      </w:r>
      <w:r>
        <w:rPr>
          <w:rFonts w:ascii="仿宋" w:hAnsi="仿宋" w:eastAsia="仿宋"/>
          <w:sz w:val="28"/>
          <w:szCs w:val="28"/>
        </w:rPr>
        <w:t>结合项目的实际情况制定了该项目的</w:t>
      </w:r>
      <w:r>
        <w:rPr>
          <w:rFonts w:hint="eastAsia" w:ascii="仿宋" w:hAnsi="仿宋" w:eastAsia="仿宋"/>
          <w:sz w:val="28"/>
          <w:szCs w:val="28"/>
        </w:rPr>
        <w:t>评价指标体系。</w:t>
      </w:r>
    </w:p>
    <w:p>
      <w:pPr>
        <w:spacing w:line="360" w:lineRule="auto"/>
        <w:ind w:firstLine="560" w:firstLineChars="200"/>
        <w:jc w:val="left"/>
        <w:rPr>
          <w:rFonts w:ascii="仿宋" w:hAnsi="仿宋" w:eastAsia="仿宋" w:cs="仿宋_GB2312"/>
          <w:sz w:val="28"/>
          <w:szCs w:val="28"/>
          <w:highlight w:val="yellow"/>
        </w:rPr>
      </w:pPr>
      <w:r>
        <w:rPr>
          <w:rFonts w:ascii="仿宋" w:hAnsi="仿宋" w:eastAsia="仿宋" w:cs="仿宋_GB2312"/>
          <w:sz w:val="28"/>
          <w:szCs w:val="28"/>
        </w:rPr>
        <w:t>指标体系主要分三级指标</w:t>
      </w:r>
      <w:r>
        <w:rPr>
          <w:rFonts w:hint="eastAsia" w:ascii="仿宋" w:hAnsi="仿宋" w:eastAsia="仿宋" w:cs="仿宋_GB2312"/>
          <w:sz w:val="28"/>
          <w:szCs w:val="28"/>
        </w:rPr>
        <w:t>，</w:t>
      </w:r>
      <w:r>
        <w:rPr>
          <w:rFonts w:ascii="仿宋" w:hAnsi="仿宋" w:eastAsia="仿宋" w:cs="仿宋_GB2312"/>
          <w:sz w:val="28"/>
          <w:szCs w:val="28"/>
        </w:rPr>
        <w:t>其中一级指标</w:t>
      </w:r>
      <w:r>
        <w:rPr>
          <w:rFonts w:hint="eastAsia" w:ascii="仿宋" w:hAnsi="仿宋" w:eastAsia="仿宋" w:cs="仿宋_GB2312"/>
          <w:sz w:val="28"/>
          <w:szCs w:val="28"/>
        </w:rPr>
        <w:t>4</w:t>
      </w:r>
      <w:r>
        <w:rPr>
          <w:rFonts w:ascii="仿宋" w:hAnsi="仿宋" w:eastAsia="仿宋" w:cs="仿宋_GB2312"/>
          <w:sz w:val="28"/>
          <w:szCs w:val="28"/>
        </w:rPr>
        <w:t>个</w:t>
      </w:r>
      <w:r>
        <w:rPr>
          <w:rFonts w:hint="eastAsia" w:ascii="仿宋" w:hAnsi="仿宋" w:eastAsia="仿宋" w:cs="仿宋_GB2312"/>
          <w:sz w:val="28"/>
          <w:szCs w:val="28"/>
        </w:rPr>
        <w:t>，二级指标12个，三级指标18个。4个一级指标分别为：决策、过程、产出、效益。</w:t>
      </w:r>
      <w:r>
        <w:rPr>
          <w:rFonts w:ascii="仿宋" w:hAnsi="仿宋" w:eastAsia="仿宋" w:cs="仿宋_GB2312"/>
          <w:sz w:val="28"/>
          <w:szCs w:val="28"/>
        </w:rPr>
        <w:t>其中项目</w:t>
      </w:r>
      <w:r>
        <w:rPr>
          <w:rFonts w:hint="eastAsia" w:ascii="仿宋" w:hAnsi="仿宋" w:eastAsia="仿宋" w:cs="仿宋_GB2312"/>
          <w:sz w:val="28"/>
          <w:szCs w:val="28"/>
        </w:rPr>
        <w:t>决策满</w:t>
      </w:r>
      <w:r>
        <w:rPr>
          <w:rFonts w:ascii="仿宋" w:hAnsi="仿宋" w:eastAsia="仿宋" w:cs="仿宋_GB2312"/>
          <w:sz w:val="28"/>
          <w:szCs w:val="28"/>
        </w:rPr>
        <w:t>分为</w:t>
      </w:r>
      <w:r>
        <w:rPr>
          <w:rFonts w:hint="eastAsia" w:ascii="仿宋" w:hAnsi="仿宋" w:eastAsia="仿宋" w:cs="仿宋_GB2312"/>
          <w:sz w:val="28"/>
          <w:szCs w:val="28"/>
        </w:rPr>
        <w:t>20分，主要从项目申请的合规性及依据的充分性、绩效目标的合理及明确性、项目预算编制的科学性、资金分配的合理性等方面评价。项目过程管理满分20分，主要从资金的到位率、资金使用的合规性（是否挤占、截留、挪用、虚列支出）、后续管理是否到位（有无健全的管理制度、制度执行是否有效）等方面评价。项目产出满分30分，主要从资金使用范围中各小项目预期达成的完成的数量、质量及时效方面进行评价。效益指标满分30分，主要从该项目实施对社会发展所带来的直接或间接影响，项目后续运行、成效发挥的可持续影响及项目服务对象对该项目实施效果的满意程度等方面评价。</w:t>
      </w:r>
    </w:p>
    <w:p>
      <w:pPr>
        <w:spacing w:line="360" w:lineRule="auto"/>
        <w:ind w:firstLine="562" w:firstLineChars="200"/>
        <w:jc w:val="left"/>
        <w:rPr>
          <w:rFonts w:ascii="仿宋" w:hAnsi="仿宋" w:eastAsia="仿宋"/>
          <w:b/>
          <w:sz w:val="28"/>
          <w:szCs w:val="28"/>
        </w:rPr>
      </w:pPr>
      <w:bookmarkStart w:id="4" w:name="_Toc10111745"/>
      <w:r>
        <w:rPr>
          <w:rFonts w:hint="eastAsia" w:ascii="仿宋" w:hAnsi="仿宋" w:eastAsia="仿宋"/>
          <w:b/>
          <w:sz w:val="28"/>
          <w:szCs w:val="28"/>
        </w:rPr>
        <w:t>（二）绩效评价实施过程</w:t>
      </w:r>
      <w:bookmarkEnd w:id="4"/>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1、前期准备</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成立绩效评价工作小组，现场收集相关资料，学习有关制度文件，并对评价对象基本情况进行了解，明确绩效评价的内容和范围，研究商定评价工作内容，制定绩效评价工作方案。</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2、组织实施</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按照绩效评价工作要求，对项目实施单位提供的数据及相关资料进行审核、确认，包括有关制度规定及执行制度规定的佐证资料、财务数据及其他相关资料等，并到现场查看核实，调查走访，严格按照文件要求，实事求是，客观公正的进行本次绩效评价工作。</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3、分析评价</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整理工作底稿，对收集的相关数据、资料、信息进行梳理、分析和甄别，根据绩效评价指标体系进行绩效评价。对评价过程中发现的问题与教育局进行讨论修正，形成正式评价结论。</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4、撰写评价报告</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根据评价结果，撰写绩效评价报告并逐步修改、完善。</w:t>
      </w:r>
    </w:p>
    <w:p>
      <w:pPr>
        <w:spacing w:line="360" w:lineRule="auto"/>
        <w:ind w:firstLine="562" w:firstLineChars="200"/>
        <w:jc w:val="left"/>
        <w:rPr>
          <w:rFonts w:ascii="黑体" w:hAnsi="黑体" w:eastAsia="黑体"/>
          <w:b/>
          <w:sz w:val="28"/>
          <w:szCs w:val="28"/>
        </w:rPr>
      </w:pPr>
      <w:bookmarkStart w:id="5" w:name="_Toc10111749"/>
      <w:r>
        <w:rPr>
          <w:rFonts w:hint="eastAsia" w:ascii="黑体" w:hAnsi="黑体" w:eastAsia="黑体"/>
          <w:b/>
          <w:sz w:val="28"/>
          <w:szCs w:val="28"/>
        </w:rPr>
        <w:t>三、综合评价情况</w:t>
      </w:r>
      <w:bookmarkEnd w:id="5"/>
      <w:r>
        <w:rPr>
          <w:rFonts w:hint="eastAsia" w:ascii="黑体" w:hAnsi="黑体" w:eastAsia="黑体"/>
          <w:b/>
          <w:sz w:val="28"/>
          <w:szCs w:val="28"/>
        </w:rPr>
        <w:t>及评价结论</w:t>
      </w:r>
    </w:p>
    <w:p>
      <w:pPr>
        <w:spacing w:line="360" w:lineRule="auto"/>
        <w:ind w:firstLine="560" w:firstLineChars="200"/>
        <w:jc w:val="left"/>
        <w:rPr>
          <w:rFonts w:ascii="仿宋" w:hAnsi="仿宋" w:eastAsia="仿宋" w:cs="仿宋_GB2312"/>
          <w:sz w:val="28"/>
          <w:szCs w:val="28"/>
        </w:rPr>
      </w:pPr>
      <w:r>
        <w:rPr>
          <w:rFonts w:hint="eastAsia" w:ascii="仿宋" w:hAnsi="仿宋" w:eastAsia="仿宋"/>
          <w:sz w:val="28"/>
          <w:szCs w:val="28"/>
        </w:rPr>
        <w:t>根据财政部《项目支出绩效评价管理办法》（财预〔</w:t>
      </w:r>
      <w:r>
        <w:rPr>
          <w:rFonts w:ascii="仿宋" w:hAnsi="仿宋" w:eastAsia="仿宋"/>
          <w:sz w:val="28"/>
          <w:szCs w:val="28"/>
        </w:rPr>
        <w:t>2020〕10号）文中要求</w:t>
      </w:r>
      <w:r>
        <w:rPr>
          <w:rFonts w:hint="eastAsia" w:ascii="仿宋" w:hAnsi="仿宋" w:eastAsia="仿宋"/>
          <w:sz w:val="28"/>
          <w:szCs w:val="28"/>
        </w:rPr>
        <w:t>，为全面实施预算绩效管理，建立科学、合理的项目支出绩效评价管理体系，提高财政资源配置效率和使用效益，依据《中华人民共和国预算法》和《中共中央</w:t>
      </w:r>
      <w:r>
        <w:rPr>
          <w:rFonts w:ascii="仿宋" w:hAnsi="仿宋" w:eastAsia="仿宋"/>
          <w:sz w:val="28"/>
          <w:szCs w:val="28"/>
        </w:rPr>
        <w:t>国务院关于全面实施预算绩效管理的意见》等有关规定</w:t>
      </w:r>
      <w:r>
        <w:rPr>
          <w:rFonts w:hint="eastAsia" w:ascii="仿宋" w:hAnsi="仿宋" w:eastAsia="仿宋"/>
          <w:sz w:val="28"/>
          <w:szCs w:val="28"/>
        </w:rPr>
        <w:t>，</w:t>
      </w:r>
      <w:r>
        <w:rPr>
          <w:rFonts w:ascii="仿宋" w:hAnsi="仿宋" w:eastAsia="仿宋"/>
          <w:sz w:val="28"/>
          <w:szCs w:val="28"/>
        </w:rPr>
        <w:t>受</w:t>
      </w:r>
      <w:r>
        <w:rPr>
          <w:rFonts w:hint="eastAsia" w:ascii="仿宋" w:hAnsi="仿宋" w:eastAsia="仿宋"/>
          <w:sz w:val="28"/>
          <w:szCs w:val="28"/>
        </w:rPr>
        <w:t>鹿泉区财政局委托</w:t>
      </w:r>
      <w:r>
        <w:rPr>
          <w:rFonts w:ascii="仿宋" w:hAnsi="仿宋" w:eastAsia="仿宋"/>
          <w:sz w:val="28"/>
          <w:szCs w:val="28"/>
        </w:rPr>
        <w:t>，</w:t>
      </w:r>
      <w:r>
        <w:rPr>
          <w:rFonts w:hint="eastAsia" w:ascii="仿宋" w:hAnsi="仿宋" w:eastAsia="仿宋"/>
          <w:sz w:val="28"/>
          <w:szCs w:val="28"/>
        </w:rPr>
        <w:t>我们承</w:t>
      </w:r>
      <w:r>
        <w:rPr>
          <w:rFonts w:ascii="仿宋" w:hAnsi="仿宋" w:eastAsia="仿宋"/>
          <w:sz w:val="28"/>
          <w:szCs w:val="28"/>
        </w:rPr>
        <w:t>担了</w:t>
      </w:r>
      <w:r>
        <w:rPr>
          <w:rFonts w:hint="eastAsia" w:ascii="仿宋" w:hAnsi="仿宋" w:eastAsia="仿宋"/>
          <w:sz w:val="28"/>
          <w:szCs w:val="28"/>
        </w:rPr>
        <w:t xml:space="preserve"> “2022义务教育中小学维修基金”项目的绩效评价</w:t>
      </w:r>
      <w:r>
        <w:rPr>
          <w:rFonts w:ascii="仿宋" w:hAnsi="仿宋" w:eastAsia="仿宋"/>
          <w:sz w:val="28"/>
          <w:szCs w:val="28"/>
        </w:rPr>
        <w:t>工作。</w:t>
      </w:r>
      <w:r>
        <w:rPr>
          <w:rFonts w:hint="eastAsia" w:ascii="仿宋" w:hAnsi="仿宋" w:eastAsia="仿宋" w:cs="仿宋_GB2312"/>
          <w:sz w:val="28"/>
          <w:szCs w:val="28"/>
        </w:rPr>
        <w:t>指标体系设定满分100分，项目综合绩效评价分为4个等级：得分</w:t>
      </w:r>
      <w:r>
        <w:rPr>
          <w:rFonts w:ascii="仿宋" w:hAnsi="仿宋" w:eastAsia="仿宋" w:cs="仿宋_GB2312"/>
          <w:sz w:val="28"/>
          <w:szCs w:val="28"/>
        </w:rPr>
        <w:t>≥</w:t>
      </w:r>
      <w:r>
        <w:rPr>
          <w:rFonts w:hint="eastAsia" w:ascii="仿宋" w:hAnsi="仿宋" w:eastAsia="仿宋" w:cs="仿宋_GB2312"/>
          <w:sz w:val="28"/>
          <w:szCs w:val="28"/>
        </w:rPr>
        <w:t>85分为优秀；75</w:t>
      </w:r>
      <w:r>
        <w:rPr>
          <w:rFonts w:ascii="仿宋" w:hAnsi="仿宋" w:eastAsia="仿宋" w:cs="仿宋_GB2312"/>
          <w:sz w:val="28"/>
          <w:szCs w:val="28"/>
        </w:rPr>
        <w:t>≤</w:t>
      </w:r>
      <w:r>
        <w:rPr>
          <w:rFonts w:hint="eastAsia" w:ascii="仿宋" w:hAnsi="仿宋" w:eastAsia="仿宋" w:cs="仿宋_GB2312"/>
          <w:sz w:val="28"/>
          <w:szCs w:val="28"/>
        </w:rPr>
        <w:t>得分＜85分为良好；60</w:t>
      </w:r>
      <w:r>
        <w:rPr>
          <w:rFonts w:ascii="仿宋" w:hAnsi="仿宋" w:eastAsia="仿宋" w:cs="仿宋_GB2312"/>
          <w:sz w:val="28"/>
          <w:szCs w:val="28"/>
        </w:rPr>
        <w:t>≤</w:t>
      </w:r>
      <w:r>
        <w:rPr>
          <w:rFonts w:hint="eastAsia" w:ascii="仿宋" w:hAnsi="仿宋" w:eastAsia="仿宋" w:cs="仿宋_GB2312"/>
          <w:sz w:val="28"/>
          <w:szCs w:val="28"/>
        </w:rPr>
        <w:t>得分＜75分为一般；得分＜60分为较差。</w:t>
      </w:r>
    </w:p>
    <w:p>
      <w:pPr>
        <w:spacing w:line="360" w:lineRule="auto"/>
        <w:ind w:firstLine="560" w:firstLineChars="200"/>
        <w:jc w:val="left"/>
        <w:rPr>
          <w:rFonts w:ascii="仿宋" w:hAnsi="仿宋" w:eastAsia="仿宋"/>
          <w:sz w:val="28"/>
          <w:szCs w:val="28"/>
        </w:rPr>
      </w:pPr>
      <w:r>
        <w:rPr>
          <w:rFonts w:ascii="仿宋" w:hAnsi="仿宋" w:eastAsia="仿宋"/>
          <w:sz w:val="28"/>
          <w:szCs w:val="28"/>
        </w:rPr>
        <w:t>通过查阅资料、实地</w:t>
      </w:r>
      <w:r>
        <w:rPr>
          <w:rFonts w:hint="eastAsia" w:ascii="仿宋" w:hAnsi="仿宋" w:eastAsia="仿宋"/>
          <w:sz w:val="28"/>
          <w:szCs w:val="28"/>
        </w:rPr>
        <w:t>查看</w:t>
      </w:r>
      <w:r>
        <w:rPr>
          <w:rFonts w:ascii="仿宋" w:hAnsi="仿宋" w:eastAsia="仿宋"/>
          <w:sz w:val="28"/>
          <w:szCs w:val="28"/>
        </w:rPr>
        <w:t>、召开</w:t>
      </w:r>
      <w:r>
        <w:rPr>
          <w:rFonts w:hint="eastAsia" w:ascii="仿宋" w:hAnsi="仿宋" w:eastAsia="仿宋"/>
          <w:sz w:val="28"/>
          <w:szCs w:val="28"/>
        </w:rPr>
        <w:t>评价</w:t>
      </w:r>
      <w:r>
        <w:rPr>
          <w:rFonts w:ascii="仿宋" w:hAnsi="仿宋" w:eastAsia="仿宋"/>
          <w:sz w:val="28"/>
          <w:szCs w:val="28"/>
        </w:rPr>
        <w:t>会议等多种方式，独立、客观、公正地开展评价工作，对项目的</w:t>
      </w:r>
      <w:r>
        <w:rPr>
          <w:rFonts w:hint="eastAsia" w:ascii="仿宋" w:hAnsi="仿宋" w:eastAsia="仿宋"/>
          <w:sz w:val="28"/>
          <w:szCs w:val="28"/>
        </w:rPr>
        <w:t>决策</w:t>
      </w:r>
      <w:r>
        <w:rPr>
          <w:rFonts w:ascii="仿宋" w:hAnsi="仿宋" w:eastAsia="仿宋"/>
          <w:sz w:val="28"/>
          <w:szCs w:val="28"/>
        </w:rPr>
        <w:t>、过程、产出、</w:t>
      </w:r>
      <w:r>
        <w:rPr>
          <w:rFonts w:hint="eastAsia" w:ascii="仿宋" w:hAnsi="仿宋" w:eastAsia="仿宋"/>
          <w:sz w:val="28"/>
          <w:szCs w:val="28"/>
        </w:rPr>
        <w:t>效益等</w:t>
      </w:r>
      <w:r>
        <w:rPr>
          <w:rFonts w:ascii="仿宋" w:hAnsi="仿宋" w:eastAsia="仿宋"/>
          <w:sz w:val="28"/>
          <w:szCs w:val="28"/>
        </w:rPr>
        <w:t>方面进行了充分论证，</w:t>
      </w:r>
      <w:r>
        <w:rPr>
          <w:rFonts w:hint="eastAsia" w:ascii="仿宋" w:hAnsi="仿宋" w:eastAsia="仿宋"/>
          <w:sz w:val="28"/>
          <w:szCs w:val="28"/>
        </w:rPr>
        <w:t>本</w:t>
      </w:r>
      <w:r>
        <w:rPr>
          <w:rFonts w:ascii="仿宋" w:hAnsi="仿宋" w:eastAsia="仿宋"/>
          <w:sz w:val="28"/>
          <w:szCs w:val="28"/>
        </w:rPr>
        <w:t>项目最终绩效评价得分</w:t>
      </w:r>
      <w:r>
        <w:rPr>
          <w:rFonts w:hint="eastAsia" w:ascii="仿宋" w:hAnsi="仿宋" w:eastAsia="仿宋"/>
          <w:sz w:val="28"/>
          <w:szCs w:val="28"/>
        </w:rPr>
        <w:t>82分，项目等级为“良好”。</w:t>
      </w:r>
    </w:p>
    <w:p>
      <w:pPr>
        <w:spacing w:line="360" w:lineRule="auto"/>
        <w:ind w:firstLine="562" w:firstLineChars="200"/>
        <w:jc w:val="left"/>
        <w:rPr>
          <w:rFonts w:ascii="黑体" w:hAnsi="黑体" w:eastAsia="黑体"/>
          <w:b/>
          <w:sz w:val="28"/>
          <w:szCs w:val="28"/>
        </w:rPr>
      </w:pPr>
      <w:r>
        <w:rPr>
          <w:rFonts w:hint="eastAsia" w:ascii="黑体" w:hAnsi="黑体" w:eastAsia="黑体"/>
          <w:b/>
          <w:sz w:val="28"/>
          <w:szCs w:val="28"/>
        </w:rPr>
        <w:t>四、绩效评价指标分析</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（一）项目决策（20分）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1、项目立项（4</w:t>
      </w:r>
      <w:r>
        <w:rPr>
          <w:rFonts w:ascii="仿宋" w:hAnsi="仿宋" w:eastAsia="仿宋"/>
          <w:b/>
          <w:sz w:val="28"/>
          <w:szCs w:val="28"/>
        </w:rPr>
        <w:t>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 xml:space="preserve"> “2022义务教育中小学维修基金”</w:t>
      </w:r>
      <w:r>
        <w:rPr>
          <w:rFonts w:ascii="仿宋" w:hAnsi="仿宋" w:eastAsia="仿宋"/>
          <w:sz w:val="28"/>
          <w:szCs w:val="28"/>
        </w:rPr>
        <w:t>项目</w:t>
      </w:r>
      <w:r>
        <w:rPr>
          <w:rFonts w:hint="eastAsia" w:ascii="仿宋" w:hAnsi="仿宋" w:eastAsia="仿宋"/>
          <w:sz w:val="28"/>
          <w:szCs w:val="28"/>
        </w:rPr>
        <w:t>建设符合国家政策及相关发展规划的要求，对于提高教学质量，促进教育事业的发展有重大意义。未取得项目审批文件、未取得可行性研究、专家论证及其他资料。</w:t>
      </w:r>
      <w:r>
        <w:rPr>
          <w:rFonts w:ascii="仿宋" w:hAnsi="仿宋" w:eastAsia="仿宋"/>
          <w:sz w:val="28"/>
          <w:szCs w:val="28"/>
        </w:rPr>
        <w:t>该项得分</w:t>
      </w:r>
      <w:r>
        <w:rPr>
          <w:rFonts w:hint="eastAsia" w:ascii="仿宋" w:hAnsi="仿宋" w:eastAsia="仿宋"/>
          <w:sz w:val="28"/>
          <w:szCs w:val="28"/>
        </w:rPr>
        <w:t>4</w:t>
      </w:r>
      <w:r>
        <w:rPr>
          <w:rFonts w:ascii="仿宋" w:hAnsi="仿宋" w:eastAsia="仿宋"/>
          <w:sz w:val="28"/>
          <w:szCs w:val="28"/>
        </w:rPr>
        <w:t>分</w:t>
      </w:r>
      <w:r>
        <w:rPr>
          <w:rFonts w:hint="eastAsia" w:ascii="仿宋" w:hAnsi="仿宋" w:eastAsia="仿宋"/>
          <w:sz w:val="28"/>
          <w:szCs w:val="28"/>
        </w:rPr>
        <w:t>，扣2分，得2分。</w:t>
      </w:r>
    </w:p>
    <w:p>
      <w:pPr>
        <w:spacing w:line="360" w:lineRule="auto"/>
        <w:ind w:firstLine="562" w:firstLineChars="200"/>
        <w:rPr>
          <w:rFonts w:ascii="仿宋" w:hAnsi="仿宋" w:eastAsia="仿宋"/>
          <w:b/>
          <w:sz w:val="28"/>
          <w:szCs w:val="28"/>
        </w:rPr>
      </w:pPr>
      <w:r>
        <w:rPr>
          <w:rFonts w:ascii="仿宋" w:hAnsi="仿宋" w:eastAsia="仿宋"/>
          <w:b/>
          <w:sz w:val="28"/>
          <w:szCs w:val="28"/>
        </w:rPr>
        <w:t>2、绩效目标（</w:t>
      </w:r>
      <w:r>
        <w:rPr>
          <w:rFonts w:hint="eastAsia" w:ascii="仿宋" w:hAnsi="仿宋" w:eastAsia="仿宋"/>
          <w:b/>
          <w:sz w:val="28"/>
          <w:szCs w:val="28"/>
        </w:rPr>
        <w:t>8</w:t>
      </w:r>
      <w:r>
        <w:rPr>
          <w:rFonts w:ascii="仿宋" w:hAnsi="仿宋" w:eastAsia="仿宋"/>
          <w:b/>
          <w:sz w:val="28"/>
          <w:szCs w:val="28"/>
        </w:rPr>
        <w:t>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经核实，教育局对“2022义务教育中小学维修基金”项目制定了绩效目标和绩效指标，绩效目标与实际工作内容相关、相匹配，指标设置清晰，可衡量。</w:t>
      </w:r>
      <w:r>
        <w:rPr>
          <w:rFonts w:ascii="仿宋" w:hAnsi="仿宋" w:eastAsia="仿宋"/>
          <w:sz w:val="28"/>
          <w:szCs w:val="28"/>
        </w:rPr>
        <w:t>该项</w:t>
      </w:r>
      <w:r>
        <w:rPr>
          <w:rFonts w:hint="eastAsia" w:ascii="仿宋" w:hAnsi="仿宋" w:eastAsia="仿宋"/>
          <w:sz w:val="28"/>
          <w:szCs w:val="28"/>
        </w:rPr>
        <w:t>总分8分，扣0分，</w:t>
      </w:r>
      <w:r>
        <w:rPr>
          <w:rFonts w:ascii="仿宋" w:hAnsi="仿宋" w:eastAsia="仿宋"/>
          <w:sz w:val="28"/>
          <w:szCs w:val="28"/>
        </w:rPr>
        <w:t>得</w:t>
      </w:r>
      <w:r>
        <w:rPr>
          <w:rFonts w:hint="eastAsia" w:ascii="仿宋" w:hAnsi="仿宋" w:eastAsia="仿宋"/>
          <w:sz w:val="28"/>
          <w:szCs w:val="28"/>
        </w:rPr>
        <w:t>8</w:t>
      </w:r>
      <w:r>
        <w:rPr>
          <w:rFonts w:ascii="仿宋" w:hAnsi="仿宋" w:eastAsia="仿宋"/>
          <w:sz w:val="28"/>
          <w:szCs w:val="28"/>
        </w:rPr>
        <w:t>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3、资金投入（8分）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“2022义务教育中小学维修基金”项目未取得预算编制的依据资料，无法确定其预算编制是否科学合理；未取得资金分配的依据资料，无法确定其资金分配的合理性。该项总分8分，扣8分，得0分。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（二）项目实施过程（20分）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1、资金管理（13</w:t>
      </w:r>
      <w:r>
        <w:rPr>
          <w:rFonts w:ascii="仿宋" w:hAnsi="仿宋" w:eastAsia="仿宋"/>
          <w:b/>
          <w:sz w:val="28"/>
          <w:szCs w:val="28"/>
        </w:rPr>
        <w:t>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①资金到位率（1分）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“2022义务教育中小学维修基金”项目预算金额为360万元，实际收支金额为160.653万元，资金到位率44.63%。该项总分1分，扣0.5分，得0.5分。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②预算执行率（10</w:t>
      </w:r>
      <w:r>
        <w:rPr>
          <w:rFonts w:ascii="仿宋" w:hAnsi="仿宋" w:eastAsia="仿宋"/>
          <w:b/>
          <w:sz w:val="28"/>
          <w:szCs w:val="28"/>
        </w:rPr>
        <w:t>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“2022义务教育中小学维修基金”项目为零余额账户核算，以支代收，预算执行率100%。该项目总分10分，扣0分，得10分。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③资金使用合规性（2分）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根据本项目绩效目标表中的内容，资金用途为：消除安全隐患、改善学校办学条件，保证开展日常教育教学活动。本项目资金使用符合国家相关制度及资金管理办法的要求，资金拨付审批齐全，不存在截留、挤占、挪用现象。</w:t>
      </w:r>
      <w:r>
        <w:rPr>
          <w:rFonts w:ascii="仿宋" w:hAnsi="仿宋" w:eastAsia="仿宋"/>
          <w:sz w:val="28"/>
          <w:szCs w:val="28"/>
        </w:rPr>
        <w:t>该项</w:t>
      </w:r>
      <w:r>
        <w:rPr>
          <w:rFonts w:hint="eastAsia" w:ascii="仿宋" w:hAnsi="仿宋" w:eastAsia="仿宋"/>
          <w:sz w:val="28"/>
          <w:szCs w:val="28"/>
        </w:rPr>
        <w:t>总</w:t>
      </w:r>
      <w:r>
        <w:rPr>
          <w:rFonts w:ascii="仿宋" w:hAnsi="仿宋" w:eastAsia="仿宋"/>
          <w:sz w:val="28"/>
          <w:szCs w:val="28"/>
        </w:rPr>
        <w:t>分</w:t>
      </w:r>
      <w:r>
        <w:rPr>
          <w:rFonts w:hint="eastAsia" w:ascii="仿宋" w:hAnsi="仿宋" w:eastAsia="仿宋"/>
          <w:sz w:val="28"/>
          <w:szCs w:val="28"/>
        </w:rPr>
        <w:t>2</w:t>
      </w:r>
      <w:r>
        <w:rPr>
          <w:rFonts w:ascii="仿宋" w:hAnsi="仿宋" w:eastAsia="仿宋"/>
          <w:sz w:val="28"/>
          <w:szCs w:val="28"/>
        </w:rPr>
        <w:t>分</w:t>
      </w:r>
      <w:r>
        <w:rPr>
          <w:rFonts w:hint="eastAsia" w:ascii="仿宋" w:hAnsi="仿宋" w:eastAsia="仿宋"/>
          <w:sz w:val="28"/>
          <w:szCs w:val="28"/>
        </w:rPr>
        <w:t>，扣0分，得2分</w:t>
      </w:r>
      <w:r>
        <w:rPr>
          <w:rFonts w:ascii="仿宋" w:hAnsi="仿宋" w:eastAsia="仿宋"/>
          <w:sz w:val="28"/>
          <w:szCs w:val="28"/>
        </w:rPr>
        <w:t>。</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2、组织实施（7</w:t>
      </w:r>
      <w:r>
        <w:rPr>
          <w:rFonts w:ascii="仿宋" w:hAnsi="仿宋" w:eastAsia="仿宋"/>
          <w:b/>
          <w:sz w:val="28"/>
          <w:szCs w:val="28"/>
        </w:rPr>
        <w:t>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①管理制度健全性（3.5</w:t>
      </w:r>
      <w:r>
        <w:rPr>
          <w:rFonts w:ascii="仿宋" w:hAnsi="仿宋" w:eastAsia="仿宋"/>
          <w:b/>
          <w:sz w:val="28"/>
          <w:szCs w:val="28"/>
        </w:rPr>
        <w:t>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经核实，未取得与本项目相关的业务管理制度。该项总分3.5分，扣1.5分，得2</w:t>
      </w:r>
      <w:r>
        <w:rPr>
          <w:rFonts w:ascii="仿宋" w:hAnsi="仿宋" w:eastAsia="仿宋"/>
          <w:sz w:val="28"/>
          <w:szCs w:val="28"/>
        </w:rPr>
        <w:t>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②制度执行有效性（3.5</w:t>
      </w:r>
      <w:r>
        <w:rPr>
          <w:rFonts w:ascii="仿宋" w:hAnsi="仿宋" w:eastAsia="仿宋"/>
          <w:b/>
          <w:sz w:val="28"/>
          <w:szCs w:val="28"/>
        </w:rPr>
        <w:t>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我们根据国家相关法律法规，审查了本项目相关资料，个别项目资料不齐全。如：</w:t>
      </w:r>
      <w:r>
        <w:rPr>
          <w:rFonts w:ascii="仿宋" w:hAnsi="仿宋" w:eastAsia="仿宋"/>
          <w:sz w:val="28"/>
          <w:szCs w:val="28"/>
        </w:rPr>
        <w:t xml:space="preserve"> </w:t>
      </w:r>
      <w:r>
        <w:rPr>
          <w:rFonts w:hint="eastAsia" w:ascii="仿宋" w:hAnsi="仿宋" w:eastAsia="仿宋"/>
          <w:sz w:val="28"/>
          <w:szCs w:val="28"/>
        </w:rPr>
        <w:t>南故城小学厕所改造项目，经查看该项目的结算书和工程量清单，显示新增“室外污水管网连接”一项，但是缺少相应的依据资料。</w:t>
      </w:r>
    </w:p>
    <w:p>
      <w:pPr>
        <w:adjustRightInd w:val="0"/>
        <w:snapToGrid w:val="0"/>
        <w:spacing w:line="580" w:lineRule="exact"/>
        <w:ind w:firstLine="560" w:firstLineChars="200"/>
        <w:rPr>
          <w:sz w:val="24"/>
        </w:rPr>
      </w:pPr>
      <w:r>
        <w:rPr>
          <w:rFonts w:hint="eastAsia" w:ascii="仿宋" w:hAnsi="仿宋" w:eastAsia="仿宋"/>
          <w:sz w:val="28"/>
          <w:szCs w:val="28"/>
        </w:rPr>
        <w:t>该项总分3.5分，扣1.5分，得分2</w:t>
      </w:r>
      <w:r>
        <w:rPr>
          <w:rFonts w:ascii="仿宋" w:hAnsi="仿宋" w:eastAsia="仿宋"/>
          <w:sz w:val="28"/>
          <w:szCs w:val="28"/>
        </w:rPr>
        <w:t>分。</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（三）项目产出（30分）</w:t>
      </w:r>
    </w:p>
    <w:p>
      <w:pPr>
        <w:spacing w:line="360" w:lineRule="auto"/>
        <w:ind w:firstLine="562" w:firstLineChars="200"/>
        <w:jc w:val="left"/>
        <w:rPr>
          <w:rFonts w:ascii="仿宋" w:hAnsi="仿宋" w:eastAsia="仿宋"/>
          <w:b/>
          <w:sz w:val="28"/>
          <w:szCs w:val="28"/>
        </w:rPr>
      </w:pPr>
      <w:r>
        <w:rPr>
          <w:rFonts w:ascii="仿宋" w:hAnsi="仿宋" w:eastAsia="仿宋"/>
          <w:b/>
          <w:sz w:val="28"/>
          <w:szCs w:val="28"/>
        </w:rPr>
        <w:t>1、产出数量（</w:t>
      </w:r>
      <w:r>
        <w:rPr>
          <w:rFonts w:hint="eastAsia" w:ascii="仿宋" w:hAnsi="仿宋" w:eastAsia="仿宋"/>
          <w:b/>
          <w:sz w:val="28"/>
          <w:szCs w:val="28"/>
        </w:rPr>
        <w:t>7.5</w:t>
      </w:r>
      <w:r>
        <w:rPr>
          <w:rFonts w:ascii="仿宋" w:hAnsi="仿宋" w:eastAsia="仿宋"/>
          <w:b/>
          <w:sz w:val="28"/>
          <w:szCs w:val="28"/>
        </w:rPr>
        <w:t>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“2022义务教育中小学维修基金”项目实际完成率为70.6%。该项总分为7.5分，扣1.5分，得6分。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2、产出质量（7.5</w:t>
      </w:r>
      <w:r>
        <w:rPr>
          <w:rFonts w:ascii="仿宋" w:hAnsi="仿宋" w:eastAsia="仿宋"/>
          <w:b/>
          <w:sz w:val="28"/>
          <w:szCs w:val="28"/>
        </w:rPr>
        <w:t>分）</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经现场核查，个别项目工程施工未达到施工工艺要求。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如：宜安镇永乐小学教学楼加固项目，边角部位墙体加固厚度未达到施工要求厚度；</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大河镇双合小学院落工程项目，伸缩门下混凝土厚度未达到施工要求。</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该项总分7.5分，扣1.5分，得6分。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3、产出时效（7.5</w:t>
      </w:r>
      <w:r>
        <w:rPr>
          <w:rFonts w:ascii="仿宋" w:hAnsi="仿宋" w:eastAsia="仿宋"/>
          <w:b/>
          <w:sz w:val="28"/>
          <w:szCs w:val="28"/>
        </w:rPr>
        <w:t>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2022年度本项目均在计划完成时间内完成。该项总分7.5分，扣0分，得7.5分。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4、产出成本（7.5分）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该项目预算包含23个小项目，实际实施的为20个小项目，部分项目施工费尚未支付，已支付的工程款中，除个别工程变更外，未发现超预算的现象，但现场核实中发现个别单项材料价格高于市场价格。该项总分7.5分，扣1.5分，得6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（四）项目效益（30</w:t>
      </w:r>
      <w:r>
        <w:rPr>
          <w:rFonts w:ascii="仿宋" w:hAnsi="仿宋" w:eastAsia="仿宋"/>
          <w:b/>
          <w:sz w:val="28"/>
          <w:szCs w:val="28"/>
        </w:rPr>
        <w:t>分）　　</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1、社会效益（10分）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“2022义务教育中小学维修基金”项目既美化了教学环境，又消除了安全隐患，有效改善了学校办学条件和校舍安全状况。该项总分10分，扣0分，得10分。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2、可持续影响（10分）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本项目提高了校舍的利用率，节约了新建校舍的资金。该项总分10分，扣0分，得10分。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3、服务对象满意度指标（10分）</w:t>
      </w:r>
    </w:p>
    <w:p>
      <w:pPr>
        <w:spacing w:line="360" w:lineRule="auto"/>
        <w:ind w:firstLine="560" w:firstLineChars="200"/>
        <w:rPr>
          <w:rFonts w:ascii="仿宋" w:hAnsi="仿宋" w:eastAsia="仿宋"/>
          <w:sz w:val="28"/>
          <w:szCs w:val="28"/>
        </w:rPr>
      </w:pPr>
      <w:r>
        <w:rPr>
          <w:rFonts w:hint="eastAsia" w:ascii="仿宋" w:hAnsi="仿宋" w:eastAsia="仿宋"/>
          <w:sz w:val="28"/>
          <w:szCs w:val="28"/>
        </w:rPr>
        <w:t>“2022义务教育中小学维修基金”项目我们随机抽取8所学校进行问卷调查，该8所学校的80名师生对该项目表示满意，满意率高达100%。该项总分10分，扣0分，得10分。</w:t>
      </w:r>
    </w:p>
    <w:p>
      <w:pPr>
        <w:spacing w:line="360" w:lineRule="auto"/>
        <w:ind w:firstLine="562" w:firstLineChars="200"/>
        <w:jc w:val="left"/>
        <w:rPr>
          <w:rFonts w:ascii="黑体" w:hAnsi="黑体" w:eastAsia="黑体"/>
          <w:b/>
          <w:sz w:val="28"/>
          <w:szCs w:val="28"/>
        </w:rPr>
      </w:pPr>
      <w:r>
        <w:rPr>
          <w:rFonts w:hint="eastAsia" w:ascii="黑体" w:hAnsi="黑体" w:eastAsia="黑体"/>
          <w:b/>
          <w:sz w:val="28"/>
          <w:szCs w:val="28"/>
        </w:rPr>
        <w:t>五、存在的问题及建议</w:t>
      </w:r>
    </w:p>
    <w:p>
      <w:pPr>
        <w:spacing w:line="360" w:lineRule="auto"/>
        <w:ind w:firstLine="562" w:firstLineChars="200"/>
        <w:jc w:val="left"/>
        <w:rPr>
          <w:rFonts w:ascii="仿宋" w:hAnsi="仿宋" w:eastAsia="仿宋"/>
          <w:b/>
          <w:sz w:val="28"/>
          <w:szCs w:val="28"/>
        </w:rPr>
      </w:pPr>
      <w:r>
        <w:rPr>
          <w:rFonts w:hint="eastAsia" w:ascii="仿宋" w:hAnsi="仿宋" w:eastAsia="仿宋"/>
          <w:b/>
          <w:sz w:val="28"/>
          <w:szCs w:val="28"/>
        </w:rPr>
        <w:t>1、个别学校询价程序不合规。</w:t>
      </w:r>
    </w:p>
    <w:p>
      <w:pPr>
        <w:ind w:firstLine="560" w:firstLineChars="200"/>
      </w:pPr>
      <w:r>
        <w:rPr>
          <w:rFonts w:hint="eastAsia" w:ascii="仿宋" w:hAnsi="仿宋" w:eastAsia="仿宋"/>
          <w:sz w:val="28"/>
          <w:szCs w:val="28"/>
        </w:rPr>
        <w:t>个别学校对询价程序把控不严，存在无统一工程量清单，无施工工艺要求的前提下，报价单的项目顺序、数量、项目特征描述均一致的现象；个别学校存在三方编制的预算书存在6个分部分项工程综合单价完全一致的现象；个别学校存在三方报价单中，字迹相同的现象。</w:t>
      </w:r>
    </w:p>
    <w:p>
      <w:pPr>
        <w:spacing w:line="360" w:lineRule="auto"/>
        <w:ind w:firstLine="560" w:firstLineChars="200"/>
        <w:jc w:val="left"/>
        <w:rPr>
          <w:rFonts w:ascii="仿宋" w:hAnsi="仿宋" w:eastAsia="仿宋"/>
          <w:sz w:val="28"/>
          <w:szCs w:val="28"/>
        </w:rPr>
      </w:pPr>
      <w:r>
        <w:rPr>
          <w:rFonts w:hint="eastAsia" w:ascii="仿宋" w:hAnsi="仿宋" w:eastAsia="仿宋"/>
          <w:sz w:val="28"/>
          <w:szCs w:val="28"/>
        </w:rPr>
        <w:t>建议：规范询价流程、依规选取恰当的采购方式，加强询价过程管理。</w:t>
      </w:r>
    </w:p>
    <w:p>
      <w:pPr>
        <w:spacing w:line="360" w:lineRule="auto"/>
        <w:ind w:firstLine="562" w:firstLineChars="200"/>
        <w:rPr>
          <w:rFonts w:ascii="仿宋" w:hAnsi="仿宋" w:eastAsia="仿宋"/>
          <w:b/>
          <w:sz w:val="28"/>
          <w:szCs w:val="28"/>
        </w:rPr>
      </w:pPr>
      <w:r>
        <w:rPr>
          <w:rFonts w:hint="eastAsia" w:ascii="仿宋" w:hAnsi="仿宋" w:eastAsia="仿宋"/>
          <w:b/>
          <w:sz w:val="28"/>
          <w:szCs w:val="28"/>
        </w:rPr>
        <w:t>2、个别学校项目保养不当。</w:t>
      </w:r>
    </w:p>
    <w:p>
      <w:pPr>
        <w:spacing w:line="360" w:lineRule="auto"/>
        <w:ind w:firstLine="560" w:firstLineChars="200"/>
        <w:rPr>
          <w:rFonts w:ascii="仿宋" w:hAnsi="仿宋" w:eastAsia="仿宋"/>
          <w:b/>
          <w:sz w:val="28"/>
          <w:szCs w:val="28"/>
        </w:rPr>
      </w:pPr>
      <w:r>
        <w:rPr>
          <w:rFonts w:hint="eastAsia" w:ascii="仿宋" w:hAnsi="仿宋" w:eastAsia="仿宋"/>
          <w:sz w:val="28"/>
          <w:szCs w:val="28"/>
        </w:rPr>
        <w:t>南故城小学存在地面铺砖工程完工后时间仅两年，因有重型车辆碾压，造成部分地面已出现明显凹陷现象。宜安镇中学存在屋面2021年施工铺设的彩钢瓦屋面已出现缺口的现象。</w:t>
      </w:r>
    </w:p>
    <w:p>
      <w:pPr>
        <w:spacing w:line="360" w:lineRule="auto"/>
        <w:ind w:firstLine="560" w:firstLineChars="200"/>
        <w:rPr>
          <w:rFonts w:ascii="仿宋" w:hAnsi="仿宋" w:eastAsia="仿宋"/>
          <w:sz w:val="28"/>
          <w:szCs w:val="28"/>
        </w:rPr>
      </w:pPr>
      <w:r>
        <w:rPr>
          <w:rFonts w:hint="eastAsia" w:ascii="仿宋" w:hAnsi="仿宋" w:eastAsia="仿宋"/>
          <w:sz w:val="28"/>
          <w:szCs w:val="28"/>
        </w:rPr>
        <w:t>建议：加强项目的施工质量管理，严格按照规范要求验收，加强施工后养护管理。</w:t>
      </w:r>
    </w:p>
    <w:p>
      <w:pPr>
        <w:tabs>
          <w:tab w:val="left" w:pos="2115"/>
        </w:tabs>
        <w:spacing w:line="360" w:lineRule="auto"/>
        <w:ind w:firstLine="562" w:firstLineChars="200"/>
        <w:rPr>
          <w:rFonts w:ascii="仿宋" w:hAnsi="仿宋" w:eastAsia="仿宋"/>
          <w:b/>
          <w:sz w:val="28"/>
          <w:szCs w:val="28"/>
        </w:rPr>
      </w:pPr>
      <w:r>
        <w:rPr>
          <w:rFonts w:hint="eastAsia" w:ascii="仿宋" w:hAnsi="仿宋" w:eastAsia="仿宋"/>
          <w:b/>
          <w:sz w:val="28"/>
          <w:szCs w:val="28"/>
        </w:rPr>
        <w:t>3、个别学校未严格按照施工工艺要求。</w:t>
      </w:r>
    </w:p>
    <w:p>
      <w:pPr>
        <w:tabs>
          <w:tab w:val="left" w:pos="2115"/>
        </w:tabs>
        <w:spacing w:line="360" w:lineRule="auto"/>
        <w:ind w:firstLine="560" w:firstLineChars="200"/>
        <w:rPr>
          <w:rFonts w:ascii="仿宋" w:hAnsi="仿宋" w:eastAsia="仿宋"/>
          <w:sz w:val="28"/>
          <w:szCs w:val="28"/>
        </w:rPr>
      </w:pPr>
      <w:r>
        <w:rPr>
          <w:rFonts w:hint="eastAsia" w:ascii="仿宋" w:hAnsi="仿宋" w:eastAsia="仿宋"/>
          <w:sz w:val="28"/>
          <w:szCs w:val="28"/>
        </w:rPr>
        <w:t>宜安镇永乐小学教学楼加固项目，存在部分边角处未达到施工工艺要求的厚度；大河镇双合小学院落工程项目，存在伸缩门下的混凝土厚度未达到施工工艺要求的厚度；北胡庄小学教学楼加固项目，存在个别部位梁与楼板连接的角钢未延伸到两边墙侧现象。</w:t>
      </w:r>
    </w:p>
    <w:p>
      <w:pPr>
        <w:tabs>
          <w:tab w:val="left" w:pos="2115"/>
        </w:tabs>
        <w:spacing w:line="360" w:lineRule="auto"/>
        <w:ind w:firstLine="560" w:firstLineChars="200"/>
        <w:rPr>
          <w:rFonts w:ascii="仿宋" w:hAnsi="仿宋" w:eastAsia="仿宋"/>
          <w:sz w:val="28"/>
          <w:szCs w:val="28"/>
        </w:rPr>
      </w:pPr>
      <w:r>
        <w:rPr>
          <w:rFonts w:hint="eastAsia" w:ascii="仿宋" w:hAnsi="仿宋" w:eastAsia="仿宋"/>
          <w:sz w:val="28"/>
          <w:szCs w:val="28"/>
        </w:rPr>
        <w:t>建议：加强施工现场监管力度，加强工程验收管理。</w:t>
      </w:r>
    </w:p>
    <w:p>
      <w:pPr>
        <w:tabs>
          <w:tab w:val="left" w:pos="2115"/>
        </w:tabs>
        <w:spacing w:line="360" w:lineRule="auto"/>
        <w:ind w:firstLine="562" w:firstLineChars="200"/>
        <w:rPr>
          <w:rFonts w:ascii="仿宋" w:hAnsi="仿宋" w:eastAsia="仿宋"/>
          <w:b/>
          <w:sz w:val="28"/>
          <w:szCs w:val="28"/>
        </w:rPr>
      </w:pPr>
      <w:r>
        <w:rPr>
          <w:rFonts w:hint="eastAsia" w:ascii="仿宋" w:hAnsi="仿宋" w:eastAsia="仿宋"/>
          <w:b/>
          <w:sz w:val="28"/>
          <w:szCs w:val="28"/>
        </w:rPr>
        <w:t>4、个别学校项目有变更发生，但缺少依据资料。</w:t>
      </w:r>
    </w:p>
    <w:p>
      <w:pPr>
        <w:adjustRightInd w:val="0"/>
        <w:snapToGrid w:val="0"/>
        <w:spacing w:line="580" w:lineRule="exact"/>
        <w:ind w:firstLine="560" w:firstLineChars="200"/>
        <w:rPr>
          <w:rFonts w:ascii="仿宋" w:hAnsi="仿宋" w:eastAsia="仿宋"/>
          <w:sz w:val="28"/>
          <w:szCs w:val="28"/>
        </w:rPr>
      </w:pPr>
      <w:r>
        <w:rPr>
          <w:rFonts w:hint="eastAsia" w:ascii="仿宋" w:hAnsi="仿宋" w:eastAsia="仿宋"/>
          <w:sz w:val="28"/>
          <w:szCs w:val="28"/>
        </w:rPr>
        <w:t>经查看南故城小学厕所改造项目的结算书和工程量清单，显示新增“室外污水管网连接”一项，但是缺少相应的依据资料。</w:t>
      </w:r>
    </w:p>
    <w:p>
      <w:pPr>
        <w:tabs>
          <w:tab w:val="left" w:pos="2115"/>
        </w:tabs>
        <w:spacing w:line="360" w:lineRule="auto"/>
        <w:ind w:firstLine="560" w:firstLineChars="200"/>
        <w:rPr>
          <w:rFonts w:ascii="仿宋" w:hAnsi="仿宋" w:eastAsia="仿宋"/>
          <w:sz w:val="28"/>
          <w:szCs w:val="28"/>
        </w:rPr>
      </w:pPr>
      <w:r>
        <w:rPr>
          <w:rFonts w:hint="eastAsia" w:ascii="仿宋" w:hAnsi="仿宋" w:eastAsia="仿宋"/>
          <w:sz w:val="28"/>
          <w:szCs w:val="28"/>
        </w:rPr>
        <w:t>建议：加强工程变更管理，做好现场签证工作，做好变更单留档管理。</w:t>
      </w:r>
    </w:p>
    <w:p>
      <w:pPr>
        <w:tabs>
          <w:tab w:val="left" w:pos="2115"/>
        </w:tabs>
        <w:spacing w:line="360" w:lineRule="auto"/>
        <w:ind w:firstLine="562" w:firstLineChars="200"/>
        <w:rPr>
          <w:rFonts w:ascii="仿宋" w:hAnsi="仿宋" w:eastAsia="仿宋"/>
          <w:b/>
          <w:sz w:val="28"/>
          <w:szCs w:val="28"/>
        </w:rPr>
      </w:pPr>
      <w:r>
        <w:rPr>
          <w:rFonts w:hint="eastAsia" w:ascii="仿宋" w:hAnsi="仿宋" w:eastAsia="仿宋"/>
          <w:b/>
          <w:sz w:val="28"/>
          <w:szCs w:val="28"/>
        </w:rPr>
        <w:t>5、个别学校项目存在工程量差异。</w:t>
      </w:r>
    </w:p>
    <w:p>
      <w:pPr>
        <w:tabs>
          <w:tab w:val="left" w:pos="2115"/>
        </w:tabs>
        <w:spacing w:line="360" w:lineRule="auto"/>
        <w:ind w:firstLine="560" w:firstLineChars="200"/>
        <w:rPr>
          <w:rFonts w:ascii="仿宋" w:hAnsi="仿宋" w:eastAsia="仿宋"/>
          <w:sz w:val="28"/>
          <w:szCs w:val="28"/>
        </w:rPr>
      </w:pPr>
      <w:r>
        <w:rPr>
          <w:rFonts w:hint="eastAsia" w:ascii="仿宋" w:hAnsi="仿宋" w:eastAsia="仿宋"/>
          <w:sz w:val="28"/>
          <w:szCs w:val="28"/>
        </w:rPr>
        <w:t>经现场核实，李村镇中学教学楼空调线路改造工程中，“拆除路面”、“水泥混凝土”、“桥架”分项工程结算工程量与现场核实工程量存在差异。</w:t>
      </w:r>
    </w:p>
    <w:p>
      <w:pPr>
        <w:tabs>
          <w:tab w:val="left" w:pos="2115"/>
        </w:tabs>
        <w:spacing w:line="360" w:lineRule="auto"/>
        <w:ind w:firstLine="560" w:firstLineChars="200"/>
        <w:rPr>
          <w:rFonts w:ascii="仿宋" w:hAnsi="仿宋" w:eastAsia="仿宋"/>
          <w:sz w:val="28"/>
          <w:szCs w:val="28"/>
        </w:rPr>
      </w:pPr>
      <w:r>
        <w:rPr>
          <w:rFonts w:hint="eastAsia" w:ascii="仿宋" w:hAnsi="仿宋" w:eastAsia="仿宋"/>
          <w:sz w:val="28"/>
          <w:szCs w:val="28"/>
        </w:rPr>
        <w:t>建议：严格工程结算制度落实，加强竣工工程结算管理。</w:t>
      </w:r>
    </w:p>
    <w:p>
      <w:pPr>
        <w:tabs>
          <w:tab w:val="left" w:pos="2115"/>
        </w:tabs>
        <w:spacing w:line="360" w:lineRule="auto"/>
        <w:ind w:firstLine="562" w:firstLineChars="200"/>
        <w:rPr>
          <w:rFonts w:ascii="仿宋" w:hAnsi="仿宋" w:eastAsia="仿宋"/>
          <w:b/>
          <w:sz w:val="28"/>
          <w:szCs w:val="28"/>
        </w:rPr>
      </w:pPr>
      <w:r>
        <w:rPr>
          <w:rFonts w:hint="eastAsia" w:ascii="仿宋" w:hAnsi="仿宋" w:eastAsia="仿宋"/>
          <w:b/>
          <w:sz w:val="28"/>
          <w:szCs w:val="28"/>
        </w:rPr>
        <w:t>6、个别项目单价高于市场价。</w:t>
      </w:r>
    </w:p>
    <w:p>
      <w:pPr>
        <w:adjustRightInd w:val="0"/>
        <w:snapToGrid w:val="0"/>
        <w:spacing w:line="580" w:lineRule="exact"/>
        <w:ind w:firstLine="560" w:firstLineChars="200"/>
        <w:rPr>
          <w:rFonts w:ascii="仿宋" w:hAnsi="仿宋" w:eastAsia="仿宋"/>
          <w:sz w:val="28"/>
          <w:szCs w:val="28"/>
        </w:rPr>
      </w:pPr>
      <w:r>
        <w:rPr>
          <w:rFonts w:hint="eastAsia" w:ascii="仿宋" w:hAnsi="仿宋" w:eastAsia="仿宋"/>
          <w:sz w:val="28"/>
          <w:szCs w:val="28"/>
        </w:rPr>
        <w:t>大河镇双合小学院落工程电动伸缩门价格为23,840元/套，该项目安装的电动伸缩门价格高于市场价；宜安镇中学餐厅和宿舍楼房顶改建项目，铺设的0.5mm厚彩钢瓦屋面价格略高于市场价。</w:t>
      </w:r>
    </w:p>
    <w:p>
      <w:pPr>
        <w:adjustRightInd w:val="0"/>
        <w:snapToGrid w:val="0"/>
        <w:spacing w:line="580" w:lineRule="exact"/>
        <w:ind w:firstLine="700" w:firstLineChars="249"/>
        <w:rPr>
          <w:rFonts w:ascii="仿宋" w:hAnsi="仿宋" w:eastAsia="仿宋"/>
          <w:b/>
          <w:sz w:val="28"/>
          <w:szCs w:val="28"/>
        </w:rPr>
      </w:pPr>
      <w:r>
        <w:rPr>
          <w:rFonts w:hint="eastAsia" w:ascii="仿宋" w:hAnsi="仿宋" w:eastAsia="仿宋"/>
          <w:b/>
          <w:sz w:val="28"/>
          <w:szCs w:val="28"/>
        </w:rPr>
        <w:t>7、个别学校存在实际所用材料与清单所列材料不符的现象。</w:t>
      </w:r>
    </w:p>
    <w:p>
      <w:pPr>
        <w:adjustRightInd w:val="0"/>
        <w:snapToGrid w:val="0"/>
        <w:spacing w:line="580" w:lineRule="exact"/>
        <w:ind w:firstLine="560" w:firstLineChars="200"/>
        <w:rPr>
          <w:rFonts w:ascii="仿宋_GB2312"/>
          <w:sz w:val="24"/>
        </w:rPr>
      </w:pPr>
      <w:r>
        <w:rPr>
          <w:rFonts w:hint="eastAsia" w:ascii="仿宋" w:hAnsi="仿宋" w:eastAsia="仿宋"/>
          <w:sz w:val="28"/>
          <w:szCs w:val="28"/>
        </w:rPr>
        <w:t>育才小学校园路面铣刨并重新铺设沥青项目，经现场核实，报价工程清单中的水稳碎石工艺改为混凝土工艺；大河镇双合小学院落工程，投标报价清单中显示电力电缆规格为4*10+1，经现场实际查看只看到4*10规格电缆。</w:t>
      </w:r>
    </w:p>
    <w:p>
      <w:pPr>
        <w:tabs>
          <w:tab w:val="left" w:pos="2115"/>
        </w:tabs>
        <w:spacing w:line="360" w:lineRule="auto"/>
        <w:ind w:left="141" w:leftChars="67" w:firstLine="420" w:firstLineChars="150"/>
        <w:rPr>
          <w:rFonts w:ascii="仿宋" w:hAnsi="仿宋" w:eastAsia="仿宋"/>
          <w:sz w:val="28"/>
          <w:szCs w:val="28"/>
        </w:rPr>
      </w:pPr>
      <w:r>
        <w:rPr>
          <w:rFonts w:hint="eastAsia" w:ascii="仿宋" w:hAnsi="仿宋" w:eastAsia="仿宋"/>
          <w:sz w:val="28"/>
          <w:szCs w:val="28"/>
        </w:rPr>
        <w:t>建议：加强工程结算审核管理；涉及施工变更的，加强工程变更签证的管理工作。</w:t>
      </w:r>
    </w:p>
    <w:p>
      <w:pPr>
        <w:tabs>
          <w:tab w:val="left" w:pos="2985"/>
        </w:tabs>
        <w:spacing w:line="360" w:lineRule="auto"/>
        <w:ind w:firstLine="560" w:firstLineChars="200"/>
        <w:rPr>
          <w:rFonts w:ascii="仿宋" w:hAnsi="仿宋" w:eastAsia="仿宋"/>
          <w:sz w:val="28"/>
          <w:szCs w:val="28"/>
        </w:rPr>
      </w:pPr>
      <w:r>
        <w:rPr>
          <w:rFonts w:ascii="仿宋" w:hAnsi="仿宋" w:eastAsia="仿宋"/>
          <w:sz w:val="28"/>
          <w:szCs w:val="28"/>
        </w:rPr>
        <w:tab/>
      </w:r>
    </w:p>
    <w:p>
      <w:pPr>
        <w:tabs>
          <w:tab w:val="left" w:pos="2115"/>
        </w:tabs>
        <w:spacing w:line="360" w:lineRule="auto"/>
        <w:ind w:firstLine="560" w:firstLineChars="200"/>
        <w:rPr>
          <w:rFonts w:ascii="仿宋" w:hAnsi="仿宋" w:eastAsia="仿宋"/>
          <w:sz w:val="28"/>
          <w:szCs w:val="28"/>
        </w:rPr>
      </w:pPr>
    </w:p>
    <w:p>
      <w:pPr>
        <w:tabs>
          <w:tab w:val="left" w:pos="2115"/>
        </w:tabs>
        <w:spacing w:line="360" w:lineRule="auto"/>
        <w:ind w:firstLine="560" w:firstLineChars="200"/>
        <w:rPr>
          <w:rFonts w:ascii="仿宋" w:hAnsi="仿宋" w:eastAsia="仿宋"/>
          <w:sz w:val="28"/>
          <w:szCs w:val="28"/>
        </w:rPr>
      </w:pPr>
    </w:p>
    <w:p>
      <w:pPr>
        <w:tabs>
          <w:tab w:val="left" w:pos="2115"/>
        </w:tabs>
        <w:spacing w:line="360" w:lineRule="auto"/>
        <w:ind w:firstLine="560" w:firstLineChars="200"/>
        <w:rPr>
          <w:rFonts w:ascii="仿宋" w:hAnsi="仿宋" w:eastAsia="仿宋"/>
          <w:sz w:val="28"/>
          <w:szCs w:val="28"/>
        </w:rPr>
      </w:pPr>
    </w:p>
    <w:p>
      <w:pPr>
        <w:tabs>
          <w:tab w:val="left" w:pos="2115"/>
        </w:tabs>
        <w:spacing w:line="360" w:lineRule="auto"/>
        <w:rPr>
          <w:rFonts w:ascii="仿宋" w:hAnsi="仿宋" w:eastAsia="仿宋"/>
          <w:sz w:val="28"/>
          <w:szCs w:val="28"/>
        </w:rPr>
      </w:pPr>
    </w:p>
    <w:p>
      <w:pPr>
        <w:tabs>
          <w:tab w:val="left" w:pos="2115"/>
        </w:tabs>
        <w:spacing w:line="360" w:lineRule="auto"/>
        <w:ind w:firstLine="560" w:firstLineChars="200"/>
        <w:rPr>
          <w:rFonts w:ascii="仿宋" w:hAnsi="仿宋" w:eastAsia="仿宋"/>
          <w:sz w:val="28"/>
          <w:szCs w:val="28"/>
        </w:rPr>
      </w:pPr>
    </w:p>
    <w:p>
      <w:pPr>
        <w:tabs>
          <w:tab w:val="left" w:pos="2115"/>
        </w:tabs>
        <w:spacing w:line="360" w:lineRule="auto"/>
        <w:ind w:firstLine="560" w:firstLineChars="200"/>
        <w:rPr>
          <w:rFonts w:ascii="仿宋" w:hAnsi="仿宋" w:eastAsia="仿宋"/>
          <w:sz w:val="28"/>
          <w:szCs w:val="28"/>
        </w:rPr>
      </w:pPr>
    </w:p>
    <w:p>
      <w:pPr>
        <w:spacing w:line="360" w:lineRule="auto"/>
        <w:ind w:firstLine="560" w:firstLineChars="200"/>
        <w:rPr>
          <w:rFonts w:ascii="仿宋" w:hAnsi="仿宋" w:eastAsia="仿宋"/>
          <w:sz w:val="28"/>
          <w:szCs w:val="28"/>
        </w:rPr>
      </w:pPr>
      <w:r>
        <w:rPr>
          <w:rFonts w:hint="eastAsia" w:ascii="仿宋" w:hAnsi="仿宋" w:eastAsia="仿宋"/>
          <w:sz w:val="28"/>
          <w:szCs w:val="28"/>
        </w:rPr>
        <w:t>附：“ 2022义务教育中小学维修基金”项目绩效评价指标表</w:t>
      </w:r>
    </w:p>
    <w:p>
      <w:pPr>
        <w:spacing w:line="360" w:lineRule="auto"/>
        <w:rPr>
          <w:rFonts w:ascii="仿宋" w:hAnsi="仿宋" w:eastAsia="仿宋"/>
          <w:sz w:val="28"/>
          <w:szCs w:val="28"/>
        </w:rPr>
      </w:pPr>
    </w:p>
    <w:p>
      <w:pPr>
        <w:spacing w:line="360" w:lineRule="auto"/>
        <w:rPr>
          <w:rFonts w:ascii="仿宋" w:hAnsi="仿宋" w:eastAsia="仿宋"/>
          <w:sz w:val="28"/>
          <w:szCs w:val="28"/>
        </w:rPr>
      </w:pPr>
    </w:p>
    <w:p>
      <w:pPr>
        <w:autoSpaceDE w:val="0"/>
        <w:autoSpaceDN w:val="0"/>
        <w:adjustRightInd w:val="0"/>
        <w:spacing w:line="480" w:lineRule="auto"/>
        <w:ind w:firstLine="560" w:firstLineChars="200"/>
        <w:jc w:val="left"/>
        <w:rPr>
          <w:rFonts w:ascii="仿宋" w:hAnsi="仿宋" w:eastAsia="仿宋"/>
          <w:color w:val="000000"/>
          <w:kern w:val="0"/>
          <w:sz w:val="28"/>
          <w:szCs w:val="28"/>
        </w:rPr>
      </w:pPr>
      <w:r>
        <w:rPr>
          <w:rFonts w:hint="eastAsia" w:ascii="仿宋" w:hAnsi="仿宋" w:eastAsia="仿宋"/>
          <w:color w:val="000000"/>
          <w:kern w:val="0"/>
          <w:sz w:val="28"/>
          <w:szCs w:val="28"/>
        </w:rPr>
        <w:t>河北企融会计师事务所                   中国注册会计师：</w:t>
      </w:r>
    </w:p>
    <w:p>
      <w:pPr>
        <w:autoSpaceDE w:val="0"/>
        <w:autoSpaceDN w:val="0"/>
        <w:adjustRightInd w:val="0"/>
        <w:spacing w:line="480" w:lineRule="auto"/>
        <w:ind w:firstLine="1120" w:firstLineChars="400"/>
        <w:jc w:val="left"/>
        <w:rPr>
          <w:rFonts w:ascii="仿宋" w:hAnsi="仿宋" w:eastAsia="仿宋"/>
          <w:color w:val="000000"/>
          <w:kern w:val="0"/>
          <w:sz w:val="28"/>
          <w:szCs w:val="28"/>
        </w:rPr>
      </w:pPr>
      <w:r>
        <w:rPr>
          <w:rFonts w:hint="eastAsia" w:ascii="仿宋" w:hAnsi="仿宋" w:eastAsia="仿宋"/>
          <w:color w:val="000000"/>
          <w:kern w:val="0"/>
          <w:sz w:val="28"/>
          <w:szCs w:val="28"/>
        </w:rPr>
        <w:t>（普通合伙）                       （签名并盖章）</w:t>
      </w:r>
    </w:p>
    <w:p>
      <w:pPr>
        <w:autoSpaceDE w:val="0"/>
        <w:autoSpaceDN w:val="0"/>
        <w:adjustRightInd w:val="0"/>
        <w:spacing w:line="480" w:lineRule="auto"/>
        <w:ind w:firstLine="1540" w:firstLineChars="550"/>
        <w:jc w:val="left"/>
        <w:rPr>
          <w:rFonts w:ascii="仿宋" w:hAnsi="仿宋" w:eastAsia="仿宋"/>
          <w:color w:val="000000"/>
          <w:kern w:val="0"/>
          <w:sz w:val="28"/>
          <w:szCs w:val="28"/>
        </w:rPr>
      </w:pPr>
      <w:r>
        <w:rPr>
          <w:rFonts w:hint="eastAsia" w:ascii="仿宋" w:hAnsi="仿宋" w:eastAsia="仿宋"/>
          <w:color w:val="000000"/>
          <w:kern w:val="0"/>
          <w:sz w:val="28"/>
          <w:szCs w:val="28"/>
        </w:rPr>
        <w:t xml:space="preserve">(公章)                          中国注册会计师：            </w:t>
      </w:r>
    </w:p>
    <w:p>
      <w:pPr>
        <w:autoSpaceDE w:val="0"/>
        <w:autoSpaceDN w:val="0"/>
        <w:adjustRightInd w:val="0"/>
        <w:spacing w:line="480" w:lineRule="auto"/>
        <w:ind w:firstLine="1120" w:firstLineChars="400"/>
        <w:jc w:val="left"/>
        <w:rPr>
          <w:rFonts w:ascii="仿宋" w:hAnsi="仿宋" w:eastAsia="仿宋"/>
          <w:color w:val="000000"/>
          <w:kern w:val="0"/>
          <w:sz w:val="28"/>
          <w:szCs w:val="28"/>
        </w:rPr>
      </w:pPr>
      <w:r>
        <w:rPr>
          <w:rFonts w:hint="eastAsia" w:ascii="仿宋" w:hAnsi="仿宋" w:eastAsia="仿宋"/>
          <w:color w:val="000000"/>
          <w:kern w:val="0"/>
          <w:sz w:val="28"/>
          <w:szCs w:val="28"/>
        </w:rPr>
        <w:t xml:space="preserve">                                   （签名并盖章）</w:t>
      </w:r>
    </w:p>
    <w:p>
      <w:pPr>
        <w:spacing w:line="360" w:lineRule="auto"/>
        <w:ind w:firstLine="840" w:firstLineChars="300"/>
        <w:rPr>
          <w:rFonts w:ascii="仿宋" w:hAnsi="仿宋" w:eastAsia="仿宋"/>
          <w:sz w:val="28"/>
          <w:szCs w:val="28"/>
        </w:rPr>
      </w:pPr>
      <w:r>
        <w:rPr>
          <w:rFonts w:hint="eastAsia" w:ascii="仿宋" w:hAnsi="仿宋" w:eastAsia="仿宋"/>
          <w:color w:val="000000"/>
          <w:kern w:val="0"/>
          <w:sz w:val="28"/>
          <w:szCs w:val="28"/>
        </w:rPr>
        <w:t>中国·石家庄市                      2023年11月15日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551372"/>
    </w:sdtPr>
    <w:sdtContent>
      <w:p>
        <w:pPr>
          <w:pStyle w:val="3"/>
          <w:jc w:val="center"/>
        </w:pPr>
        <w:r>
          <w:fldChar w:fldCharType="begin"/>
        </w:r>
        <w:r>
          <w:instrText xml:space="preserve">PAGE   \* MERGEFORMAT</w:instrText>
        </w:r>
        <w:r>
          <w:fldChar w:fldCharType="separate"/>
        </w:r>
        <w:r>
          <w:rPr>
            <w:lang w:val="zh-CN"/>
          </w:rPr>
          <w:t>10</w:t>
        </w:r>
        <w:r>
          <w:fldChar w:fldCharType="end"/>
        </w:r>
      </w:p>
    </w:sdtContent>
  </w:sdt>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left"/>
    </w:pPr>
    <w:r>
      <w:t>河北企融会计师事务所</w:t>
    </w:r>
    <w:r>
      <w:rPr>
        <w:rFonts w:hint="eastAsia"/>
      </w:rPr>
      <w:t>（普通合伙）                                               绩效评价报告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684258"/>
    <w:multiLevelType w:val="multilevel"/>
    <w:tmpl w:val="7E684258"/>
    <w:lvl w:ilvl="0" w:tentative="0">
      <w:start w:val="1"/>
      <w:numFmt w:val="decimal"/>
      <w:lvlText w:val="（%1）"/>
      <w:lvlJc w:val="left"/>
      <w:pPr>
        <w:ind w:left="1295" w:hanging="735"/>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514"/>
    <w:rsid w:val="000024C0"/>
    <w:rsid w:val="0000287C"/>
    <w:rsid w:val="0000305F"/>
    <w:rsid w:val="000058CD"/>
    <w:rsid w:val="00014A62"/>
    <w:rsid w:val="00014CED"/>
    <w:rsid w:val="00014D93"/>
    <w:rsid w:val="000160AB"/>
    <w:rsid w:val="00020DC0"/>
    <w:rsid w:val="00031CC7"/>
    <w:rsid w:val="00035FB4"/>
    <w:rsid w:val="00036FF1"/>
    <w:rsid w:val="00037D38"/>
    <w:rsid w:val="00041BFF"/>
    <w:rsid w:val="000427C6"/>
    <w:rsid w:val="00044FCB"/>
    <w:rsid w:val="00052696"/>
    <w:rsid w:val="00053782"/>
    <w:rsid w:val="00056922"/>
    <w:rsid w:val="0007060C"/>
    <w:rsid w:val="0007294B"/>
    <w:rsid w:val="00072E52"/>
    <w:rsid w:val="00086DA0"/>
    <w:rsid w:val="0009186B"/>
    <w:rsid w:val="00097B99"/>
    <w:rsid w:val="000A223C"/>
    <w:rsid w:val="000A3F57"/>
    <w:rsid w:val="000A6AF7"/>
    <w:rsid w:val="000A7DD8"/>
    <w:rsid w:val="000B134A"/>
    <w:rsid w:val="000C006D"/>
    <w:rsid w:val="000C62CF"/>
    <w:rsid w:val="000C669E"/>
    <w:rsid w:val="000C70A7"/>
    <w:rsid w:val="000D4F7B"/>
    <w:rsid w:val="000E61F6"/>
    <w:rsid w:val="000F506E"/>
    <w:rsid w:val="00102D60"/>
    <w:rsid w:val="00102E25"/>
    <w:rsid w:val="001235D7"/>
    <w:rsid w:val="001251F5"/>
    <w:rsid w:val="001315D7"/>
    <w:rsid w:val="001351E1"/>
    <w:rsid w:val="00137098"/>
    <w:rsid w:val="001439A2"/>
    <w:rsid w:val="00145A89"/>
    <w:rsid w:val="001506D6"/>
    <w:rsid w:val="0016026E"/>
    <w:rsid w:val="00161D9E"/>
    <w:rsid w:val="00170FCA"/>
    <w:rsid w:val="00173871"/>
    <w:rsid w:val="00191344"/>
    <w:rsid w:val="00192629"/>
    <w:rsid w:val="001A2D83"/>
    <w:rsid w:val="001B49E4"/>
    <w:rsid w:val="001B5984"/>
    <w:rsid w:val="001C1C0F"/>
    <w:rsid w:val="001C550F"/>
    <w:rsid w:val="001D103D"/>
    <w:rsid w:val="001D1914"/>
    <w:rsid w:val="001D6962"/>
    <w:rsid w:val="001E3B1F"/>
    <w:rsid w:val="001E6F39"/>
    <w:rsid w:val="001F30E3"/>
    <w:rsid w:val="001F3981"/>
    <w:rsid w:val="001F3A28"/>
    <w:rsid w:val="001F58CA"/>
    <w:rsid w:val="00207608"/>
    <w:rsid w:val="002115E2"/>
    <w:rsid w:val="00213DEF"/>
    <w:rsid w:val="00217716"/>
    <w:rsid w:val="0022218F"/>
    <w:rsid w:val="00225C01"/>
    <w:rsid w:val="00226F40"/>
    <w:rsid w:val="00236D49"/>
    <w:rsid w:val="002408EC"/>
    <w:rsid w:val="00244889"/>
    <w:rsid w:val="002572B9"/>
    <w:rsid w:val="0026120F"/>
    <w:rsid w:val="002653F9"/>
    <w:rsid w:val="002725DA"/>
    <w:rsid w:val="002728AE"/>
    <w:rsid w:val="0028682D"/>
    <w:rsid w:val="0029175A"/>
    <w:rsid w:val="002979A3"/>
    <w:rsid w:val="002A2429"/>
    <w:rsid w:val="002A2ABF"/>
    <w:rsid w:val="002A35BC"/>
    <w:rsid w:val="002B377E"/>
    <w:rsid w:val="002C703B"/>
    <w:rsid w:val="002D1A35"/>
    <w:rsid w:val="002E412B"/>
    <w:rsid w:val="002F220F"/>
    <w:rsid w:val="002F2DE0"/>
    <w:rsid w:val="002F55E1"/>
    <w:rsid w:val="002F6D6C"/>
    <w:rsid w:val="003000CC"/>
    <w:rsid w:val="00311C44"/>
    <w:rsid w:val="00313B80"/>
    <w:rsid w:val="0031709D"/>
    <w:rsid w:val="00320E00"/>
    <w:rsid w:val="003543B5"/>
    <w:rsid w:val="0037275E"/>
    <w:rsid w:val="0037428F"/>
    <w:rsid w:val="00377AF2"/>
    <w:rsid w:val="0038476B"/>
    <w:rsid w:val="00387DD9"/>
    <w:rsid w:val="003A2FA6"/>
    <w:rsid w:val="003A6BA9"/>
    <w:rsid w:val="003B11C7"/>
    <w:rsid w:val="003B2066"/>
    <w:rsid w:val="003C329B"/>
    <w:rsid w:val="003D022A"/>
    <w:rsid w:val="003D1D63"/>
    <w:rsid w:val="003D1F98"/>
    <w:rsid w:val="003D6E96"/>
    <w:rsid w:val="003E0147"/>
    <w:rsid w:val="003E49F6"/>
    <w:rsid w:val="003E57AD"/>
    <w:rsid w:val="003E5D93"/>
    <w:rsid w:val="00403E67"/>
    <w:rsid w:val="00407AA5"/>
    <w:rsid w:val="004114A8"/>
    <w:rsid w:val="00413341"/>
    <w:rsid w:val="004141BA"/>
    <w:rsid w:val="004161AD"/>
    <w:rsid w:val="00423701"/>
    <w:rsid w:val="004279E3"/>
    <w:rsid w:val="00430E76"/>
    <w:rsid w:val="00440D18"/>
    <w:rsid w:val="00451C87"/>
    <w:rsid w:val="00453CC6"/>
    <w:rsid w:val="00456946"/>
    <w:rsid w:val="004668D1"/>
    <w:rsid w:val="004709AE"/>
    <w:rsid w:val="00471950"/>
    <w:rsid w:val="00473981"/>
    <w:rsid w:val="0047472C"/>
    <w:rsid w:val="00475B6C"/>
    <w:rsid w:val="00476F10"/>
    <w:rsid w:val="0048163D"/>
    <w:rsid w:val="00481D2E"/>
    <w:rsid w:val="004941D2"/>
    <w:rsid w:val="004965CC"/>
    <w:rsid w:val="004A5962"/>
    <w:rsid w:val="004A73BD"/>
    <w:rsid w:val="004B050F"/>
    <w:rsid w:val="004C3726"/>
    <w:rsid w:val="004C6B83"/>
    <w:rsid w:val="004D24F1"/>
    <w:rsid w:val="004D6599"/>
    <w:rsid w:val="004E59C9"/>
    <w:rsid w:val="00502E22"/>
    <w:rsid w:val="00506349"/>
    <w:rsid w:val="00517EA7"/>
    <w:rsid w:val="005237D8"/>
    <w:rsid w:val="0052563C"/>
    <w:rsid w:val="005260AC"/>
    <w:rsid w:val="00531E8B"/>
    <w:rsid w:val="00532FE3"/>
    <w:rsid w:val="005367D4"/>
    <w:rsid w:val="00546BD3"/>
    <w:rsid w:val="005474AA"/>
    <w:rsid w:val="005540C5"/>
    <w:rsid w:val="00554C03"/>
    <w:rsid w:val="005564E8"/>
    <w:rsid w:val="00562B4E"/>
    <w:rsid w:val="0056669D"/>
    <w:rsid w:val="00567099"/>
    <w:rsid w:val="00586985"/>
    <w:rsid w:val="00586AB5"/>
    <w:rsid w:val="00594D1E"/>
    <w:rsid w:val="00595E62"/>
    <w:rsid w:val="0059628B"/>
    <w:rsid w:val="00596B08"/>
    <w:rsid w:val="005A5BC5"/>
    <w:rsid w:val="005B1158"/>
    <w:rsid w:val="005B1841"/>
    <w:rsid w:val="005C5A66"/>
    <w:rsid w:val="005C6CEF"/>
    <w:rsid w:val="005D7623"/>
    <w:rsid w:val="006473F9"/>
    <w:rsid w:val="00655769"/>
    <w:rsid w:val="00656609"/>
    <w:rsid w:val="00661AA1"/>
    <w:rsid w:val="006646C5"/>
    <w:rsid w:val="00665F68"/>
    <w:rsid w:val="00667BB2"/>
    <w:rsid w:val="0067259B"/>
    <w:rsid w:val="0068321A"/>
    <w:rsid w:val="00684372"/>
    <w:rsid w:val="006843EB"/>
    <w:rsid w:val="006952EA"/>
    <w:rsid w:val="006A7390"/>
    <w:rsid w:val="006B26B7"/>
    <w:rsid w:val="006B32E2"/>
    <w:rsid w:val="006B4CA4"/>
    <w:rsid w:val="006B6196"/>
    <w:rsid w:val="006C1D1E"/>
    <w:rsid w:val="006C3041"/>
    <w:rsid w:val="006C3A6F"/>
    <w:rsid w:val="006C4F40"/>
    <w:rsid w:val="006C5F6F"/>
    <w:rsid w:val="006C65E7"/>
    <w:rsid w:val="006C7686"/>
    <w:rsid w:val="006D019B"/>
    <w:rsid w:val="006E192C"/>
    <w:rsid w:val="006E3EF0"/>
    <w:rsid w:val="006F71B7"/>
    <w:rsid w:val="0070451B"/>
    <w:rsid w:val="007060AF"/>
    <w:rsid w:val="00717458"/>
    <w:rsid w:val="00721BCB"/>
    <w:rsid w:val="00721CBE"/>
    <w:rsid w:val="007309B4"/>
    <w:rsid w:val="00733E6C"/>
    <w:rsid w:val="007340E0"/>
    <w:rsid w:val="0074070C"/>
    <w:rsid w:val="00742482"/>
    <w:rsid w:val="007450CA"/>
    <w:rsid w:val="0076102D"/>
    <w:rsid w:val="007676DF"/>
    <w:rsid w:val="0078083D"/>
    <w:rsid w:val="007816D2"/>
    <w:rsid w:val="00785931"/>
    <w:rsid w:val="007872F6"/>
    <w:rsid w:val="00794137"/>
    <w:rsid w:val="007A15AA"/>
    <w:rsid w:val="007A4FC2"/>
    <w:rsid w:val="007A5F93"/>
    <w:rsid w:val="007A75B8"/>
    <w:rsid w:val="007B020C"/>
    <w:rsid w:val="007D6CF8"/>
    <w:rsid w:val="007E4131"/>
    <w:rsid w:val="007E480E"/>
    <w:rsid w:val="00801DCC"/>
    <w:rsid w:val="00802BBA"/>
    <w:rsid w:val="008047D2"/>
    <w:rsid w:val="00804A65"/>
    <w:rsid w:val="008254B2"/>
    <w:rsid w:val="00826706"/>
    <w:rsid w:val="00826F7B"/>
    <w:rsid w:val="00827ACA"/>
    <w:rsid w:val="008527DA"/>
    <w:rsid w:val="00855F8D"/>
    <w:rsid w:val="00856714"/>
    <w:rsid w:val="008642F4"/>
    <w:rsid w:val="008648F2"/>
    <w:rsid w:val="00866E9E"/>
    <w:rsid w:val="0087070E"/>
    <w:rsid w:val="00873B37"/>
    <w:rsid w:val="008756A4"/>
    <w:rsid w:val="00881EE4"/>
    <w:rsid w:val="00891D65"/>
    <w:rsid w:val="00894106"/>
    <w:rsid w:val="00894852"/>
    <w:rsid w:val="008A00AD"/>
    <w:rsid w:val="008A2350"/>
    <w:rsid w:val="008A3020"/>
    <w:rsid w:val="008A5E94"/>
    <w:rsid w:val="008A7709"/>
    <w:rsid w:val="008B13ED"/>
    <w:rsid w:val="008C510E"/>
    <w:rsid w:val="008C57C0"/>
    <w:rsid w:val="008D7F23"/>
    <w:rsid w:val="008E3AF3"/>
    <w:rsid w:val="008F2E73"/>
    <w:rsid w:val="008F5F7B"/>
    <w:rsid w:val="008F69CC"/>
    <w:rsid w:val="00903FD1"/>
    <w:rsid w:val="0091495B"/>
    <w:rsid w:val="00924D4A"/>
    <w:rsid w:val="00924DCB"/>
    <w:rsid w:val="0093446B"/>
    <w:rsid w:val="0094142C"/>
    <w:rsid w:val="009422AD"/>
    <w:rsid w:val="0094542F"/>
    <w:rsid w:val="009510A8"/>
    <w:rsid w:val="00961025"/>
    <w:rsid w:val="00963352"/>
    <w:rsid w:val="009651C2"/>
    <w:rsid w:val="00982C66"/>
    <w:rsid w:val="00984AF6"/>
    <w:rsid w:val="00992846"/>
    <w:rsid w:val="00996C63"/>
    <w:rsid w:val="009A0A8F"/>
    <w:rsid w:val="009A0CAE"/>
    <w:rsid w:val="009B083E"/>
    <w:rsid w:val="009B0AB9"/>
    <w:rsid w:val="009B2B34"/>
    <w:rsid w:val="009B3080"/>
    <w:rsid w:val="009B3DD4"/>
    <w:rsid w:val="009C052B"/>
    <w:rsid w:val="009C23EF"/>
    <w:rsid w:val="009C4788"/>
    <w:rsid w:val="009C6B85"/>
    <w:rsid w:val="009C7658"/>
    <w:rsid w:val="009E101E"/>
    <w:rsid w:val="009E2FE9"/>
    <w:rsid w:val="009E58D8"/>
    <w:rsid w:val="009E6164"/>
    <w:rsid w:val="009E68E3"/>
    <w:rsid w:val="009F4F0D"/>
    <w:rsid w:val="009F5189"/>
    <w:rsid w:val="00A02D18"/>
    <w:rsid w:val="00A06F79"/>
    <w:rsid w:val="00A079B3"/>
    <w:rsid w:val="00A22F3E"/>
    <w:rsid w:val="00A27B4C"/>
    <w:rsid w:val="00A320BF"/>
    <w:rsid w:val="00A35B52"/>
    <w:rsid w:val="00A4507F"/>
    <w:rsid w:val="00A56F6A"/>
    <w:rsid w:val="00A64472"/>
    <w:rsid w:val="00A717F6"/>
    <w:rsid w:val="00A80076"/>
    <w:rsid w:val="00A835EB"/>
    <w:rsid w:val="00A90984"/>
    <w:rsid w:val="00A91DEB"/>
    <w:rsid w:val="00A95C19"/>
    <w:rsid w:val="00AB4D36"/>
    <w:rsid w:val="00AC1E1F"/>
    <w:rsid w:val="00AC46B7"/>
    <w:rsid w:val="00AC58BC"/>
    <w:rsid w:val="00AE2AAD"/>
    <w:rsid w:val="00AF166E"/>
    <w:rsid w:val="00B01221"/>
    <w:rsid w:val="00B02F52"/>
    <w:rsid w:val="00B04C06"/>
    <w:rsid w:val="00B05D12"/>
    <w:rsid w:val="00B07F26"/>
    <w:rsid w:val="00B36DFF"/>
    <w:rsid w:val="00B4193E"/>
    <w:rsid w:val="00B52330"/>
    <w:rsid w:val="00B643ED"/>
    <w:rsid w:val="00B80489"/>
    <w:rsid w:val="00B8257D"/>
    <w:rsid w:val="00B86E85"/>
    <w:rsid w:val="00B927E9"/>
    <w:rsid w:val="00B93259"/>
    <w:rsid w:val="00B93583"/>
    <w:rsid w:val="00B96236"/>
    <w:rsid w:val="00BC04D4"/>
    <w:rsid w:val="00BC2B48"/>
    <w:rsid w:val="00BC669C"/>
    <w:rsid w:val="00BD6399"/>
    <w:rsid w:val="00BE3035"/>
    <w:rsid w:val="00BE3A3C"/>
    <w:rsid w:val="00BF08F9"/>
    <w:rsid w:val="00BF5750"/>
    <w:rsid w:val="00BF57CB"/>
    <w:rsid w:val="00BF7423"/>
    <w:rsid w:val="00BF7575"/>
    <w:rsid w:val="00C00437"/>
    <w:rsid w:val="00C12180"/>
    <w:rsid w:val="00C16A6F"/>
    <w:rsid w:val="00C16E06"/>
    <w:rsid w:val="00C16FD7"/>
    <w:rsid w:val="00C4640A"/>
    <w:rsid w:val="00C5044B"/>
    <w:rsid w:val="00C52E4B"/>
    <w:rsid w:val="00C52F7D"/>
    <w:rsid w:val="00C54AB9"/>
    <w:rsid w:val="00C60F3B"/>
    <w:rsid w:val="00C731E7"/>
    <w:rsid w:val="00C81A1C"/>
    <w:rsid w:val="00C86563"/>
    <w:rsid w:val="00CA09ED"/>
    <w:rsid w:val="00CA43F3"/>
    <w:rsid w:val="00CA4D9D"/>
    <w:rsid w:val="00CA7D20"/>
    <w:rsid w:val="00CB3C22"/>
    <w:rsid w:val="00CC7537"/>
    <w:rsid w:val="00CD2FE7"/>
    <w:rsid w:val="00CE21DC"/>
    <w:rsid w:val="00CE6009"/>
    <w:rsid w:val="00CF4595"/>
    <w:rsid w:val="00D04B4C"/>
    <w:rsid w:val="00D10976"/>
    <w:rsid w:val="00D140EE"/>
    <w:rsid w:val="00D14F99"/>
    <w:rsid w:val="00D17BEE"/>
    <w:rsid w:val="00D231D0"/>
    <w:rsid w:val="00D265FB"/>
    <w:rsid w:val="00D26A2A"/>
    <w:rsid w:val="00D4244A"/>
    <w:rsid w:val="00D6033B"/>
    <w:rsid w:val="00D614D7"/>
    <w:rsid w:val="00D64421"/>
    <w:rsid w:val="00D65F9C"/>
    <w:rsid w:val="00D7381A"/>
    <w:rsid w:val="00D7513E"/>
    <w:rsid w:val="00D76128"/>
    <w:rsid w:val="00D8491B"/>
    <w:rsid w:val="00D92015"/>
    <w:rsid w:val="00D93514"/>
    <w:rsid w:val="00DA0E94"/>
    <w:rsid w:val="00DA5F52"/>
    <w:rsid w:val="00DA615B"/>
    <w:rsid w:val="00DC1CBD"/>
    <w:rsid w:val="00DC1EB7"/>
    <w:rsid w:val="00DC4467"/>
    <w:rsid w:val="00DD2E80"/>
    <w:rsid w:val="00DE1BF7"/>
    <w:rsid w:val="00DE28C0"/>
    <w:rsid w:val="00DE377D"/>
    <w:rsid w:val="00DF3833"/>
    <w:rsid w:val="00DF77A4"/>
    <w:rsid w:val="00E0416A"/>
    <w:rsid w:val="00E10340"/>
    <w:rsid w:val="00E13CCE"/>
    <w:rsid w:val="00E14020"/>
    <w:rsid w:val="00E35135"/>
    <w:rsid w:val="00E36EC9"/>
    <w:rsid w:val="00E466FC"/>
    <w:rsid w:val="00E50E66"/>
    <w:rsid w:val="00E5191A"/>
    <w:rsid w:val="00E54AED"/>
    <w:rsid w:val="00E550BC"/>
    <w:rsid w:val="00E5599E"/>
    <w:rsid w:val="00E6077C"/>
    <w:rsid w:val="00E67A27"/>
    <w:rsid w:val="00E70A11"/>
    <w:rsid w:val="00E93CE4"/>
    <w:rsid w:val="00E967AC"/>
    <w:rsid w:val="00E97EE6"/>
    <w:rsid w:val="00EA15E8"/>
    <w:rsid w:val="00EA4198"/>
    <w:rsid w:val="00EA4850"/>
    <w:rsid w:val="00EB0948"/>
    <w:rsid w:val="00EC19E7"/>
    <w:rsid w:val="00EC778D"/>
    <w:rsid w:val="00EE39C8"/>
    <w:rsid w:val="00EE4780"/>
    <w:rsid w:val="00EE7366"/>
    <w:rsid w:val="00EF3DB5"/>
    <w:rsid w:val="00EF7C09"/>
    <w:rsid w:val="00F016E1"/>
    <w:rsid w:val="00F02B29"/>
    <w:rsid w:val="00F0426B"/>
    <w:rsid w:val="00F072E2"/>
    <w:rsid w:val="00F16FE2"/>
    <w:rsid w:val="00F17FF6"/>
    <w:rsid w:val="00F27456"/>
    <w:rsid w:val="00F36198"/>
    <w:rsid w:val="00F366B5"/>
    <w:rsid w:val="00F368CE"/>
    <w:rsid w:val="00F36EB5"/>
    <w:rsid w:val="00F46DD9"/>
    <w:rsid w:val="00F57BD9"/>
    <w:rsid w:val="00F66042"/>
    <w:rsid w:val="00F679CD"/>
    <w:rsid w:val="00F70946"/>
    <w:rsid w:val="00F70BD1"/>
    <w:rsid w:val="00F71AD3"/>
    <w:rsid w:val="00F74C22"/>
    <w:rsid w:val="00F81442"/>
    <w:rsid w:val="00F83399"/>
    <w:rsid w:val="00F855DE"/>
    <w:rsid w:val="00F91D37"/>
    <w:rsid w:val="00FA106F"/>
    <w:rsid w:val="00FB1EAD"/>
    <w:rsid w:val="00FB38A0"/>
    <w:rsid w:val="00FB539D"/>
    <w:rsid w:val="00FB6800"/>
    <w:rsid w:val="00FC3807"/>
    <w:rsid w:val="00FD0C37"/>
    <w:rsid w:val="00FD2BF1"/>
    <w:rsid w:val="00FE1FF4"/>
    <w:rsid w:val="00FE5D4F"/>
    <w:rsid w:val="00FE5E41"/>
    <w:rsid w:val="00FE616C"/>
    <w:rsid w:val="09A04EDA"/>
    <w:rsid w:val="5D505259"/>
    <w:rsid w:val="5F5171CA"/>
    <w:rsid w:val="6B2E3AEC"/>
    <w:rsid w:val="73CE6D47"/>
    <w:rsid w:val="7A125B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10"/>
    <w:semiHidden/>
    <w:unhideWhenUsed/>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uiPriority w:val="99"/>
    <w:rPr>
      <w:kern w:val="2"/>
      <w:sz w:val="18"/>
      <w:szCs w:val="18"/>
    </w:rPr>
  </w:style>
  <w:style w:type="character" w:customStyle="1" w:styleId="8">
    <w:name w:val="页脚 Char"/>
    <w:basedOn w:val="6"/>
    <w:link w:val="3"/>
    <w:uiPriority w:val="99"/>
    <w:rPr>
      <w:kern w:val="2"/>
      <w:sz w:val="18"/>
      <w:szCs w:val="18"/>
    </w:rPr>
  </w:style>
  <w:style w:type="paragraph" w:customStyle="1" w:styleId="9">
    <w:name w:val="修订1"/>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0">
    <w:name w:val="批注框文本 Char"/>
    <w:basedOn w:val="6"/>
    <w:link w:val="2"/>
    <w:semiHidden/>
    <w:qFormat/>
    <w:uiPriority w:val="99"/>
    <w:rPr>
      <w:kern w:val="2"/>
      <w:sz w:val="18"/>
      <w:szCs w:val="18"/>
    </w:rPr>
  </w:style>
  <w:style w:type="paragraph" w:styleId="11">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2F79BF-10E2-4A62-B542-3281E6E9948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10</Pages>
  <Words>723</Words>
  <Characters>4125</Characters>
  <Lines>34</Lines>
  <Paragraphs>9</Paragraphs>
  <TotalTime>2955</TotalTime>
  <ScaleCrop>false</ScaleCrop>
  <LinksUpToDate>false</LinksUpToDate>
  <CharactersWithSpaces>4839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2020-04-20T03:20:00Z</dcterms:created>
  <dc:creator>wyf</dc:creator>
  <cp:lastModifiedBy>Lenovo</cp:lastModifiedBy>
  <dcterms:modified xsi:type="dcterms:W3CDTF">2023-12-08T06:51:16Z</dcterms:modified>
  <cp:revision>372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