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ascii="宋体" w:hAnsi="宋体" w:eastAsia="宋体"/>
          <w:color w:val="000000"/>
          <w:kern w:val="2"/>
          <w:sz w:val="44"/>
          <w:szCs w:val="40"/>
          <w:highlight w:val="none"/>
          <w:lang w:val="en-US" w:eastAsia="zh-CN"/>
        </w:rPr>
      </w:pPr>
    </w:p>
    <w:p>
      <w:pPr>
        <w:rPr>
          <w:rFonts w:hint="eastAsia" w:ascii="宋体" w:hAnsi="宋体" w:eastAsia="宋体"/>
          <w:color w:val="000000"/>
          <w:kern w:val="2"/>
          <w:sz w:val="44"/>
          <w:szCs w:val="40"/>
          <w:highlight w:val="none"/>
          <w:lang w:val="en-US" w:eastAsia="zh-CN"/>
        </w:rPr>
      </w:pPr>
      <w:r>
        <w:rPr>
          <w:rFonts w:ascii="黑体" w:hAnsi="Adobe 黑体 Std R" w:eastAsia="黑体"/>
          <w:b/>
          <w:sz w:val="36"/>
          <w:szCs w:val="36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-22860</wp:posOffset>
                </wp:positionH>
                <wp:positionV relativeFrom="paragraph">
                  <wp:posOffset>300990</wp:posOffset>
                </wp:positionV>
                <wp:extent cx="5306695" cy="2442845"/>
                <wp:effectExtent l="0" t="0" r="0" b="0"/>
                <wp:wrapNone/>
                <wp:docPr id="40" name="Text Box 4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06695" cy="244284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pStyle w:val="8"/>
                              <w:pBdr>
                                <w:bottom w:val="none" w:color="auto" w:sz="0" w:space="0"/>
                              </w:pBdr>
                              <w:spacing w:line="312" w:lineRule="auto"/>
                              <w:ind w:left="420"/>
                              <w:rPr>
                                <w:rFonts w:hint="eastAsia" w:ascii="黑体" w:hAnsi="黑体" w:eastAsia="黑体"/>
                                <w:b/>
                                <w:color w:val="000000"/>
                                <w:sz w:val="48"/>
                                <w:szCs w:val="48"/>
                              </w:rPr>
                            </w:pPr>
                            <w:r>
                              <w:rPr>
                                <w:rFonts w:hint="eastAsia" w:ascii="黑体" w:hAnsi="黑体" w:eastAsia="黑体"/>
                                <w:b/>
                                <w:color w:val="000000"/>
                                <w:sz w:val="48"/>
                                <w:szCs w:val="48"/>
                              </w:rPr>
                              <w:t>鹿泉区李村镇镇域02单元（河北智慧物流产业园区）控制性详细规划</w:t>
                            </w:r>
                          </w:p>
                          <w:p>
                            <w:pPr>
                              <w:pStyle w:val="8"/>
                              <w:pBdr>
                                <w:bottom w:val="none" w:color="auto" w:sz="0" w:space="0"/>
                              </w:pBdr>
                              <w:spacing w:line="312" w:lineRule="auto"/>
                              <w:ind w:left="420"/>
                              <w:rPr>
                                <w:rFonts w:ascii="黑体" w:hAnsi="黑体" w:eastAsia="黑体"/>
                                <w:b/>
                                <w:color w:val="000000"/>
                                <w:sz w:val="48"/>
                                <w:szCs w:val="48"/>
                              </w:rPr>
                            </w:pPr>
                            <w:r>
                              <w:rPr>
                                <w:rFonts w:hint="eastAsia" w:ascii="黑体" w:hAnsi="黑体" w:eastAsia="黑体"/>
                                <w:b/>
                                <w:color w:val="000000"/>
                                <w:sz w:val="48"/>
                                <w:szCs w:val="48"/>
                              </w:rPr>
                              <w:t>（</w:t>
                            </w:r>
                            <w:r>
                              <w:rPr>
                                <w:rFonts w:hint="eastAsia" w:ascii="黑体" w:hAnsi="黑体" w:eastAsia="黑体"/>
                                <w:b/>
                                <w:color w:val="000000"/>
                                <w:sz w:val="48"/>
                                <w:szCs w:val="48"/>
                                <w:lang w:val="en-US" w:eastAsia="zh-CN"/>
                              </w:rPr>
                              <w:t>公示</w:t>
                            </w:r>
                            <w:r>
                              <w:rPr>
                                <w:rFonts w:hint="eastAsia" w:ascii="黑体" w:hAnsi="黑体" w:eastAsia="黑体"/>
                                <w:b/>
                                <w:color w:val="000000"/>
                                <w:sz w:val="48"/>
                                <w:szCs w:val="48"/>
                              </w:rPr>
                              <w:t>稿）</w:t>
                            </w:r>
                          </w:p>
                          <w:p>
                            <w:pPr>
                              <w:pStyle w:val="8"/>
                              <w:pBdr>
                                <w:bottom w:val="none" w:color="auto" w:sz="0" w:space="0"/>
                              </w:pBdr>
                              <w:spacing w:line="312" w:lineRule="auto"/>
                              <w:rPr>
                                <w:rFonts w:ascii="黑体" w:hAnsi="黑体" w:eastAsia="黑体"/>
                                <w:b/>
                                <w:sz w:val="48"/>
                                <w:szCs w:val="48"/>
                              </w:rPr>
                            </w:pPr>
                          </w:p>
                        </w:txbxContent>
                      </wps:txbx>
                      <wps:bodyPr rot="0" vert="horz" wrap="square" lIns="36000" tIns="36000" rIns="36000" bIns="36000" anchor="ctr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46" o:spid="_x0000_s1026" o:spt="202" type="#_x0000_t202" style="position:absolute;left:0pt;margin-left:-1.8pt;margin-top:23.7pt;height:192.35pt;width:417.85pt;z-index:251659264;v-text-anchor:middle;mso-width-relative:page;mso-height-relative:page;" filled="f" stroked="f" coordsize="21600,21600" o:gfxdata="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">
                <v:fill on="f" focussize="0,0"/>
                <v:stroke on="f"/>
                <v:imagedata o:title=""/>
                <o:lock v:ext="edit" aspectratio="f"/>
                <v:textbox inset="1mm,1mm,1mm,1mm">
                  <w:txbxContent>
                    <w:p>
                      <w:pPr>
                        <w:pStyle w:val="8"/>
                        <w:pBdr>
                          <w:bottom w:val="none" w:color="auto" w:sz="0" w:space="0"/>
                        </w:pBdr>
                        <w:spacing w:line="312" w:lineRule="auto"/>
                        <w:ind w:left="420"/>
                        <w:rPr>
                          <w:rFonts w:hint="eastAsia" w:ascii="黑体" w:hAnsi="黑体" w:eastAsia="黑体"/>
                          <w:b/>
                          <w:color w:val="000000"/>
                          <w:sz w:val="48"/>
                          <w:szCs w:val="48"/>
                        </w:rPr>
                      </w:pPr>
                      <w:r>
                        <w:rPr>
                          <w:rFonts w:hint="eastAsia" w:ascii="黑体" w:hAnsi="黑体" w:eastAsia="黑体"/>
                          <w:b/>
                          <w:color w:val="000000"/>
                          <w:sz w:val="48"/>
                          <w:szCs w:val="48"/>
                        </w:rPr>
                        <w:t>鹿泉区李村镇镇域02单元（河北智慧物流产业园区）控制性详细规划</w:t>
                      </w:r>
                    </w:p>
                    <w:p>
                      <w:pPr>
                        <w:pStyle w:val="8"/>
                        <w:pBdr>
                          <w:bottom w:val="none" w:color="auto" w:sz="0" w:space="0"/>
                        </w:pBdr>
                        <w:spacing w:line="312" w:lineRule="auto"/>
                        <w:ind w:left="420"/>
                        <w:rPr>
                          <w:rFonts w:ascii="黑体" w:hAnsi="黑体" w:eastAsia="黑体"/>
                          <w:b/>
                          <w:color w:val="000000"/>
                          <w:sz w:val="48"/>
                          <w:szCs w:val="48"/>
                        </w:rPr>
                      </w:pPr>
                      <w:r>
                        <w:rPr>
                          <w:rFonts w:hint="eastAsia" w:ascii="黑体" w:hAnsi="黑体" w:eastAsia="黑体"/>
                          <w:b/>
                          <w:color w:val="000000"/>
                          <w:sz w:val="48"/>
                          <w:szCs w:val="48"/>
                        </w:rPr>
                        <w:t>（</w:t>
                      </w:r>
                      <w:r>
                        <w:rPr>
                          <w:rFonts w:hint="eastAsia" w:ascii="黑体" w:hAnsi="黑体" w:eastAsia="黑体"/>
                          <w:b/>
                          <w:color w:val="000000"/>
                          <w:sz w:val="48"/>
                          <w:szCs w:val="48"/>
                          <w:lang w:val="en-US" w:eastAsia="zh-CN"/>
                        </w:rPr>
                        <w:t>公示</w:t>
                      </w:r>
                      <w:r>
                        <w:rPr>
                          <w:rFonts w:hint="eastAsia" w:ascii="黑体" w:hAnsi="黑体" w:eastAsia="黑体"/>
                          <w:b/>
                          <w:color w:val="000000"/>
                          <w:sz w:val="48"/>
                          <w:szCs w:val="48"/>
                        </w:rPr>
                        <w:t>稿）</w:t>
                      </w:r>
                    </w:p>
                    <w:p>
                      <w:pPr>
                        <w:pStyle w:val="8"/>
                        <w:pBdr>
                          <w:bottom w:val="none" w:color="auto" w:sz="0" w:space="0"/>
                        </w:pBdr>
                        <w:spacing w:line="312" w:lineRule="auto"/>
                        <w:rPr>
                          <w:rFonts w:ascii="黑体" w:hAnsi="黑体" w:eastAsia="黑体"/>
                          <w:b/>
                          <w:sz w:val="48"/>
                          <w:szCs w:val="4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>
      <w:pPr>
        <w:rPr>
          <w:rFonts w:hint="eastAsia" w:ascii="宋体" w:hAnsi="宋体" w:eastAsia="宋体"/>
          <w:color w:val="000000"/>
          <w:kern w:val="2"/>
          <w:sz w:val="44"/>
          <w:szCs w:val="40"/>
          <w:highlight w:val="none"/>
          <w:lang w:val="en-US" w:eastAsia="zh-CN"/>
        </w:rPr>
      </w:pPr>
    </w:p>
    <w:p>
      <w:pPr>
        <w:rPr>
          <w:rFonts w:hint="eastAsia" w:ascii="宋体" w:hAnsi="宋体" w:eastAsia="宋体"/>
          <w:color w:val="000000"/>
          <w:kern w:val="2"/>
          <w:sz w:val="44"/>
          <w:szCs w:val="40"/>
          <w:highlight w:val="none"/>
          <w:lang w:val="en-US" w:eastAsia="zh-CN"/>
        </w:rPr>
      </w:pPr>
      <w:r>
        <w:rPr>
          <w:rFonts w:hint="eastAsia" w:ascii="宋体" w:hAnsi="宋体" w:eastAsia="宋体"/>
          <w:color w:val="000000"/>
          <w:kern w:val="2"/>
          <w:sz w:val="44"/>
          <w:szCs w:val="40"/>
          <w:highlight w:val="none"/>
          <w:lang w:val="en-US" w:eastAsia="zh-CN"/>
        </w:rPr>
        <w:br w:type="page"/>
      </w:r>
      <w:r>
        <w:rPr>
          <w:rFonts w:ascii="黑体" w:hAnsi="Adobe 黑体 Std R" w:eastAsia="黑体"/>
          <w:b/>
          <w:sz w:val="36"/>
          <w:szCs w:val="36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1517015</wp:posOffset>
                </wp:positionH>
                <wp:positionV relativeFrom="paragraph">
                  <wp:posOffset>6932930</wp:posOffset>
                </wp:positionV>
                <wp:extent cx="2505710" cy="403860"/>
                <wp:effectExtent l="0" t="0" r="0" b="0"/>
                <wp:wrapNone/>
                <wp:docPr id="39" name="Text Box 4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505710" cy="4038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>
                            <w:pPr>
                              <w:pStyle w:val="8"/>
                              <w:pBdr>
                                <w:bottom w:val="none" w:color="auto" w:sz="0" w:space="0"/>
                              </w:pBdr>
                              <w:snapToGrid/>
                              <w:spacing w:line="312" w:lineRule="auto"/>
                              <w:rPr>
                                <w:rFonts w:hint="default" w:ascii="黑体" w:hAnsi="黑体" w:eastAsia="黑体"/>
                                <w:b/>
                                <w:color w:val="000000"/>
                                <w:sz w:val="32"/>
                                <w:szCs w:val="44"/>
                                <w:lang w:val="en-US" w:eastAsia="zh-CN"/>
                              </w:rPr>
                            </w:pPr>
                            <w:r>
                              <w:rPr>
                                <w:rFonts w:hint="eastAsia" w:ascii="黑体" w:hAnsi="黑体" w:eastAsia="黑体"/>
                                <w:b/>
                                <w:color w:val="000000"/>
                                <w:sz w:val="32"/>
                                <w:szCs w:val="44"/>
                              </w:rPr>
                              <w:t>20</w:t>
                            </w:r>
                            <w:r>
                              <w:rPr>
                                <w:rFonts w:ascii="黑体" w:hAnsi="黑体" w:eastAsia="黑体"/>
                                <w:b/>
                                <w:color w:val="000000"/>
                                <w:sz w:val="32"/>
                                <w:szCs w:val="44"/>
                              </w:rPr>
                              <w:t>23</w:t>
                            </w:r>
                            <w:r>
                              <w:rPr>
                                <w:rFonts w:hint="eastAsia" w:ascii="黑体" w:hAnsi="黑体" w:eastAsia="黑体"/>
                                <w:b/>
                                <w:color w:val="000000"/>
                                <w:sz w:val="32"/>
                                <w:szCs w:val="44"/>
                              </w:rPr>
                              <w:t>.</w:t>
                            </w:r>
                            <w:r>
                              <w:rPr>
                                <w:rFonts w:hint="eastAsia" w:ascii="黑体" w:hAnsi="黑体" w:eastAsia="黑体"/>
                                <w:b/>
                                <w:color w:val="000000"/>
                                <w:sz w:val="32"/>
                                <w:szCs w:val="44"/>
                                <w:lang w:val="en-US" w:eastAsia="zh-CN"/>
                              </w:rPr>
                              <w:t>12</w:t>
                            </w:r>
                          </w:p>
                        </w:txbxContent>
                      </wps:txbx>
                      <wps:bodyPr rot="0" vert="horz" wrap="square" lIns="36000" tIns="36000" rIns="36000" bIns="36000" anchor="ctr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id="Text Box 48" o:spid="_x0000_s1026" o:spt="202" type="#_x0000_t202" style="position:absolute;left:0pt;margin-left:119.45pt;margin-top:545.9pt;height:31.8pt;width:197.3pt;z-index:251660288;v-text-anchor:middle;mso-width-relative:page;mso-height-relative:page;" filled="f" stroked="f" coordsize="21600,21600" o:gfxdata="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">
                <v:fill on="f" focussize="0,0"/>
                <v:stroke on="f"/>
                <v:imagedata o:title=""/>
                <o:lock v:ext="edit" aspectratio="f"/>
                <v:textbox inset="1mm,1mm,1mm,1mm">
                  <w:txbxContent>
                    <w:p>
                      <w:pPr>
                        <w:pStyle w:val="8"/>
                        <w:pBdr>
                          <w:bottom w:val="none" w:color="auto" w:sz="0" w:space="0"/>
                        </w:pBdr>
                        <w:snapToGrid/>
                        <w:spacing w:line="312" w:lineRule="auto"/>
                        <w:rPr>
                          <w:rFonts w:hint="default" w:ascii="黑体" w:hAnsi="黑体" w:eastAsia="黑体"/>
                          <w:b/>
                          <w:color w:val="000000"/>
                          <w:sz w:val="32"/>
                          <w:szCs w:val="44"/>
                          <w:lang w:val="en-US" w:eastAsia="zh-CN"/>
                        </w:rPr>
                      </w:pPr>
                      <w:r>
                        <w:rPr>
                          <w:rFonts w:hint="eastAsia" w:ascii="黑体" w:hAnsi="黑体" w:eastAsia="黑体"/>
                          <w:b/>
                          <w:color w:val="000000"/>
                          <w:sz w:val="32"/>
                          <w:szCs w:val="44"/>
                        </w:rPr>
                        <w:t>20</w:t>
                      </w:r>
                      <w:r>
                        <w:rPr>
                          <w:rFonts w:ascii="黑体" w:hAnsi="黑体" w:eastAsia="黑体"/>
                          <w:b/>
                          <w:color w:val="000000"/>
                          <w:sz w:val="32"/>
                          <w:szCs w:val="44"/>
                        </w:rPr>
                        <w:t>23</w:t>
                      </w:r>
                      <w:r>
                        <w:rPr>
                          <w:rFonts w:hint="eastAsia" w:ascii="黑体" w:hAnsi="黑体" w:eastAsia="黑体"/>
                          <w:b/>
                          <w:color w:val="000000"/>
                          <w:sz w:val="32"/>
                          <w:szCs w:val="44"/>
                        </w:rPr>
                        <w:t>.</w:t>
                      </w:r>
                      <w:r>
                        <w:rPr>
                          <w:rFonts w:hint="eastAsia" w:ascii="黑体" w:hAnsi="黑体" w:eastAsia="黑体"/>
                          <w:b/>
                          <w:color w:val="000000"/>
                          <w:sz w:val="32"/>
                          <w:szCs w:val="44"/>
                          <w:lang w:val="en-US" w:eastAsia="zh-CN"/>
                        </w:rPr>
                        <w:t>12</w:t>
                      </w:r>
                    </w:p>
                  </w:txbxContent>
                </v:textbox>
              </v:shape>
            </w:pict>
          </mc:Fallback>
        </mc:AlternateContent>
      </w:r>
    </w:p>
    <w:p>
      <w:pPr>
        <w:pStyle w:val="4"/>
        <w:numPr>
          <w:ilvl w:val="0"/>
          <w:numId w:val="0"/>
        </w:numPr>
        <w:spacing w:before="156"/>
        <w:rPr>
          <w:rFonts w:hint="eastAsia" w:ascii="Calibri Light" w:hAnsi="Calibri Light" w:eastAsia="宋体" w:cs="Times New Roman"/>
          <w:sz w:val="24"/>
          <w:szCs w:val="24"/>
          <w:highlight w:val="none"/>
          <w:lang w:val="en-US" w:eastAsia="zh-CN"/>
        </w:rPr>
      </w:pPr>
      <w:r>
        <w:rPr>
          <w:rFonts w:hint="eastAsia" w:ascii="Calibri Light" w:hAnsi="Calibri Light" w:eastAsia="宋体" w:cs="Times New Roman"/>
          <w:sz w:val="24"/>
          <w:szCs w:val="24"/>
          <w:highlight w:val="none"/>
          <w:lang w:val="en-US" w:eastAsia="zh-CN"/>
        </w:rPr>
        <w:t>（一）规划范围和规模</w:t>
      </w:r>
    </w:p>
    <w:p>
      <w:pPr>
        <w:pStyle w:val="16"/>
        <w:adjustRightInd w:val="0"/>
        <w:snapToGrid w:val="0"/>
        <w:spacing w:line="540" w:lineRule="exact"/>
        <w:ind w:firstLine="560"/>
        <w:rPr>
          <w:color w:val="000000"/>
        </w:rPr>
      </w:pPr>
      <w:r>
        <w:rPr>
          <w:rFonts w:hint="eastAsia"/>
          <w:color w:val="000000"/>
        </w:rPr>
        <w:t>鹿泉区李村镇镇域</w:t>
      </w:r>
      <w:r>
        <w:rPr>
          <w:color w:val="000000"/>
        </w:rPr>
        <w:t>0</w:t>
      </w:r>
      <w:r>
        <w:rPr>
          <w:rFonts w:hint="eastAsia"/>
          <w:color w:val="000000"/>
        </w:rPr>
        <w:t>2</w:t>
      </w:r>
      <w:r>
        <w:rPr>
          <w:color w:val="000000"/>
        </w:rPr>
        <w:t>单元</w:t>
      </w:r>
      <w:r>
        <w:rPr>
          <w:rFonts w:hint="eastAsia"/>
          <w:color w:val="000000"/>
        </w:rPr>
        <w:t>（河北智慧物流园区）</w:t>
      </w:r>
      <w:r>
        <w:rPr>
          <w:color w:val="000000"/>
        </w:rPr>
        <w:t>地块位于</w:t>
      </w:r>
      <w:r>
        <w:rPr>
          <w:rFonts w:hint="eastAsia"/>
          <w:color w:val="000000"/>
        </w:rPr>
        <w:t>京赞线西侧、双同路两侧区域。</w:t>
      </w:r>
      <w:r>
        <w:rPr>
          <w:color w:val="000000"/>
        </w:rPr>
        <w:t>本次地块范围为东至</w:t>
      </w:r>
      <w:r>
        <w:rPr>
          <w:rFonts w:hint="eastAsia"/>
          <w:color w:val="000000"/>
        </w:rPr>
        <w:t>京赞线</w:t>
      </w:r>
      <w:r>
        <w:rPr>
          <w:color w:val="000000"/>
        </w:rPr>
        <w:t>、西至</w:t>
      </w:r>
      <w:r>
        <w:rPr>
          <w:rFonts w:hint="eastAsia"/>
          <w:color w:val="000000"/>
        </w:rPr>
        <w:t>山前路</w:t>
      </w:r>
      <w:r>
        <w:rPr>
          <w:color w:val="000000"/>
        </w:rPr>
        <w:t>、南至</w:t>
      </w:r>
      <w:r>
        <w:rPr>
          <w:rFonts w:hint="eastAsia"/>
          <w:color w:val="000000"/>
        </w:rPr>
        <w:t>规划一路</w:t>
      </w:r>
      <w:r>
        <w:rPr>
          <w:color w:val="000000"/>
        </w:rPr>
        <w:t>、北至</w:t>
      </w:r>
      <w:r>
        <w:rPr>
          <w:rFonts w:hint="eastAsia"/>
          <w:color w:val="000000"/>
        </w:rPr>
        <w:t>西柏坡高速辅路</w:t>
      </w:r>
      <w:r>
        <w:rPr>
          <w:color w:val="000000"/>
        </w:rPr>
        <w:t>，总</w:t>
      </w:r>
      <w:r>
        <w:rPr>
          <w:rFonts w:hint="eastAsia"/>
          <w:color w:val="000000"/>
        </w:rPr>
        <w:t>用地</w:t>
      </w:r>
      <w:r>
        <w:rPr>
          <w:color w:val="000000"/>
        </w:rPr>
        <w:t>面积119.62公顷。</w:t>
      </w:r>
    </w:p>
    <w:p>
      <w:pPr>
        <w:pStyle w:val="4"/>
        <w:numPr>
          <w:ilvl w:val="0"/>
          <w:numId w:val="0"/>
        </w:numPr>
        <w:spacing w:before="156"/>
        <w:rPr>
          <w:rFonts w:hint="eastAsia" w:ascii="Calibri Light" w:hAnsi="Calibri Light" w:eastAsia="宋体" w:cs="Times New Roman"/>
          <w:sz w:val="24"/>
          <w:szCs w:val="24"/>
          <w:highlight w:val="none"/>
          <w:lang w:val="en-US" w:eastAsia="zh-CN"/>
        </w:rPr>
      </w:pPr>
      <w:r>
        <w:rPr>
          <w:rFonts w:hint="eastAsia" w:ascii="Calibri Light" w:hAnsi="Calibri Light" w:eastAsia="宋体" w:cs="Times New Roman"/>
          <w:sz w:val="24"/>
          <w:szCs w:val="24"/>
          <w:highlight w:val="none"/>
          <w:lang w:val="en-US" w:eastAsia="zh-CN"/>
        </w:rPr>
        <w:t>（二）规划用地布局</w:t>
      </w:r>
    </w:p>
    <w:p>
      <w:pPr>
        <w:pStyle w:val="16"/>
        <w:adjustRightInd w:val="0"/>
        <w:snapToGrid w:val="0"/>
        <w:spacing w:line="540" w:lineRule="exact"/>
        <w:ind w:firstLine="560"/>
        <w:rPr>
          <w:rFonts w:hint="eastAsia"/>
          <w:color w:val="000000"/>
          <w:lang w:val="en-US" w:eastAsia="zh-CN"/>
        </w:rPr>
      </w:pPr>
      <w:r>
        <w:rPr>
          <w:rFonts w:hint="eastAsia"/>
          <w:color w:val="000000"/>
          <w:lang w:val="en-US" w:eastAsia="zh-CN"/>
        </w:rPr>
        <w:t>规划总用地面积约119.62公顷。其中：规划商业用地10.61公顷、公用设施营业网点用地1.33公顷、一类工业用地26.26公顷、一类物流仓储用地51.41公顷、铁路用地3.45公顷、城镇道路用地13.75公顷、社会停车场0.22公顷、水工设施用地0.28公顷、防护绿地7.63公顷、沟渠4.69公顷。</w:t>
      </w:r>
    </w:p>
    <w:p>
      <w:pPr>
        <w:jc w:val="center"/>
        <w:rPr>
          <w:rFonts w:hint="eastAsia"/>
          <w:lang w:val="en-US" w:eastAsia="zh-CN"/>
        </w:rPr>
      </w:pPr>
      <w:r>
        <w:rPr>
          <w:rFonts w:hint="eastAsia" w:ascii="Times New Roman" w:hAnsi="Times New Roman" w:eastAsia="宋体" w:cs="Times New Roman"/>
          <w:b/>
          <w:sz w:val="28"/>
          <w:szCs w:val="28"/>
        </w:rPr>
        <w:t>规划用地构成表</w:t>
      </w:r>
    </w:p>
    <w:tbl>
      <w:tblPr>
        <w:tblStyle w:val="10"/>
        <w:tblW w:w="4985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040"/>
        <w:gridCol w:w="1734"/>
        <w:gridCol w:w="2570"/>
        <w:gridCol w:w="1135"/>
        <w:gridCol w:w="2018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</w:trPr>
        <w:tc>
          <w:tcPr>
            <w:tcW w:w="1632" w:type="pct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/>
                <w:sz w:val="22"/>
                <w:szCs w:val="24"/>
              </w:rPr>
            </w:pPr>
            <w:r>
              <w:rPr>
                <w:rFonts w:hint="eastAsia"/>
                <w:sz w:val="22"/>
                <w:szCs w:val="24"/>
              </w:rPr>
              <w:t>用地代码</w:t>
            </w:r>
          </w:p>
        </w:tc>
        <w:tc>
          <w:tcPr>
            <w:tcW w:w="1512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/>
                <w:sz w:val="22"/>
                <w:szCs w:val="24"/>
              </w:rPr>
            </w:pPr>
            <w:r>
              <w:rPr>
                <w:rFonts w:hint="eastAsia"/>
                <w:sz w:val="22"/>
                <w:szCs w:val="24"/>
              </w:rPr>
              <w:t>用地名称</w:t>
            </w:r>
          </w:p>
        </w:tc>
        <w:tc>
          <w:tcPr>
            <w:tcW w:w="667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/>
                <w:sz w:val="22"/>
                <w:szCs w:val="24"/>
              </w:rPr>
            </w:pPr>
            <w:r>
              <w:rPr>
                <w:rFonts w:hint="eastAsia"/>
                <w:sz w:val="22"/>
                <w:szCs w:val="24"/>
              </w:rPr>
              <w:t>用地面积（公顷）</w:t>
            </w:r>
          </w:p>
        </w:tc>
        <w:tc>
          <w:tcPr>
            <w:tcW w:w="1187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/>
                <w:sz w:val="22"/>
                <w:szCs w:val="24"/>
              </w:rPr>
            </w:pPr>
            <w:r>
              <w:rPr>
                <w:rFonts w:hint="eastAsia"/>
                <w:sz w:val="22"/>
                <w:szCs w:val="24"/>
              </w:rPr>
              <w:t>占城镇建设用地比例（%）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</w:trPr>
        <w:tc>
          <w:tcPr>
            <w:tcW w:w="6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/>
                <w:sz w:val="22"/>
                <w:szCs w:val="24"/>
              </w:rPr>
            </w:pPr>
            <w:r>
              <w:rPr>
                <w:rFonts w:hint="eastAsia"/>
                <w:sz w:val="22"/>
                <w:szCs w:val="24"/>
              </w:rPr>
              <w:t>一级类</w:t>
            </w:r>
          </w:p>
        </w:tc>
        <w:tc>
          <w:tcPr>
            <w:tcW w:w="10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/>
                <w:sz w:val="22"/>
                <w:szCs w:val="24"/>
              </w:rPr>
            </w:pPr>
            <w:r>
              <w:rPr>
                <w:rFonts w:hint="eastAsia"/>
                <w:sz w:val="22"/>
                <w:szCs w:val="24"/>
              </w:rPr>
              <w:t>二级类/三级类</w:t>
            </w:r>
          </w:p>
        </w:tc>
        <w:tc>
          <w:tcPr>
            <w:tcW w:w="1512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/>
                <w:sz w:val="22"/>
                <w:szCs w:val="24"/>
              </w:rPr>
            </w:pPr>
          </w:p>
        </w:tc>
        <w:tc>
          <w:tcPr>
            <w:tcW w:w="66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/>
                <w:sz w:val="22"/>
                <w:szCs w:val="24"/>
              </w:rPr>
            </w:pPr>
          </w:p>
        </w:tc>
        <w:tc>
          <w:tcPr>
            <w:tcW w:w="1187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/>
                <w:sz w:val="22"/>
                <w:szCs w:val="24"/>
              </w:rPr>
            </w:pP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</w:trPr>
        <w:tc>
          <w:tcPr>
            <w:tcW w:w="611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/>
                <w:sz w:val="22"/>
                <w:szCs w:val="24"/>
              </w:rPr>
            </w:pPr>
            <w:r>
              <w:rPr>
                <w:rFonts w:hint="eastAsia"/>
                <w:sz w:val="22"/>
                <w:szCs w:val="24"/>
              </w:rPr>
              <w:t>09</w:t>
            </w:r>
          </w:p>
        </w:tc>
        <w:tc>
          <w:tcPr>
            <w:tcW w:w="10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/>
                <w:sz w:val="22"/>
                <w:szCs w:val="24"/>
              </w:rPr>
            </w:pPr>
            <w:r>
              <w:rPr>
                <w:rFonts w:hint="eastAsia"/>
                <w:sz w:val="22"/>
                <w:szCs w:val="24"/>
              </w:rPr>
              <w:t>0901</w:t>
            </w:r>
          </w:p>
        </w:tc>
        <w:tc>
          <w:tcPr>
            <w:tcW w:w="15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/>
                <w:sz w:val="22"/>
                <w:szCs w:val="24"/>
              </w:rPr>
            </w:pPr>
            <w:r>
              <w:rPr>
                <w:rFonts w:hint="eastAsia"/>
                <w:sz w:val="22"/>
                <w:szCs w:val="24"/>
              </w:rPr>
              <w:t>商业用地</w:t>
            </w:r>
          </w:p>
        </w:tc>
        <w:tc>
          <w:tcPr>
            <w:tcW w:w="6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/>
                <w:sz w:val="22"/>
                <w:szCs w:val="24"/>
              </w:rPr>
            </w:pPr>
            <w:r>
              <w:rPr>
                <w:rFonts w:hint="eastAsia"/>
                <w:sz w:val="22"/>
                <w:szCs w:val="24"/>
              </w:rPr>
              <w:t>10.61</w:t>
            </w:r>
          </w:p>
        </w:tc>
        <w:tc>
          <w:tcPr>
            <w:tcW w:w="11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/>
                <w:sz w:val="22"/>
                <w:szCs w:val="24"/>
              </w:rPr>
            </w:pPr>
            <w:r>
              <w:rPr>
                <w:rFonts w:hint="eastAsia"/>
                <w:sz w:val="22"/>
                <w:szCs w:val="24"/>
              </w:rPr>
              <w:t>9.23%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</w:trPr>
        <w:tc>
          <w:tcPr>
            <w:tcW w:w="611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/>
                <w:sz w:val="22"/>
                <w:szCs w:val="24"/>
              </w:rPr>
            </w:pPr>
          </w:p>
        </w:tc>
        <w:tc>
          <w:tcPr>
            <w:tcW w:w="10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/>
                <w:sz w:val="22"/>
                <w:szCs w:val="24"/>
              </w:rPr>
            </w:pPr>
            <w:r>
              <w:rPr>
                <w:rFonts w:hint="eastAsia"/>
                <w:sz w:val="22"/>
                <w:szCs w:val="24"/>
              </w:rPr>
              <w:t>090105</w:t>
            </w:r>
          </w:p>
        </w:tc>
        <w:tc>
          <w:tcPr>
            <w:tcW w:w="15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/>
                <w:sz w:val="22"/>
                <w:szCs w:val="24"/>
              </w:rPr>
            </w:pPr>
            <w:r>
              <w:rPr>
                <w:rFonts w:hint="eastAsia"/>
                <w:sz w:val="22"/>
                <w:szCs w:val="24"/>
              </w:rPr>
              <w:t>公用设施营业网点用地</w:t>
            </w:r>
          </w:p>
        </w:tc>
        <w:tc>
          <w:tcPr>
            <w:tcW w:w="6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/>
                <w:sz w:val="22"/>
                <w:szCs w:val="24"/>
              </w:rPr>
            </w:pPr>
            <w:r>
              <w:rPr>
                <w:rFonts w:hint="eastAsia"/>
                <w:sz w:val="22"/>
                <w:szCs w:val="24"/>
              </w:rPr>
              <w:t>1.33</w:t>
            </w:r>
          </w:p>
        </w:tc>
        <w:tc>
          <w:tcPr>
            <w:tcW w:w="11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/>
                <w:sz w:val="22"/>
                <w:szCs w:val="24"/>
              </w:rPr>
            </w:pPr>
            <w:r>
              <w:rPr>
                <w:rFonts w:hint="eastAsia"/>
                <w:sz w:val="22"/>
                <w:szCs w:val="24"/>
              </w:rPr>
              <w:t>1.16%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</w:trPr>
        <w:tc>
          <w:tcPr>
            <w:tcW w:w="6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/>
                <w:sz w:val="22"/>
                <w:szCs w:val="24"/>
              </w:rPr>
            </w:pPr>
            <w:r>
              <w:rPr>
                <w:rFonts w:hint="eastAsia"/>
                <w:sz w:val="22"/>
                <w:szCs w:val="24"/>
              </w:rPr>
              <w:t>10</w:t>
            </w:r>
          </w:p>
        </w:tc>
        <w:tc>
          <w:tcPr>
            <w:tcW w:w="10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/>
                <w:sz w:val="22"/>
                <w:szCs w:val="24"/>
              </w:rPr>
            </w:pPr>
            <w:r>
              <w:rPr>
                <w:rFonts w:hint="eastAsia"/>
                <w:sz w:val="22"/>
                <w:szCs w:val="24"/>
              </w:rPr>
              <w:t>100101</w:t>
            </w:r>
          </w:p>
        </w:tc>
        <w:tc>
          <w:tcPr>
            <w:tcW w:w="15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/>
                <w:sz w:val="22"/>
                <w:szCs w:val="24"/>
              </w:rPr>
            </w:pPr>
            <w:r>
              <w:rPr>
                <w:rFonts w:hint="eastAsia"/>
                <w:sz w:val="22"/>
                <w:szCs w:val="24"/>
              </w:rPr>
              <w:t>一类工业用地</w:t>
            </w:r>
          </w:p>
        </w:tc>
        <w:tc>
          <w:tcPr>
            <w:tcW w:w="6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/>
                <w:sz w:val="22"/>
                <w:szCs w:val="24"/>
              </w:rPr>
            </w:pPr>
            <w:r>
              <w:rPr>
                <w:rFonts w:hint="eastAsia"/>
                <w:sz w:val="22"/>
                <w:szCs w:val="24"/>
              </w:rPr>
              <w:t>26.26</w:t>
            </w:r>
          </w:p>
        </w:tc>
        <w:tc>
          <w:tcPr>
            <w:tcW w:w="11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/>
                <w:sz w:val="22"/>
                <w:szCs w:val="24"/>
              </w:rPr>
            </w:pPr>
            <w:r>
              <w:rPr>
                <w:rFonts w:hint="eastAsia"/>
                <w:sz w:val="22"/>
                <w:szCs w:val="24"/>
              </w:rPr>
              <w:t>22.85%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</w:trPr>
        <w:tc>
          <w:tcPr>
            <w:tcW w:w="6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/>
                <w:sz w:val="22"/>
                <w:szCs w:val="24"/>
              </w:rPr>
            </w:pPr>
            <w:r>
              <w:rPr>
                <w:rFonts w:hint="eastAsia"/>
                <w:sz w:val="22"/>
                <w:szCs w:val="24"/>
              </w:rPr>
              <w:t>11</w:t>
            </w:r>
          </w:p>
        </w:tc>
        <w:tc>
          <w:tcPr>
            <w:tcW w:w="10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/>
                <w:sz w:val="22"/>
                <w:szCs w:val="24"/>
              </w:rPr>
            </w:pPr>
            <w:r>
              <w:rPr>
                <w:rFonts w:hint="eastAsia"/>
                <w:sz w:val="22"/>
                <w:szCs w:val="24"/>
              </w:rPr>
              <w:t>110101</w:t>
            </w:r>
          </w:p>
        </w:tc>
        <w:tc>
          <w:tcPr>
            <w:tcW w:w="15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/>
                <w:sz w:val="22"/>
                <w:szCs w:val="24"/>
              </w:rPr>
            </w:pPr>
            <w:r>
              <w:rPr>
                <w:rFonts w:hint="eastAsia"/>
                <w:sz w:val="22"/>
                <w:szCs w:val="24"/>
              </w:rPr>
              <w:t>一类物流仓储用地</w:t>
            </w:r>
          </w:p>
        </w:tc>
        <w:tc>
          <w:tcPr>
            <w:tcW w:w="6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/>
                <w:sz w:val="22"/>
                <w:szCs w:val="24"/>
              </w:rPr>
            </w:pPr>
            <w:r>
              <w:rPr>
                <w:rFonts w:hint="eastAsia"/>
                <w:sz w:val="22"/>
                <w:szCs w:val="24"/>
              </w:rPr>
              <w:t>51.41</w:t>
            </w:r>
          </w:p>
        </w:tc>
        <w:tc>
          <w:tcPr>
            <w:tcW w:w="11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/>
                <w:sz w:val="22"/>
                <w:szCs w:val="24"/>
              </w:rPr>
            </w:pPr>
            <w:r>
              <w:rPr>
                <w:rFonts w:hint="eastAsia"/>
                <w:sz w:val="22"/>
                <w:szCs w:val="24"/>
              </w:rPr>
              <w:t>44.75%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</w:trPr>
        <w:tc>
          <w:tcPr>
            <w:tcW w:w="611" w:type="pct"/>
            <w:vMerge w:val="restar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/>
                <w:sz w:val="22"/>
                <w:szCs w:val="24"/>
              </w:rPr>
            </w:pPr>
            <w:r>
              <w:rPr>
                <w:rFonts w:hint="eastAsia"/>
                <w:sz w:val="22"/>
                <w:szCs w:val="24"/>
              </w:rPr>
              <w:t>12</w:t>
            </w:r>
          </w:p>
        </w:tc>
        <w:tc>
          <w:tcPr>
            <w:tcW w:w="10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/>
                <w:sz w:val="22"/>
                <w:szCs w:val="24"/>
              </w:rPr>
            </w:pPr>
            <w:r>
              <w:rPr>
                <w:rFonts w:hint="eastAsia"/>
                <w:sz w:val="22"/>
                <w:szCs w:val="24"/>
              </w:rPr>
              <w:t>1201</w:t>
            </w:r>
          </w:p>
        </w:tc>
        <w:tc>
          <w:tcPr>
            <w:tcW w:w="15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/>
                <w:sz w:val="22"/>
                <w:szCs w:val="24"/>
              </w:rPr>
            </w:pPr>
            <w:r>
              <w:rPr>
                <w:rFonts w:hint="eastAsia"/>
                <w:sz w:val="22"/>
                <w:szCs w:val="24"/>
              </w:rPr>
              <w:t>铁路用地</w:t>
            </w:r>
          </w:p>
        </w:tc>
        <w:tc>
          <w:tcPr>
            <w:tcW w:w="6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/>
                <w:sz w:val="22"/>
                <w:szCs w:val="24"/>
              </w:rPr>
            </w:pPr>
            <w:r>
              <w:rPr>
                <w:rFonts w:hint="eastAsia"/>
                <w:sz w:val="22"/>
                <w:szCs w:val="24"/>
              </w:rPr>
              <w:t>3.45</w:t>
            </w:r>
          </w:p>
        </w:tc>
        <w:tc>
          <w:tcPr>
            <w:tcW w:w="11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/>
                <w:sz w:val="22"/>
                <w:szCs w:val="24"/>
              </w:rPr>
            </w:pPr>
            <w:r>
              <w:rPr>
                <w:rFonts w:hint="eastAsia"/>
                <w:sz w:val="22"/>
                <w:szCs w:val="24"/>
              </w:rPr>
              <w:t>3.00%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</w:trPr>
        <w:tc>
          <w:tcPr>
            <w:tcW w:w="611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/>
                <w:sz w:val="22"/>
                <w:szCs w:val="24"/>
              </w:rPr>
            </w:pPr>
          </w:p>
        </w:tc>
        <w:tc>
          <w:tcPr>
            <w:tcW w:w="10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/>
                <w:sz w:val="22"/>
                <w:szCs w:val="24"/>
              </w:rPr>
            </w:pPr>
            <w:r>
              <w:rPr>
                <w:rFonts w:hint="eastAsia"/>
                <w:sz w:val="22"/>
                <w:szCs w:val="24"/>
              </w:rPr>
              <w:t>1207</w:t>
            </w:r>
          </w:p>
        </w:tc>
        <w:tc>
          <w:tcPr>
            <w:tcW w:w="15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/>
                <w:sz w:val="22"/>
                <w:szCs w:val="24"/>
              </w:rPr>
            </w:pPr>
            <w:r>
              <w:rPr>
                <w:rFonts w:hint="eastAsia"/>
                <w:sz w:val="22"/>
                <w:szCs w:val="24"/>
              </w:rPr>
              <w:t>城镇道路用地</w:t>
            </w:r>
          </w:p>
        </w:tc>
        <w:tc>
          <w:tcPr>
            <w:tcW w:w="6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/>
                <w:sz w:val="22"/>
                <w:szCs w:val="24"/>
              </w:rPr>
            </w:pPr>
            <w:r>
              <w:rPr>
                <w:rFonts w:hint="eastAsia"/>
                <w:sz w:val="22"/>
                <w:szCs w:val="24"/>
              </w:rPr>
              <w:t>13.75</w:t>
            </w:r>
          </w:p>
        </w:tc>
        <w:tc>
          <w:tcPr>
            <w:tcW w:w="11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/>
                <w:sz w:val="22"/>
                <w:szCs w:val="24"/>
              </w:rPr>
            </w:pPr>
            <w:r>
              <w:rPr>
                <w:rFonts w:hint="eastAsia"/>
                <w:sz w:val="22"/>
                <w:szCs w:val="24"/>
              </w:rPr>
              <w:t>11.97%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</w:trPr>
        <w:tc>
          <w:tcPr>
            <w:tcW w:w="611" w:type="pct"/>
            <w:vMerge w:val="continue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/>
                <w:sz w:val="22"/>
                <w:szCs w:val="24"/>
              </w:rPr>
            </w:pPr>
          </w:p>
        </w:tc>
        <w:tc>
          <w:tcPr>
            <w:tcW w:w="10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/>
                <w:sz w:val="22"/>
                <w:szCs w:val="24"/>
              </w:rPr>
            </w:pPr>
            <w:r>
              <w:rPr>
                <w:rFonts w:hint="eastAsia"/>
                <w:sz w:val="22"/>
                <w:szCs w:val="24"/>
              </w:rPr>
              <w:t>120803</w:t>
            </w:r>
          </w:p>
        </w:tc>
        <w:tc>
          <w:tcPr>
            <w:tcW w:w="15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/>
                <w:sz w:val="22"/>
                <w:szCs w:val="24"/>
              </w:rPr>
            </w:pPr>
            <w:r>
              <w:rPr>
                <w:rFonts w:hint="eastAsia"/>
                <w:sz w:val="22"/>
                <w:szCs w:val="24"/>
              </w:rPr>
              <w:t>社会停车场</w:t>
            </w:r>
          </w:p>
        </w:tc>
        <w:tc>
          <w:tcPr>
            <w:tcW w:w="6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/>
                <w:sz w:val="22"/>
                <w:szCs w:val="24"/>
              </w:rPr>
            </w:pPr>
            <w:r>
              <w:rPr>
                <w:rFonts w:hint="eastAsia"/>
                <w:sz w:val="22"/>
                <w:szCs w:val="24"/>
              </w:rPr>
              <w:t>0.22</w:t>
            </w:r>
          </w:p>
        </w:tc>
        <w:tc>
          <w:tcPr>
            <w:tcW w:w="11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/>
                <w:sz w:val="22"/>
                <w:szCs w:val="24"/>
              </w:rPr>
            </w:pPr>
            <w:r>
              <w:rPr>
                <w:rFonts w:hint="eastAsia"/>
                <w:sz w:val="22"/>
                <w:szCs w:val="24"/>
              </w:rPr>
              <w:t>0.19%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</w:trPr>
        <w:tc>
          <w:tcPr>
            <w:tcW w:w="6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/>
                <w:sz w:val="22"/>
                <w:szCs w:val="24"/>
              </w:rPr>
            </w:pPr>
            <w:r>
              <w:rPr>
                <w:rFonts w:hint="eastAsia"/>
                <w:sz w:val="22"/>
                <w:szCs w:val="24"/>
              </w:rPr>
              <w:t>13</w:t>
            </w:r>
          </w:p>
        </w:tc>
        <w:tc>
          <w:tcPr>
            <w:tcW w:w="10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/>
                <w:sz w:val="22"/>
                <w:szCs w:val="24"/>
              </w:rPr>
            </w:pPr>
            <w:r>
              <w:rPr>
                <w:rFonts w:hint="eastAsia"/>
                <w:sz w:val="22"/>
                <w:szCs w:val="24"/>
              </w:rPr>
              <w:t>1312</w:t>
            </w:r>
          </w:p>
        </w:tc>
        <w:tc>
          <w:tcPr>
            <w:tcW w:w="15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/>
                <w:sz w:val="22"/>
                <w:szCs w:val="24"/>
              </w:rPr>
            </w:pPr>
            <w:r>
              <w:rPr>
                <w:rFonts w:hint="eastAsia"/>
                <w:sz w:val="22"/>
                <w:szCs w:val="24"/>
              </w:rPr>
              <w:t>水工设施用地</w:t>
            </w:r>
          </w:p>
        </w:tc>
        <w:tc>
          <w:tcPr>
            <w:tcW w:w="6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/>
                <w:sz w:val="22"/>
                <w:szCs w:val="24"/>
              </w:rPr>
            </w:pPr>
            <w:r>
              <w:rPr>
                <w:rFonts w:hint="eastAsia"/>
                <w:sz w:val="22"/>
                <w:szCs w:val="24"/>
              </w:rPr>
              <w:t>0.28</w:t>
            </w:r>
          </w:p>
        </w:tc>
        <w:tc>
          <w:tcPr>
            <w:tcW w:w="11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/>
                <w:sz w:val="22"/>
                <w:szCs w:val="24"/>
              </w:rPr>
            </w:pPr>
            <w:r>
              <w:rPr>
                <w:rFonts w:hint="eastAsia"/>
                <w:sz w:val="22"/>
                <w:szCs w:val="24"/>
              </w:rPr>
              <w:t>0.24%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</w:trPr>
        <w:tc>
          <w:tcPr>
            <w:tcW w:w="611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/>
                <w:sz w:val="22"/>
                <w:szCs w:val="24"/>
              </w:rPr>
            </w:pPr>
            <w:r>
              <w:rPr>
                <w:rFonts w:hint="eastAsia"/>
                <w:sz w:val="22"/>
                <w:szCs w:val="24"/>
              </w:rPr>
              <w:t>14</w:t>
            </w:r>
          </w:p>
        </w:tc>
        <w:tc>
          <w:tcPr>
            <w:tcW w:w="1020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/>
                <w:sz w:val="22"/>
                <w:szCs w:val="24"/>
              </w:rPr>
            </w:pPr>
            <w:r>
              <w:rPr>
                <w:rFonts w:hint="eastAsia"/>
                <w:sz w:val="22"/>
                <w:szCs w:val="24"/>
              </w:rPr>
              <w:t>1402</w:t>
            </w:r>
          </w:p>
        </w:tc>
        <w:tc>
          <w:tcPr>
            <w:tcW w:w="1512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/>
                <w:sz w:val="22"/>
                <w:szCs w:val="24"/>
              </w:rPr>
            </w:pPr>
            <w:r>
              <w:rPr>
                <w:rFonts w:hint="eastAsia"/>
                <w:sz w:val="22"/>
                <w:szCs w:val="24"/>
              </w:rPr>
              <w:t>防护绿地</w:t>
            </w:r>
          </w:p>
        </w:tc>
        <w:tc>
          <w:tcPr>
            <w:tcW w:w="6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/>
                <w:sz w:val="22"/>
                <w:szCs w:val="24"/>
              </w:rPr>
            </w:pPr>
            <w:r>
              <w:rPr>
                <w:rFonts w:hint="eastAsia"/>
                <w:sz w:val="22"/>
                <w:szCs w:val="24"/>
              </w:rPr>
              <w:t>7.63</w:t>
            </w:r>
          </w:p>
        </w:tc>
        <w:tc>
          <w:tcPr>
            <w:tcW w:w="11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/>
                <w:sz w:val="22"/>
                <w:szCs w:val="24"/>
              </w:rPr>
            </w:pPr>
            <w:r>
              <w:rPr>
                <w:rFonts w:hint="eastAsia"/>
                <w:sz w:val="22"/>
                <w:szCs w:val="24"/>
              </w:rPr>
              <w:t>6.64%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</w:trPr>
        <w:tc>
          <w:tcPr>
            <w:tcW w:w="3144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/>
                <w:sz w:val="22"/>
                <w:szCs w:val="24"/>
              </w:rPr>
            </w:pPr>
            <w:r>
              <w:rPr>
                <w:rFonts w:hint="eastAsia"/>
                <w:sz w:val="22"/>
                <w:szCs w:val="24"/>
              </w:rPr>
              <w:t>城镇建设用地面积合计</w:t>
            </w:r>
          </w:p>
        </w:tc>
        <w:tc>
          <w:tcPr>
            <w:tcW w:w="6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/>
                <w:sz w:val="22"/>
                <w:szCs w:val="24"/>
              </w:rPr>
            </w:pPr>
            <w:r>
              <w:rPr>
                <w:rFonts w:hint="eastAsia"/>
                <w:sz w:val="22"/>
                <w:szCs w:val="24"/>
              </w:rPr>
              <w:t>114.94</w:t>
            </w:r>
          </w:p>
        </w:tc>
        <w:tc>
          <w:tcPr>
            <w:tcW w:w="11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/>
                <w:sz w:val="22"/>
                <w:szCs w:val="24"/>
              </w:rPr>
            </w:pPr>
            <w:r>
              <w:rPr>
                <w:rFonts w:hint="eastAsia"/>
                <w:sz w:val="22"/>
                <w:szCs w:val="24"/>
              </w:rPr>
              <w:t>100.00%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89" w:hRule="atLeast"/>
        </w:trPr>
        <w:tc>
          <w:tcPr>
            <w:tcW w:w="3144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/>
                <w:sz w:val="22"/>
                <w:szCs w:val="24"/>
              </w:rPr>
            </w:pPr>
            <w:r>
              <w:rPr>
                <w:rFonts w:hint="eastAsia"/>
                <w:sz w:val="22"/>
                <w:szCs w:val="24"/>
              </w:rPr>
              <w:t>沟渠</w:t>
            </w:r>
          </w:p>
        </w:tc>
        <w:tc>
          <w:tcPr>
            <w:tcW w:w="6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/>
                <w:sz w:val="22"/>
                <w:szCs w:val="24"/>
              </w:rPr>
            </w:pPr>
            <w:r>
              <w:rPr>
                <w:rFonts w:hint="eastAsia"/>
                <w:sz w:val="22"/>
                <w:szCs w:val="24"/>
              </w:rPr>
              <w:t>4.69</w:t>
            </w:r>
          </w:p>
        </w:tc>
        <w:tc>
          <w:tcPr>
            <w:tcW w:w="11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/>
                <w:sz w:val="22"/>
                <w:szCs w:val="24"/>
              </w:rPr>
            </w:pPr>
            <w:r>
              <w:rPr>
                <w:rFonts w:hint="eastAsia"/>
                <w:sz w:val="22"/>
                <w:szCs w:val="24"/>
              </w:rPr>
              <w:t>-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16" w:hRule="atLeast"/>
        </w:trPr>
        <w:tc>
          <w:tcPr>
            <w:tcW w:w="3144" w:type="pct"/>
            <w:gridSpan w:val="3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/>
                <w:sz w:val="22"/>
                <w:szCs w:val="24"/>
              </w:rPr>
            </w:pPr>
            <w:r>
              <w:rPr>
                <w:rFonts w:hint="eastAsia"/>
                <w:sz w:val="22"/>
                <w:szCs w:val="24"/>
              </w:rPr>
              <w:t>规划范围总面积</w:t>
            </w:r>
          </w:p>
        </w:tc>
        <w:tc>
          <w:tcPr>
            <w:tcW w:w="66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/>
                <w:sz w:val="22"/>
                <w:szCs w:val="24"/>
              </w:rPr>
            </w:pPr>
            <w:r>
              <w:rPr>
                <w:rFonts w:hint="eastAsia"/>
                <w:sz w:val="22"/>
                <w:szCs w:val="24"/>
              </w:rPr>
              <w:t>119.62</w:t>
            </w:r>
          </w:p>
        </w:tc>
        <w:tc>
          <w:tcPr>
            <w:tcW w:w="1187" w:type="pct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/>
            <w:vAlign w:val="center"/>
          </w:tcPr>
          <w:p>
            <w:pPr>
              <w:pStyle w:val="16"/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after="0" w:line="440" w:lineRule="exact"/>
              <w:ind w:left="0" w:leftChars="0" w:firstLine="0" w:firstLineChars="0"/>
              <w:jc w:val="center"/>
              <w:textAlignment w:val="auto"/>
              <w:rPr>
                <w:rFonts w:hint="eastAsia"/>
                <w:sz w:val="22"/>
                <w:szCs w:val="24"/>
              </w:rPr>
            </w:pPr>
            <w:r>
              <w:rPr>
                <w:rFonts w:hint="eastAsia"/>
                <w:sz w:val="22"/>
                <w:szCs w:val="24"/>
              </w:rPr>
              <w:t>-</w:t>
            </w:r>
          </w:p>
        </w:tc>
      </w:tr>
    </w:tbl>
    <w:p>
      <w:pPr>
        <w:pStyle w:val="9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0" w:firstLineChars="0"/>
        <w:textAlignment w:val="auto"/>
        <w:rPr>
          <w:rFonts w:hint="eastAsia"/>
          <w:lang w:val="en-US" w:eastAsia="zh-CN"/>
        </w:rPr>
      </w:pPr>
      <w:bookmarkStart w:id="0" w:name="_GoBack"/>
      <w:r>
        <w:rPr>
          <w:rFonts w:hint="eastAsia"/>
          <w:lang w:val="en-US" w:eastAsia="zh-CN"/>
        </w:rPr>
        <w:drawing>
          <wp:anchor distT="0" distB="0" distL="114300" distR="114300" simplePos="0" relativeHeight="251661312" behindDoc="0" locked="0" layoutInCell="1" allowOverlap="1">
            <wp:simplePos x="0" y="0"/>
            <wp:positionH relativeFrom="column">
              <wp:posOffset>-41275</wp:posOffset>
            </wp:positionH>
            <wp:positionV relativeFrom="paragraph">
              <wp:posOffset>24130</wp:posOffset>
            </wp:positionV>
            <wp:extent cx="5264150" cy="3723640"/>
            <wp:effectExtent l="0" t="0" r="12700" b="10160"/>
            <wp:wrapTopAndBottom/>
            <wp:docPr id="3" name="图片 3" descr="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1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4150" cy="37236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End w:id="0"/>
    </w:p>
    <w:p>
      <w:pPr>
        <w:pStyle w:val="9"/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ind w:firstLine="0" w:firstLineChars="0"/>
        <w:textAlignment w:val="auto"/>
        <w:rPr>
          <w:rFonts w:hint="eastAsia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E0002AFF" w:usb1="C0007841" w:usb2="00000009" w:usb3="00000000" w:csb0="400001FF" w:csb1="FFFF0000"/>
  </w:font>
  <w:font w:name="宋体">
    <w:panose1 w:val="02010600030101010101"/>
    <w:charset w:val="7A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Adobe 黑体 Std R">
    <w:panose1 w:val="020B0400000000000000"/>
    <w:charset w:val="86"/>
    <w:family w:val="swiss"/>
    <w:pitch w:val="default"/>
    <w:sig w:usb0="00000001" w:usb1="0A0F1810" w:usb2="00000016" w:usb3="00000000" w:csb0="00060007" w:csb1="00000000"/>
  </w:font>
  <w:font w:name="Calibri Light">
    <w:altName w:val="Calibri"/>
    <w:panose1 w:val="020F0302020204030204"/>
    <w:charset w:val="00"/>
    <w:family w:val="swiss"/>
    <w:pitch w:val="default"/>
    <w:sig w:usb0="00000000" w:usb1="00000000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A743A9C"/>
    <w:multiLevelType w:val="multilevel"/>
    <w:tmpl w:val="8A743A9C"/>
    <w:lvl w:ilvl="0" w:tentative="0">
      <w:start w:val="1"/>
      <w:numFmt w:val="chineseCounting"/>
      <w:pStyle w:val="3"/>
      <w:suff w:val="nothing"/>
      <w:lvlText w:val="%1、"/>
      <w:lvlJc w:val="left"/>
      <w:pPr>
        <w:ind w:left="0" w:firstLine="0"/>
      </w:pPr>
      <w:rPr>
        <w:rFonts w:hint="eastAsia"/>
      </w:rPr>
    </w:lvl>
    <w:lvl w:ilvl="1" w:tentative="0">
      <w:start w:val="1"/>
      <w:numFmt w:val="chineseCounting"/>
      <w:suff w:val="nothing"/>
      <w:lvlText w:val="（%2）"/>
      <w:lvlJc w:val="left"/>
      <w:pPr>
        <w:ind w:left="0" w:firstLine="0"/>
      </w:pPr>
      <w:rPr>
        <w:rFonts w:hint="eastAsia"/>
      </w:rPr>
    </w:lvl>
    <w:lvl w:ilvl="2" w:tentative="0">
      <w:start w:val="1"/>
      <w:numFmt w:val="decimal"/>
      <w:suff w:val="nothing"/>
      <w:lvlText w:val="%3．"/>
      <w:lvlJc w:val="left"/>
      <w:pPr>
        <w:ind w:left="0" w:firstLine="400"/>
      </w:pPr>
      <w:rPr>
        <w:rFonts w:hint="eastAsia"/>
      </w:rPr>
    </w:lvl>
    <w:lvl w:ilvl="3" w:tentative="0">
      <w:start w:val="1"/>
      <w:numFmt w:val="decimal"/>
      <w:pStyle w:val="6"/>
      <w:suff w:val="nothing"/>
      <w:lvlText w:val="（%4）"/>
      <w:lvlJc w:val="left"/>
      <w:pPr>
        <w:ind w:left="0" w:firstLine="402"/>
      </w:pPr>
      <w:rPr>
        <w:rFonts w:hint="eastAsia"/>
      </w:rPr>
    </w:lvl>
    <w:lvl w:ilvl="4" w:tentative="0">
      <w:start w:val="1"/>
      <w:numFmt w:val="decimalEnclosedCircleChinese"/>
      <w:suff w:val="nothing"/>
      <w:lvlText w:val="%5"/>
      <w:lvlJc w:val="left"/>
      <w:pPr>
        <w:ind w:left="0" w:firstLine="402"/>
      </w:pPr>
      <w:rPr>
        <w:rFonts w:hint="eastAsia"/>
      </w:rPr>
    </w:lvl>
    <w:lvl w:ilvl="5" w:tentative="0">
      <w:start w:val="1"/>
      <w:numFmt w:val="decimal"/>
      <w:suff w:val="nothing"/>
      <w:lvlText w:val="%6）"/>
      <w:lvlJc w:val="left"/>
      <w:pPr>
        <w:ind w:left="0" w:firstLine="402"/>
      </w:pPr>
      <w:rPr>
        <w:rFonts w:hint="eastAsia"/>
      </w:rPr>
    </w:lvl>
    <w:lvl w:ilvl="6" w:tentative="0">
      <w:start w:val="1"/>
      <w:numFmt w:val="lowerLetter"/>
      <w:suff w:val="nothing"/>
      <w:lvlText w:val="%7．"/>
      <w:lvlJc w:val="left"/>
      <w:pPr>
        <w:ind w:left="0" w:firstLine="402"/>
      </w:pPr>
      <w:rPr>
        <w:rFonts w:hint="eastAsia"/>
      </w:rPr>
    </w:lvl>
    <w:lvl w:ilvl="7" w:tentative="0">
      <w:start w:val="1"/>
      <w:numFmt w:val="lowerLetter"/>
      <w:suff w:val="nothing"/>
      <w:lvlText w:val="%8）"/>
      <w:lvlJc w:val="left"/>
      <w:pPr>
        <w:ind w:left="0" w:firstLine="402"/>
      </w:pPr>
      <w:rPr>
        <w:rFonts w:hint="eastAsia"/>
      </w:rPr>
    </w:lvl>
    <w:lvl w:ilvl="8" w:tentative="0">
      <w:start w:val="1"/>
      <w:numFmt w:val="lowerRoman"/>
      <w:suff w:val="nothing"/>
      <w:lvlText w:val="%9 "/>
      <w:lvlJc w:val="left"/>
      <w:pPr>
        <w:ind w:left="0" w:firstLine="402"/>
      </w:pPr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7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2QzODFlMDVmYTNhZDc5ZTA0YjI2ZTNlMmYwNjdkZmIifQ=="/>
  </w:docVars>
  <w:rsids>
    <w:rsidRoot w:val="3AF67506"/>
    <w:rsid w:val="002F0FB8"/>
    <w:rsid w:val="00A2293C"/>
    <w:rsid w:val="015427C1"/>
    <w:rsid w:val="0170493F"/>
    <w:rsid w:val="02081292"/>
    <w:rsid w:val="027313DF"/>
    <w:rsid w:val="02AC5ED6"/>
    <w:rsid w:val="02C424A2"/>
    <w:rsid w:val="02D86420"/>
    <w:rsid w:val="03370F4F"/>
    <w:rsid w:val="037F681E"/>
    <w:rsid w:val="03CC243D"/>
    <w:rsid w:val="03EF3FA4"/>
    <w:rsid w:val="041401E5"/>
    <w:rsid w:val="04BD6B56"/>
    <w:rsid w:val="057C6F2D"/>
    <w:rsid w:val="05E2280F"/>
    <w:rsid w:val="066F29B8"/>
    <w:rsid w:val="06992D39"/>
    <w:rsid w:val="07C12669"/>
    <w:rsid w:val="07D67F29"/>
    <w:rsid w:val="08266182"/>
    <w:rsid w:val="08332703"/>
    <w:rsid w:val="089F0F0A"/>
    <w:rsid w:val="08BD2F82"/>
    <w:rsid w:val="09054918"/>
    <w:rsid w:val="0920323C"/>
    <w:rsid w:val="093F4776"/>
    <w:rsid w:val="0A99147A"/>
    <w:rsid w:val="0B08169E"/>
    <w:rsid w:val="0B0C4374"/>
    <w:rsid w:val="0B9553E3"/>
    <w:rsid w:val="0C124360"/>
    <w:rsid w:val="0C3547A8"/>
    <w:rsid w:val="0CA41DD7"/>
    <w:rsid w:val="0CDD3085"/>
    <w:rsid w:val="0D381EA1"/>
    <w:rsid w:val="0D715020"/>
    <w:rsid w:val="0D865C5B"/>
    <w:rsid w:val="0D9F7188"/>
    <w:rsid w:val="0DB75195"/>
    <w:rsid w:val="0DD31D25"/>
    <w:rsid w:val="0DE6115A"/>
    <w:rsid w:val="0E0A6FC6"/>
    <w:rsid w:val="0E546F81"/>
    <w:rsid w:val="0EF2164F"/>
    <w:rsid w:val="0F1107A0"/>
    <w:rsid w:val="0F5763DE"/>
    <w:rsid w:val="0F931A21"/>
    <w:rsid w:val="0FC54D96"/>
    <w:rsid w:val="108E3DE8"/>
    <w:rsid w:val="110145BD"/>
    <w:rsid w:val="11744E8F"/>
    <w:rsid w:val="12AD2B79"/>
    <w:rsid w:val="12DD0507"/>
    <w:rsid w:val="13185C81"/>
    <w:rsid w:val="13C85E83"/>
    <w:rsid w:val="154B6590"/>
    <w:rsid w:val="15553D70"/>
    <w:rsid w:val="15B35CF6"/>
    <w:rsid w:val="15D43808"/>
    <w:rsid w:val="16030423"/>
    <w:rsid w:val="166C1158"/>
    <w:rsid w:val="166F3C77"/>
    <w:rsid w:val="16CD1538"/>
    <w:rsid w:val="16DC2250"/>
    <w:rsid w:val="17522BB3"/>
    <w:rsid w:val="182A575D"/>
    <w:rsid w:val="18C076A1"/>
    <w:rsid w:val="19024A6F"/>
    <w:rsid w:val="19F725AA"/>
    <w:rsid w:val="19FC0CF2"/>
    <w:rsid w:val="1A674C1C"/>
    <w:rsid w:val="1ABC6A67"/>
    <w:rsid w:val="1B0F5D25"/>
    <w:rsid w:val="1B303FD4"/>
    <w:rsid w:val="1B4B4F16"/>
    <w:rsid w:val="1B5F4BD3"/>
    <w:rsid w:val="1B686F88"/>
    <w:rsid w:val="1BC10D5B"/>
    <w:rsid w:val="1CC96D36"/>
    <w:rsid w:val="1CDD6A7B"/>
    <w:rsid w:val="1CF63CFC"/>
    <w:rsid w:val="1DB76903"/>
    <w:rsid w:val="1E3F5142"/>
    <w:rsid w:val="1E443F57"/>
    <w:rsid w:val="1E7E671E"/>
    <w:rsid w:val="1F2C7BC6"/>
    <w:rsid w:val="1F645CE9"/>
    <w:rsid w:val="1FF65CAE"/>
    <w:rsid w:val="206057CD"/>
    <w:rsid w:val="20937643"/>
    <w:rsid w:val="20B70A23"/>
    <w:rsid w:val="20BD62C0"/>
    <w:rsid w:val="20C71CFB"/>
    <w:rsid w:val="20D50CE2"/>
    <w:rsid w:val="21016133"/>
    <w:rsid w:val="21347B0A"/>
    <w:rsid w:val="21744249"/>
    <w:rsid w:val="21933C66"/>
    <w:rsid w:val="22794F3E"/>
    <w:rsid w:val="22EA3915"/>
    <w:rsid w:val="23684690"/>
    <w:rsid w:val="2401432B"/>
    <w:rsid w:val="246D5303"/>
    <w:rsid w:val="254A232F"/>
    <w:rsid w:val="260715B5"/>
    <w:rsid w:val="263C3B81"/>
    <w:rsid w:val="26471C86"/>
    <w:rsid w:val="26B8119D"/>
    <w:rsid w:val="26CE37FA"/>
    <w:rsid w:val="27455E8C"/>
    <w:rsid w:val="27BF29D7"/>
    <w:rsid w:val="28177CA2"/>
    <w:rsid w:val="284751A1"/>
    <w:rsid w:val="28570395"/>
    <w:rsid w:val="28895CA6"/>
    <w:rsid w:val="28AB144E"/>
    <w:rsid w:val="28CD035D"/>
    <w:rsid w:val="29380A34"/>
    <w:rsid w:val="2A9B5AAC"/>
    <w:rsid w:val="2AEC387B"/>
    <w:rsid w:val="2AF27AC5"/>
    <w:rsid w:val="2C820C09"/>
    <w:rsid w:val="2CBC3767"/>
    <w:rsid w:val="2CCC04D3"/>
    <w:rsid w:val="2CF23C7D"/>
    <w:rsid w:val="2D2C35E8"/>
    <w:rsid w:val="2D9D6F02"/>
    <w:rsid w:val="2DA95148"/>
    <w:rsid w:val="2DD84F2B"/>
    <w:rsid w:val="2EA8777B"/>
    <w:rsid w:val="2EE928E9"/>
    <w:rsid w:val="2F064392"/>
    <w:rsid w:val="2F0F3DDE"/>
    <w:rsid w:val="30AC0350"/>
    <w:rsid w:val="30CA0852"/>
    <w:rsid w:val="30E45875"/>
    <w:rsid w:val="31AF073F"/>
    <w:rsid w:val="31ED539A"/>
    <w:rsid w:val="32983B73"/>
    <w:rsid w:val="32C815D3"/>
    <w:rsid w:val="32F70C28"/>
    <w:rsid w:val="32FC67DD"/>
    <w:rsid w:val="332502C5"/>
    <w:rsid w:val="332C44FE"/>
    <w:rsid w:val="34AE0F75"/>
    <w:rsid w:val="34BC3EF6"/>
    <w:rsid w:val="34CE5539"/>
    <w:rsid w:val="355F18D8"/>
    <w:rsid w:val="356E617C"/>
    <w:rsid w:val="362674C6"/>
    <w:rsid w:val="36460F7F"/>
    <w:rsid w:val="366665DD"/>
    <w:rsid w:val="36FA3519"/>
    <w:rsid w:val="387633C7"/>
    <w:rsid w:val="38F13EB6"/>
    <w:rsid w:val="39337262"/>
    <w:rsid w:val="39B84AD6"/>
    <w:rsid w:val="39CC0E0E"/>
    <w:rsid w:val="3AF0322D"/>
    <w:rsid w:val="3AF67506"/>
    <w:rsid w:val="3B011B61"/>
    <w:rsid w:val="3B113D16"/>
    <w:rsid w:val="3B845835"/>
    <w:rsid w:val="3BC0667F"/>
    <w:rsid w:val="3BF93508"/>
    <w:rsid w:val="3C4B6B1B"/>
    <w:rsid w:val="3C96784B"/>
    <w:rsid w:val="3DB8453E"/>
    <w:rsid w:val="3E953F50"/>
    <w:rsid w:val="3EB33069"/>
    <w:rsid w:val="3F052599"/>
    <w:rsid w:val="3F522A6F"/>
    <w:rsid w:val="3FDB3A24"/>
    <w:rsid w:val="3FF13F86"/>
    <w:rsid w:val="400D6A01"/>
    <w:rsid w:val="4059404E"/>
    <w:rsid w:val="4069217E"/>
    <w:rsid w:val="41F049BB"/>
    <w:rsid w:val="42563950"/>
    <w:rsid w:val="4321038F"/>
    <w:rsid w:val="44240CB9"/>
    <w:rsid w:val="448075FF"/>
    <w:rsid w:val="44BD113D"/>
    <w:rsid w:val="45AF4810"/>
    <w:rsid w:val="45D72915"/>
    <w:rsid w:val="46120224"/>
    <w:rsid w:val="47841A5C"/>
    <w:rsid w:val="47DD3F75"/>
    <w:rsid w:val="49073A30"/>
    <w:rsid w:val="49D33722"/>
    <w:rsid w:val="4AB97406"/>
    <w:rsid w:val="4ACB4866"/>
    <w:rsid w:val="4AF573A1"/>
    <w:rsid w:val="4B8C1B43"/>
    <w:rsid w:val="4B9C1A3C"/>
    <w:rsid w:val="4C216CA1"/>
    <w:rsid w:val="4C2724A3"/>
    <w:rsid w:val="4C5F7FDF"/>
    <w:rsid w:val="4CE9093D"/>
    <w:rsid w:val="4D3B0F79"/>
    <w:rsid w:val="4D611892"/>
    <w:rsid w:val="4D9E7FE0"/>
    <w:rsid w:val="4E1C517E"/>
    <w:rsid w:val="4E3D4FB0"/>
    <w:rsid w:val="4EF77025"/>
    <w:rsid w:val="4EFB468E"/>
    <w:rsid w:val="4F254A20"/>
    <w:rsid w:val="4FBA5545"/>
    <w:rsid w:val="50136AE8"/>
    <w:rsid w:val="50173356"/>
    <w:rsid w:val="51331A84"/>
    <w:rsid w:val="51CE6BAE"/>
    <w:rsid w:val="52562B19"/>
    <w:rsid w:val="52FB1277"/>
    <w:rsid w:val="539E4471"/>
    <w:rsid w:val="53AB5116"/>
    <w:rsid w:val="53E24634"/>
    <w:rsid w:val="54174D99"/>
    <w:rsid w:val="54306231"/>
    <w:rsid w:val="54362BDC"/>
    <w:rsid w:val="55F83489"/>
    <w:rsid w:val="573838CD"/>
    <w:rsid w:val="576E6C36"/>
    <w:rsid w:val="578A13F8"/>
    <w:rsid w:val="57E0703D"/>
    <w:rsid w:val="58134EA2"/>
    <w:rsid w:val="58ED000A"/>
    <w:rsid w:val="595E272E"/>
    <w:rsid w:val="59952868"/>
    <w:rsid w:val="59FB76FA"/>
    <w:rsid w:val="5AEE776E"/>
    <w:rsid w:val="5D876A70"/>
    <w:rsid w:val="5D9D491E"/>
    <w:rsid w:val="5E3B00BF"/>
    <w:rsid w:val="5E71503F"/>
    <w:rsid w:val="5F0F4787"/>
    <w:rsid w:val="5F330071"/>
    <w:rsid w:val="5F402DFF"/>
    <w:rsid w:val="5F7912C0"/>
    <w:rsid w:val="5F7B0BD9"/>
    <w:rsid w:val="5FE02DAD"/>
    <w:rsid w:val="60440D2C"/>
    <w:rsid w:val="60AC1D5F"/>
    <w:rsid w:val="61420F2D"/>
    <w:rsid w:val="61D70F5B"/>
    <w:rsid w:val="62883622"/>
    <w:rsid w:val="6295264E"/>
    <w:rsid w:val="62EC2506"/>
    <w:rsid w:val="62F13B6C"/>
    <w:rsid w:val="63192E7F"/>
    <w:rsid w:val="633B78F0"/>
    <w:rsid w:val="64062ACF"/>
    <w:rsid w:val="64785ACD"/>
    <w:rsid w:val="64A33FFB"/>
    <w:rsid w:val="64CF5802"/>
    <w:rsid w:val="65221256"/>
    <w:rsid w:val="65325823"/>
    <w:rsid w:val="65AD411C"/>
    <w:rsid w:val="66522FF3"/>
    <w:rsid w:val="6771096D"/>
    <w:rsid w:val="67E030F2"/>
    <w:rsid w:val="685A0D37"/>
    <w:rsid w:val="68A529DA"/>
    <w:rsid w:val="68B949EC"/>
    <w:rsid w:val="698F3CA1"/>
    <w:rsid w:val="6A577CC7"/>
    <w:rsid w:val="6A7B4D3C"/>
    <w:rsid w:val="6BBE22BA"/>
    <w:rsid w:val="6C013A84"/>
    <w:rsid w:val="6C19787F"/>
    <w:rsid w:val="6C5335B6"/>
    <w:rsid w:val="6CE62BF9"/>
    <w:rsid w:val="6CEB288C"/>
    <w:rsid w:val="6D217843"/>
    <w:rsid w:val="6E4003B5"/>
    <w:rsid w:val="6E4C10A4"/>
    <w:rsid w:val="6E5B0D93"/>
    <w:rsid w:val="6E871379"/>
    <w:rsid w:val="6F251BF1"/>
    <w:rsid w:val="6F71002B"/>
    <w:rsid w:val="6FD351CA"/>
    <w:rsid w:val="70615350"/>
    <w:rsid w:val="70B4456A"/>
    <w:rsid w:val="715806D4"/>
    <w:rsid w:val="71851FF4"/>
    <w:rsid w:val="720974F5"/>
    <w:rsid w:val="72360370"/>
    <w:rsid w:val="72631CE9"/>
    <w:rsid w:val="72C6551F"/>
    <w:rsid w:val="72EC5842"/>
    <w:rsid w:val="73E02F72"/>
    <w:rsid w:val="748F7FF9"/>
    <w:rsid w:val="7495123E"/>
    <w:rsid w:val="751B6104"/>
    <w:rsid w:val="75595BA5"/>
    <w:rsid w:val="75EF5D9F"/>
    <w:rsid w:val="76590095"/>
    <w:rsid w:val="778D336D"/>
    <w:rsid w:val="77A85279"/>
    <w:rsid w:val="77EF347A"/>
    <w:rsid w:val="780B0755"/>
    <w:rsid w:val="7834388A"/>
    <w:rsid w:val="78434006"/>
    <w:rsid w:val="785B0812"/>
    <w:rsid w:val="78B43AB7"/>
    <w:rsid w:val="78E21C0A"/>
    <w:rsid w:val="78F579C9"/>
    <w:rsid w:val="78FB7868"/>
    <w:rsid w:val="793972E5"/>
    <w:rsid w:val="79970CF3"/>
    <w:rsid w:val="79A86297"/>
    <w:rsid w:val="79B360AA"/>
    <w:rsid w:val="79D92B3B"/>
    <w:rsid w:val="79DC0E54"/>
    <w:rsid w:val="7A2A3317"/>
    <w:rsid w:val="7AB031B5"/>
    <w:rsid w:val="7B98092F"/>
    <w:rsid w:val="7C3C7465"/>
    <w:rsid w:val="7C792537"/>
    <w:rsid w:val="7CD37D10"/>
    <w:rsid w:val="7CDF7367"/>
    <w:rsid w:val="7D174018"/>
    <w:rsid w:val="7D925708"/>
    <w:rsid w:val="7DBA3EF6"/>
    <w:rsid w:val="7DE95F51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semiHidden="0" w:name="heading 3"/>
    <w:lsdException w:qFormat="1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qFormat="1" w:uiPriority="99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3">
    <w:name w:val="heading 1"/>
    <w:basedOn w:val="1"/>
    <w:next w:val="1"/>
    <w:qFormat/>
    <w:uiPriority w:val="0"/>
    <w:pPr>
      <w:keepNext/>
      <w:keepLines/>
      <w:numPr>
        <w:ilvl w:val="0"/>
        <w:numId w:val="1"/>
      </w:numPr>
      <w:spacing w:before="340" w:after="330" w:line="578" w:lineRule="auto"/>
      <w:ind w:firstLine="0"/>
      <w:jc w:val="center"/>
      <w:outlineLvl w:val="0"/>
    </w:pPr>
    <w:rPr>
      <w:rFonts w:ascii="Calibri" w:hAnsi="Calibri" w:eastAsia="宋体"/>
      <w:b/>
      <w:bCs/>
      <w:kern w:val="44"/>
      <w:sz w:val="30"/>
      <w:szCs w:val="44"/>
    </w:rPr>
  </w:style>
  <w:style w:type="paragraph" w:styleId="4">
    <w:name w:val="heading 2"/>
    <w:basedOn w:val="1"/>
    <w:next w:val="1"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1"/>
    </w:pPr>
    <w:rPr>
      <w:rFonts w:ascii="Arial" w:hAnsi="Arial" w:eastAsia="黑体"/>
      <w:b/>
      <w:sz w:val="32"/>
    </w:rPr>
  </w:style>
  <w:style w:type="paragraph" w:styleId="5">
    <w:name w:val="heading 3"/>
    <w:basedOn w:val="1"/>
    <w:next w:val="1"/>
    <w:unhideWhenUsed/>
    <w:qFormat/>
    <w:uiPriority w:val="0"/>
    <w:pPr>
      <w:keepNext/>
      <w:keepLines/>
      <w:spacing w:before="260" w:beforeLines="0" w:beforeAutospacing="0" w:after="260" w:afterLines="0" w:afterAutospacing="0" w:line="413" w:lineRule="auto"/>
      <w:outlineLvl w:val="2"/>
    </w:pPr>
    <w:rPr>
      <w:b/>
      <w:sz w:val="32"/>
    </w:rPr>
  </w:style>
  <w:style w:type="paragraph" w:styleId="6">
    <w:name w:val="heading 4"/>
    <w:basedOn w:val="1"/>
    <w:next w:val="1"/>
    <w:unhideWhenUsed/>
    <w:qFormat/>
    <w:uiPriority w:val="0"/>
    <w:pPr>
      <w:keepNext/>
      <w:keepLines/>
      <w:numPr>
        <w:ilvl w:val="3"/>
        <w:numId w:val="1"/>
      </w:numPr>
      <w:spacing w:before="156"/>
      <w:ind w:left="0" w:firstLine="402"/>
      <w:outlineLvl w:val="3"/>
    </w:pPr>
    <w:rPr>
      <w:b/>
      <w:bCs/>
      <w:szCs w:val="28"/>
      <w:lang w:val="zh-CN" w:eastAsia="zh-CN" w:bidi="ar-SA"/>
    </w:rPr>
  </w:style>
  <w:style w:type="character" w:default="1" w:styleId="12">
    <w:name w:val="Default Paragraph Font"/>
    <w:semiHidden/>
    <w:qFormat/>
    <w:uiPriority w:val="0"/>
  </w:style>
  <w:style w:type="table" w:default="1" w:styleId="10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0"/>
    <w:pPr>
      <w:spacing w:after="120"/>
    </w:pPr>
  </w:style>
  <w:style w:type="paragraph" w:styleId="7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8">
    <w:name w:val="header"/>
    <w:basedOn w:val="1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9">
    <w:name w:val="Body Text First Indent"/>
    <w:basedOn w:val="2"/>
    <w:qFormat/>
    <w:uiPriority w:val="0"/>
    <w:pPr>
      <w:ind w:firstLine="420" w:firstLineChars="100"/>
    </w:pPr>
  </w:style>
  <w:style w:type="table" w:styleId="11">
    <w:name w:val="Table Grid"/>
    <w:basedOn w:val="10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customStyle="1" w:styleId="13">
    <w:name w:val="样式1"/>
    <w:basedOn w:val="4"/>
    <w:qFormat/>
    <w:uiPriority w:val="0"/>
    <w:pPr>
      <w:spacing w:before="260" w:beforeLines="0" w:after="260" w:afterLines="0" w:line="413" w:lineRule="auto"/>
      <w:ind w:left="1125" w:hanging="1125"/>
      <w:jc w:val="both"/>
    </w:pPr>
    <w:rPr>
      <w:sz w:val="32"/>
      <w:szCs w:val="20"/>
    </w:rPr>
  </w:style>
  <w:style w:type="paragraph" w:customStyle="1" w:styleId="14">
    <w:name w:val="正文qrz"/>
    <w:basedOn w:val="1"/>
    <w:qFormat/>
    <w:uiPriority w:val="0"/>
    <w:pPr>
      <w:tabs>
        <w:tab w:val="left" w:pos="4186"/>
      </w:tabs>
      <w:snapToGrid w:val="0"/>
      <w:spacing w:before="156" w:beforeLines="50" w:line="360" w:lineRule="auto"/>
      <w:ind w:firstLine="480" w:firstLineChars="200"/>
      <w:jc w:val="left"/>
    </w:pPr>
    <w:rPr>
      <w:rFonts w:ascii="宋体" w:hAnsi="宋体"/>
      <w:kern w:val="0"/>
      <w:sz w:val="24"/>
      <w:szCs w:val="20"/>
    </w:rPr>
  </w:style>
  <w:style w:type="paragraph" w:customStyle="1" w:styleId="15">
    <w:name w:val="表格"/>
    <w:basedOn w:val="1"/>
    <w:qFormat/>
    <w:uiPriority w:val="0"/>
    <w:pPr>
      <w:widowControl/>
      <w:jc w:val="center"/>
    </w:pPr>
    <w:rPr>
      <w:rFonts w:ascii="宋体" w:hAnsi="宋体" w:cs="宋体"/>
      <w:kern w:val="0"/>
      <w:sz w:val="18"/>
      <w:szCs w:val="24"/>
    </w:rPr>
  </w:style>
  <w:style w:type="paragraph" w:customStyle="1" w:styleId="16">
    <w:name w:val="正文0528"/>
    <w:basedOn w:val="1"/>
    <w:qFormat/>
    <w:uiPriority w:val="0"/>
    <w:pPr>
      <w:widowControl/>
      <w:spacing w:after="200" w:line="600" w:lineRule="exact"/>
      <w:ind w:firstLine="200" w:firstLineChars="200"/>
      <w:jc w:val="left"/>
    </w:pPr>
    <w:rPr>
      <w:rFonts w:ascii="宋体" w:hAnsi="宋体" w:cs="宋体"/>
      <w:kern w:val="0"/>
      <w:sz w:val="28"/>
      <w:szCs w:val="28"/>
      <w:lang w:bidi="en-US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customXml" Target="../customXml/item1.xml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395</Words>
  <Characters>507</Characters>
  <Lines>0</Lines>
  <Paragraphs>0</Paragraphs>
  <TotalTime>0</TotalTime>
  <ScaleCrop>false</ScaleCrop>
  <LinksUpToDate>false</LinksUpToDate>
  <CharactersWithSpaces>507</CharactersWithSpaces>
  <Application>WPS Office_11.1.0.14309_F1E327BC-269C-435d-A152-05C5408002CA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2023-07-25T01:39:00Z</dcterms:created>
  <dc:creator>Administrator</dc:creator>
  <cp:lastModifiedBy>王</cp:lastModifiedBy>
  <dcterms:modified xsi:type="dcterms:W3CDTF">2023-12-02T03:12:43Z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2052-11.1.0.14309</vt:lpwstr>
  </property>
  <property fmtid="{D5CDD505-2E9C-101B-9397-08002B2CF9AE}" pid="3" name="ICV">
    <vt:lpwstr>B758EF0E49B4484E89FEE0334CA9DB80_13</vt:lpwstr>
  </property>
</Properties>
</file>