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hAnsi="黑体" w:eastAsia="黑体" w:cs="黑体"/>
          <w:sz w:val="40"/>
          <w:szCs w:val="48"/>
          <w:lang w:val="en-US" w:eastAsia="zh-CN"/>
        </w:rPr>
      </w:pPr>
    </w:p>
    <w:p>
      <w:pPr>
        <w:jc w:val="center"/>
        <w:rPr>
          <w:rFonts w:hint="eastAsia" w:ascii="黑体" w:hAnsi="黑体" w:eastAsia="黑体" w:cs="黑体"/>
          <w:sz w:val="40"/>
          <w:szCs w:val="48"/>
          <w:lang w:val="en-US" w:eastAsia="zh-CN"/>
        </w:rPr>
      </w:pPr>
    </w:p>
    <w:p>
      <w:pPr>
        <w:jc w:val="center"/>
        <w:rPr>
          <w:rFonts w:hint="eastAsia" w:ascii="黑体" w:hAnsi="黑体" w:eastAsia="黑体" w:cs="黑体"/>
          <w:sz w:val="40"/>
          <w:szCs w:val="48"/>
          <w:lang w:val="en-US" w:eastAsia="zh-CN"/>
        </w:rPr>
      </w:pPr>
    </w:p>
    <w:p>
      <w:pPr>
        <w:jc w:val="center"/>
        <w:rPr>
          <w:rFonts w:hint="eastAsia" w:ascii="黑体" w:hAnsi="黑体" w:eastAsia="黑体" w:cs="黑体"/>
          <w:sz w:val="72"/>
          <w:szCs w:val="144"/>
          <w:lang w:val="en-US" w:eastAsia="zh-CN"/>
        </w:rPr>
      </w:pPr>
    </w:p>
    <w:p>
      <w:pPr>
        <w:jc w:val="center"/>
        <w:rPr>
          <w:rFonts w:hint="eastAsia" w:ascii="黑体" w:hAnsi="黑体" w:eastAsia="黑体" w:cs="黑体"/>
          <w:sz w:val="72"/>
          <w:szCs w:val="144"/>
          <w:lang w:val="en-US" w:eastAsia="zh-CN"/>
        </w:rPr>
      </w:pPr>
    </w:p>
    <w:p>
      <w:pPr>
        <w:jc w:val="center"/>
        <w:rPr>
          <w:rFonts w:hint="eastAsia" w:ascii="黑体" w:hAnsi="黑体" w:eastAsia="黑体" w:cs="黑体"/>
          <w:sz w:val="72"/>
          <w:szCs w:val="144"/>
          <w:lang w:val="en-US" w:eastAsia="zh-CN"/>
        </w:rPr>
      </w:pPr>
      <w:r>
        <w:rPr>
          <w:rFonts w:hint="eastAsia" w:ascii="黑体" w:hAnsi="黑体" w:eastAsia="黑体" w:cs="黑体"/>
          <w:sz w:val="72"/>
          <w:szCs w:val="144"/>
          <w:lang w:val="en-US" w:eastAsia="zh-CN"/>
        </w:rPr>
        <w:t>石家庄市鹿泉区铜冶镇北故邑村村庄规划公示</w:t>
      </w:r>
    </w:p>
    <w:p>
      <w:pPr>
        <w:jc w:val="center"/>
        <w:rPr>
          <w:rFonts w:hint="eastAsia" w:ascii="黑体" w:hAnsi="黑体" w:eastAsia="黑体" w:cs="黑体"/>
          <w:sz w:val="72"/>
          <w:szCs w:val="144"/>
          <w:lang w:val="en-US" w:eastAsia="zh-CN"/>
        </w:rPr>
      </w:pPr>
    </w:p>
    <w:p>
      <w:pPr>
        <w:jc w:val="center"/>
        <w:rPr>
          <w:rFonts w:hint="eastAsia" w:ascii="黑体" w:hAnsi="黑体" w:eastAsia="黑体" w:cs="黑体"/>
          <w:sz w:val="72"/>
          <w:szCs w:val="144"/>
          <w:lang w:val="en-US" w:eastAsia="zh-CN"/>
        </w:rPr>
      </w:pPr>
    </w:p>
    <w:p>
      <w:pPr>
        <w:jc w:val="center"/>
        <w:rPr>
          <w:rFonts w:hint="eastAsia" w:ascii="黑体" w:hAnsi="黑体" w:eastAsia="黑体" w:cs="黑体"/>
          <w:sz w:val="72"/>
          <w:szCs w:val="144"/>
          <w:lang w:val="en-US" w:eastAsia="zh-CN"/>
        </w:rPr>
      </w:pPr>
    </w:p>
    <w:p>
      <w:pPr>
        <w:jc w:val="center"/>
        <w:rPr>
          <w:rFonts w:hint="eastAsia" w:ascii="黑体" w:hAnsi="黑体" w:eastAsia="黑体" w:cs="黑体"/>
          <w:sz w:val="72"/>
          <w:szCs w:val="144"/>
          <w:lang w:val="en-US" w:eastAsia="zh-CN"/>
        </w:rPr>
      </w:pPr>
    </w:p>
    <w:p>
      <w:pPr>
        <w:jc w:val="center"/>
        <w:rPr>
          <w:rFonts w:hint="eastAsia" w:ascii="黑体" w:hAnsi="黑体" w:eastAsia="黑体" w:cs="黑体"/>
          <w:sz w:val="72"/>
          <w:szCs w:val="144"/>
          <w:lang w:val="en-US" w:eastAsia="zh-CN"/>
        </w:rPr>
      </w:pPr>
    </w:p>
    <w:p>
      <w:pPr>
        <w:jc w:val="center"/>
        <w:rPr>
          <w:rFonts w:hint="eastAsia" w:ascii="黑体" w:hAnsi="黑体" w:eastAsia="黑体" w:cs="黑体"/>
          <w:sz w:val="72"/>
          <w:szCs w:val="144"/>
          <w:lang w:val="en-US" w:eastAsia="zh-CN"/>
        </w:rPr>
      </w:pPr>
    </w:p>
    <w:p>
      <w:pPr>
        <w:jc w:val="center"/>
        <w:rPr>
          <w:rFonts w:hint="eastAsia" w:ascii="黑体" w:hAnsi="黑体" w:eastAsia="黑体" w:cs="黑体"/>
          <w:sz w:val="72"/>
          <w:szCs w:val="144"/>
          <w:lang w:val="en-US" w:eastAsia="zh-CN"/>
        </w:rPr>
      </w:pPr>
    </w:p>
    <w:p>
      <w:pPr>
        <w:jc w:val="center"/>
        <w:rPr>
          <w:rFonts w:hint="eastAsia" w:ascii="黑体" w:hAnsi="黑体" w:eastAsia="黑体" w:cs="黑体"/>
          <w:sz w:val="72"/>
          <w:szCs w:val="144"/>
          <w:lang w:val="en-US" w:eastAsia="zh-CN"/>
        </w:rPr>
      </w:pPr>
    </w:p>
    <w:p>
      <w:pPr>
        <w:jc w:val="center"/>
        <w:rPr>
          <w:rFonts w:hint="eastAsia" w:ascii="黑体" w:hAnsi="黑体" w:eastAsia="黑体" w:cs="黑体"/>
          <w:sz w:val="72"/>
          <w:szCs w:val="144"/>
          <w:lang w:val="en-US" w:eastAsia="zh-CN"/>
        </w:rPr>
      </w:pPr>
    </w:p>
    <w:p>
      <w:pPr>
        <w:jc w:val="center"/>
        <w:rPr>
          <w:rFonts w:hint="eastAsia" w:ascii="黑体" w:hAnsi="黑体" w:eastAsia="黑体" w:cs="黑体"/>
          <w:sz w:val="36"/>
          <w:szCs w:val="44"/>
          <w:lang w:val="en-US" w:eastAsia="zh-CN"/>
        </w:rPr>
      </w:pPr>
      <w:r>
        <w:rPr>
          <w:rFonts w:hint="eastAsia" w:ascii="黑体" w:hAnsi="黑体" w:eastAsia="黑体" w:cs="黑体"/>
          <w:sz w:val="36"/>
          <w:szCs w:val="44"/>
          <w:lang w:val="en-US" w:eastAsia="zh-CN"/>
        </w:rPr>
        <w:t>《石家庄市鹿泉区铜冶镇北故邑村村庄规划（2021-2035年）》</w:t>
      </w:r>
    </w:p>
    <w:p>
      <w:pPr>
        <w:jc w:val="center"/>
        <w:rPr>
          <w:rFonts w:hint="eastAsia" w:ascii="黑体" w:hAnsi="黑体" w:eastAsia="黑体" w:cs="黑体"/>
          <w:sz w:val="36"/>
          <w:szCs w:val="44"/>
          <w:lang w:val="en-US" w:eastAsia="zh-CN"/>
        </w:rPr>
      </w:pPr>
      <w:r>
        <w:rPr>
          <w:rFonts w:hint="eastAsia" w:ascii="黑体" w:hAnsi="黑体" w:eastAsia="黑体" w:cs="黑体"/>
          <w:sz w:val="36"/>
          <w:szCs w:val="44"/>
          <w:lang w:val="en-US" w:eastAsia="zh-CN"/>
        </w:rPr>
        <w:t>批前公示</w:t>
      </w: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为深入贯彻落实党中央、国务院及省委省政府关于实施乡村振兴战略、改善农村人居环境，推动多规合一实用性村庄规划编制的指示精神，依据《河北省村庄规划技术规范》《河北省村庄规划编制导则（试行）》等，为加强石家庄市鹿泉区铜冶镇北故邑村建设和管理水平，整体推进农用地整理、建设用地整理和乡村生态保护修复、农村住房和人居环境整治等工作，助推乡村振兴发展，特编制《石家庄市鹿泉区铜冶镇北故邑村村庄规划（2021-2035年）》。</w:t>
      </w: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石家庄市鹿泉区铜冶镇北故邑村村庄规划（2021-2035年）》已由河北和恒城市规划设计有限公司编制完成，并经专家评审会议通过，现按规定程序将规划方案进行公示。若对本规划有异议的，请在公示期内以书面形式向鹿泉区铜冶镇人民政府或石家庄市自然资源和规划局鹿泉分局反馈；若无异议的，将按法定程序报经审批后实施。</w:t>
      </w: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联系人：樊二斌</w:t>
      </w: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联系方式：82238220</w:t>
      </w:r>
      <w:bookmarkStart w:id="0" w:name="_GoBack"/>
      <w:bookmarkEnd w:id="0"/>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规划主要内容如下：</w:t>
      </w:r>
    </w:p>
    <w:p>
      <w:pPr>
        <w:keepNext w:val="0"/>
        <w:keepLines w:val="0"/>
        <w:pageBreakBefore w:val="0"/>
        <w:widowControl w:val="0"/>
        <w:numPr>
          <w:ilvl w:val="0"/>
          <w:numId w:val="1"/>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规划期限</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本规划的规划期限与石家庄市鹿泉区国土空间总体规划保持一致，为2021-2035年，其中近期期限为2021-2025年。</w:t>
      </w:r>
    </w:p>
    <w:p>
      <w:pPr>
        <w:keepNext w:val="0"/>
        <w:keepLines w:val="0"/>
        <w:pageBreakBefore w:val="0"/>
        <w:widowControl w:val="0"/>
        <w:numPr>
          <w:ilvl w:val="0"/>
          <w:numId w:val="1"/>
        </w:numPr>
        <w:kinsoku/>
        <w:wordWrap/>
        <w:overflowPunct/>
        <w:topLinePunct w:val="0"/>
        <w:autoSpaceDE/>
        <w:autoSpaceDN/>
        <w:bidi w:val="0"/>
        <w:adjustRightInd/>
        <w:snapToGrid/>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规划范围</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本规划的规划范围涵盖北故邑村整个行政管理范围，总面积约370.36公顷。</w:t>
      </w:r>
    </w:p>
    <w:p>
      <w:pPr>
        <w:keepNext w:val="0"/>
        <w:keepLines w:val="0"/>
        <w:pageBreakBefore w:val="0"/>
        <w:widowControl w:val="0"/>
        <w:numPr>
          <w:ilvl w:val="0"/>
          <w:numId w:val="1"/>
        </w:numPr>
        <w:kinsoku/>
        <w:wordWrap/>
        <w:overflowPunct/>
        <w:topLinePunct w:val="0"/>
        <w:autoSpaceDE/>
        <w:autoSpaceDN/>
        <w:bidi w:val="0"/>
        <w:adjustRightInd/>
        <w:snapToGrid/>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村庄定位</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以现代农业为基础、葡萄全产业链为支柱、健康养老产业为特色的鹿泉区南部农旅融合发展示范村。</w:t>
      </w:r>
    </w:p>
    <w:p>
      <w:pPr>
        <w:keepNext w:val="0"/>
        <w:keepLines w:val="0"/>
        <w:pageBreakBefore w:val="0"/>
        <w:widowControl w:val="0"/>
        <w:numPr>
          <w:ilvl w:val="0"/>
          <w:numId w:val="1"/>
        </w:numPr>
        <w:kinsoku/>
        <w:wordWrap/>
        <w:overflowPunct/>
        <w:topLinePunct w:val="0"/>
        <w:autoSpaceDE/>
        <w:autoSpaceDN/>
        <w:bidi w:val="0"/>
        <w:adjustRightInd/>
        <w:snapToGrid/>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国土空间布局规划</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落实鹿泉区国土空间总体规划和用途管制要求，按照“生态空间天蓝田绿、农业空间规模高效、建设空间宜居适度”的原则，依据相关法律法规，确定生态空间、农业空间、建设空间相应的国土空间用途管控要求，引导各类土地合理保护和开发利用。</w:t>
      </w:r>
    </w:p>
    <w:p>
      <w:pPr>
        <w:keepNext w:val="0"/>
        <w:keepLines w:val="0"/>
        <w:pageBreakBefore w:val="0"/>
        <w:widowControl w:val="0"/>
        <w:numPr>
          <w:ilvl w:val="0"/>
          <w:numId w:val="2"/>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生态空间</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涉及北故邑村的为一般生态空间，占地面积39.32公顷。</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保护控制要求：严格控制各类开发活动占用、破坏。允许符合要求的交通、水利、能源、基础设施、社会公益、农村新产业新业态、农村一二三产业融合、乡村振兴战略、民生等项目由乡镇统筹，采用机动指标方式落实项目审批。</w:t>
      </w:r>
    </w:p>
    <w:p>
      <w:pPr>
        <w:keepNext w:val="0"/>
        <w:keepLines w:val="0"/>
        <w:pageBreakBefore w:val="0"/>
        <w:widowControl w:val="0"/>
        <w:numPr>
          <w:ilvl w:val="0"/>
          <w:numId w:val="2"/>
        </w:numPr>
        <w:kinsoku/>
        <w:wordWrap/>
        <w:overflowPunct/>
        <w:topLinePunct w:val="0"/>
        <w:autoSpaceDE/>
        <w:autoSpaceDN/>
        <w:bidi w:val="0"/>
        <w:adjustRightInd/>
        <w:snapToGrid/>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农业空间</w:t>
      </w:r>
    </w:p>
    <w:p>
      <w:pPr>
        <w:keepNext w:val="0"/>
        <w:keepLines w:val="0"/>
        <w:pageBreakBefore w:val="0"/>
        <w:widowControl w:val="0"/>
        <w:numPr>
          <w:ilvl w:val="0"/>
          <w:numId w:val="3"/>
        </w:numPr>
        <w:kinsoku/>
        <w:wordWrap/>
        <w:overflowPunct/>
        <w:topLinePunct w:val="0"/>
        <w:autoSpaceDE/>
        <w:autoSpaceDN/>
        <w:bidi w:val="0"/>
        <w:adjustRightInd/>
        <w:snapToGrid/>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基本农田保护红线</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落实永久基本农田保护面积不少于150.02公顷。</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保护控制要求：按照《中华人民共和国土地管理法》、《基本农田保护条例》等的相关规定管理。任何单位和个人不得擅自占用或改变用途，并通过土地综合整治、高标准基本农田建设和耕作层土壤剥离再利用等措施，确保永久基本农田“数量不减、质量不降、布局稳定”。</w:t>
      </w:r>
    </w:p>
    <w:p>
      <w:pPr>
        <w:keepNext w:val="0"/>
        <w:keepLines w:val="0"/>
        <w:pageBreakBefore w:val="0"/>
        <w:widowControl w:val="0"/>
        <w:numPr>
          <w:ilvl w:val="0"/>
          <w:numId w:val="3"/>
        </w:numPr>
        <w:kinsoku/>
        <w:wordWrap/>
        <w:overflowPunct/>
        <w:topLinePunct w:val="0"/>
        <w:autoSpaceDE/>
        <w:autoSpaceDN/>
        <w:bidi w:val="0"/>
        <w:adjustRightInd/>
        <w:snapToGrid/>
        <w:ind w:left="0" w:leftChars="0" w:firstLine="0" w:firstLineChars="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一般农业空间</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总面积96.03。</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保护控制要求：严格控制一般农业空间内的农用地转用，对质量等级较高的耕地、园地、林地等农用地实行优先保护；从严控制一般农业空间转为建设空间，经批准建设占用区内耕地，需按照“耕地占补平衡”原则，补充数量和质量相当的耕地。</w:t>
      </w:r>
    </w:p>
    <w:p>
      <w:pPr>
        <w:keepNext w:val="0"/>
        <w:keepLines w:val="0"/>
        <w:pageBreakBefore w:val="0"/>
        <w:widowControl w:val="0"/>
        <w:numPr>
          <w:ilvl w:val="0"/>
          <w:numId w:val="3"/>
        </w:numPr>
        <w:kinsoku/>
        <w:wordWrap/>
        <w:overflowPunct/>
        <w:topLinePunct w:val="0"/>
        <w:autoSpaceDE/>
        <w:autoSpaceDN/>
        <w:bidi w:val="0"/>
        <w:adjustRightInd/>
        <w:snapToGrid/>
        <w:ind w:left="0" w:leftChars="0" w:firstLine="0" w:firstLineChars="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建设空间</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根据村庄空间格局锁定全域建设空间为84.99公顷，占村域面积的22.95%，村庄建设空间面积为53.94公顷。</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管控要求：合理安排农村建设用地，优先满足农村基本公共服务设施用地需求；规划期内村庄建设边界原则上不得调整，如需调整按规划修改处理，严格论证，报规划审批机关批准。村庄建设空间内的经营性用地，应按照集体土地入市方式进行相应出让。</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jc w:val="both"/>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五、产业发展布局结构</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整体为“一心、一带、六片区”的总体发展格局。</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“一心”为大健康产业发展中心；“一带”为洨河景观带；“六片区”为有机葡萄种植、集中居住区、良种樱桃种植区、基础作物种植区、集中养殖区、古城遗址保护区。</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六、公共服务设施规划</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按照《村庄规划技术规范》，村庄公共服务设施用地包括农村社区服务设施用地、公共管理与公共服务设施用地。其中农村社区服务设施用地包括村委会、文化活动室、小型体育活动场所、卫生服务站、农村商店及小型超市、农村电商服务站；公共管理与公共服务设施用地包含小学、幼儿园。</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七、道路交通规划</w:t>
      </w:r>
    </w:p>
    <w:p>
      <w:pPr>
        <w:keepNext w:val="0"/>
        <w:keepLines w:val="0"/>
        <w:pageBreakBefore w:val="0"/>
        <w:widowControl w:val="0"/>
        <w:numPr>
          <w:ilvl w:val="0"/>
          <w:numId w:val="4"/>
        </w:numPr>
        <w:kinsoku/>
        <w:wordWrap/>
        <w:overflowPunct/>
        <w:topLinePunct w:val="0"/>
        <w:autoSpaceDE/>
        <w:autoSpaceDN/>
        <w:bidi w:val="0"/>
        <w:adjustRightInd/>
        <w:snapToGrid/>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对外交通</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村庄的主要对外交通为村庄北侧S392衡井线。</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规划S392衡井线红线宽度50米，往东连接石铜路，往西接山前大道。</w:t>
      </w:r>
    </w:p>
    <w:p>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村道和田间到规划</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村域内向外联系的村道为长青大街一巷向东通往羊角庄村、南侧穿石家庄绕城高速村道向南通往南故邑村，路面宽度为5-6米。</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机耕路硬化率达到95%，路面宽度宜为3米。</w:t>
      </w:r>
    </w:p>
    <w:p>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村庄内部道路</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村内道路主要沿用现有道路骨架，按照干路、支路、巷道三个等级设置，其中干路红线宽度15-10米，为安康路、自强路、常青大街，为双车道；支路红线宽度12米，为英才路、、新兴大街、同福大街、大桥大街、维明大街、中兴大街、富顺大街，为双车道；巷道红线宽度为4-7米，为宅前胡同。</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八、公用设施规划</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村庄与铜冶镇区实现给水、燃气、供热、通信等基础设施的共建共享。</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九、全域用地管控规划</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为适应北故邑村开发建设的需求，规划对村域内的建设用地进行编号并提出控制要求，为土地管理和规划建设管理提供直接依据。</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十、近期建设规划</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近期建设规划主要有八个方向，为产业发展、住房建设、国土综合整治、生态修复、道路交通、历史文化保护、公共服务设施建设、防灾减灾设施建设。</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近期建设总投资为2740万元。</w:t>
      </w:r>
    </w:p>
    <w:p>
      <w:pPr>
        <w:keepNext w:val="0"/>
        <w:keepLines w:val="0"/>
        <w:pageBreakBefore w:val="0"/>
        <w:widowControl w:val="0"/>
        <w:numPr>
          <w:ilvl w:val="0"/>
          <w:numId w:val="0"/>
        </w:numPr>
        <w:kinsoku/>
        <w:wordWrap/>
        <w:overflowPunct/>
        <w:topLinePunct w:val="0"/>
        <w:autoSpaceDE/>
        <w:autoSpaceDN/>
        <w:bidi w:val="0"/>
        <w:adjustRightInd/>
        <w:snapToGrid/>
        <w:ind w:leftChars="0"/>
        <w:jc w:val="center"/>
        <w:textAlignment w:val="auto"/>
        <w:rPr>
          <w:rFonts w:hint="eastAsia" w:ascii="黑体" w:hAnsi="黑体" w:eastAsia="黑体" w:cs="黑体"/>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ind w:leftChars="0"/>
        <w:jc w:val="center"/>
        <w:textAlignment w:val="auto"/>
        <w:rPr>
          <w:rFonts w:hint="eastAsia" w:ascii="黑体" w:hAnsi="黑体" w:eastAsia="黑体" w:cs="黑体"/>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ind w:leftChars="0"/>
        <w:jc w:val="center"/>
        <w:textAlignment w:val="auto"/>
        <w:rPr>
          <w:rFonts w:hint="eastAsia" w:ascii="黑体" w:hAnsi="黑体" w:eastAsia="黑体" w:cs="黑体"/>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ind w:leftChars="0"/>
        <w:jc w:val="center"/>
        <w:textAlignment w:val="auto"/>
        <w:rPr>
          <w:rFonts w:hint="eastAsia" w:ascii="黑体" w:hAnsi="黑体" w:eastAsia="黑体" w:cs="黑体"/>
          <w:sz w:val="28"/>
          <w:szCs w:val="28"/>
          <w:lang w:val="en-US" w:eastAsia="zh-CN"/>
        </w:rPr>
      </w:pPr>
      <w:r>
        <w:rPr>
          <w:rFonts w:hint="eastAsia" w:ascii="黑体" w:hAnsi="黑体" w:eastAsia="黑体" w:cs="黑体"/>
          <w:sz w:val="28"/>
          <w:szCs w:val="28"/>
          <w:lang w:val="en-US" w:eastAsia="zh-CN"/>
        </w:rPr>
        <w:t>村庄近期建设项目表</w:t>
      </w:r>
    </w:p>
    <w:tbl>
      <w:tblPr>
        <w:tblStyle w:val="3"/>
        <w:tblW w:w="8664" w:type="dxa"/>
        <w:tblCellSpacing w:w="0" w:type="dxa"/>
        <w:tblInd w:w="1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292"/>
        <w:gridCol w:w="1793"/>
        <w:gridCol w:w="1372"/>
        <w:gridCol w:w="1079"/>
        <w:gridCol w:w="1226"/>
        <w:gridCol w:w="1024"/>
        <w:gridCol w:w="87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6" w:hRule="atLeast"/>
          <w:tblCellSpacing w:w="0" w:type="dxa"/>
        </w:trPr>
        <w:tc>
          <w:tcPr>
            <w:tcW w:w="1292"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ascii="微软雅黑" w:hAnsi="微软雅黑" w:eastAsia="微软雅黑" w:cs="微软雅黑"/>
                <w:color w:val="000000"/>
                <w:sz w:val="20"/>
                <w:szCs w:val="20"/>
              </w:rPr>
              <w:t>项目类别</w:t>
            </w:r>
          </w:p>
        </w:tc>
        <w:tc>
          <w:tcPr>
            <w:tcW w:w="1793"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项目名称</w:t>
            </w:r>
          </w:p>
        </w:tc>
        <w:tc>
          <w:tcPr>
            <w:tcW w:w="1372"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建设规模</w:t>
            </w:r>
          </w:p>
        </w:tc>
        <w:tc>
          <w:tcPr>
            <w:tcW w:w="1079"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资金估算</w:t>
            </w:r>
          </w:p>
        </w:tc>
        <w:tc>
          <w:tcPr>
            <w:tcW w:w="1226"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筹措方式</w:t>
            </w:r>
          </w:p>
        </w:tc>
        <w:tc>
          <w:tcPr>
            <w:tcW w:w="1024"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责任主体</w:t>
            </w:r>
          </w:p>
        </w:tc>
        <w:tc>
          <w:tcPr>
            <w:tcW w:w="878"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建设时序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0" w:hRule="atLeast"/>
          <w:tblCellSpacing w:w="0" w:type="dxa"/>
        </w:trPr>
        <w:tc>
          <w:tcPr>
            <w:tcW w:w="1292" w:type="dxa"/>
            <w:vMerge w:val="restar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产业发展</w:t>
            </w:r>
          </w:p>
        </w:tc>
        <w:tc>
          <w:tcPr>
            <w:tcW w:w="1793"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医养产业中心建设</w:t>
            </w:r>
          </w:p>
        </w:tc>
        <w:tc>
          <w:tcPr>
            <w:tcW w:w="1372"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25.22公顷</w:t>
            </w:r>
          </w:p>
        </w:tc>
        <w:tc>
          <w:tcPr>
            <w:tcW w:w="1079"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2000万元</w:t>
            </w:r>
          </w:p>
        </w:tc>
        <w:tc>
          <w:tcPr>
            <w:tcW w:w="1226"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企业+政府</w:t>
            </w:r>
          </w:p>
        </w:tc>
        <w:tc>
          <w:tcPr>
            <w:tcW w:w="1024"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镇政府</w:t>
            </w:r>
          </w:p>
        </w:tc>
        <w:tc>
          <w:tcPr>
            <w:tcW w:w="878"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2025年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0" w:hRule="atLeast"/>
          <w:tblCellSpacing w:w="0" w:type="dxa"/>
        </w:trPr>
        <w:tc>
          <w:tcPr>
            <w:tcW w:w="1292" w:type="dxa"/>
            <w:vMerge w:val="continue"/>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jc w:val="center"/>
              <w:rPr>
                <w:rFonts w:hint="eastAsia" w:ascii="宋体"/>
                <w:sz w:val="18"/>
                <w:szCs w:val="18"/>
              </w:rPr>
            </w:pPr>
          </w:p>
        </w:tc>
        <w:tc>
          <w:tcPr>
            <w:tcW w:w="1793"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葡萄园品质提升</w:t>
            </w:r>
          </w:p>
        </w:tc>
        <w:tc>
          <w:tcPr>
            <w:tcW w:w="1372"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6.31公顷</w:t>
            </w:r>
          </w:p>
        </w:tc>
        <w:tc>
          <w:tcPr>
            <w:tcW w:w="1079"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100万元</w:t>
            </w:r>
          </w:p>
        </w:tc>
        <w:tc>
          <w:tcPr>
            <w:tcW w:w="1226"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农户+村集体</w:t>
            </w:r>
          </w:p>
        </w:tc>
        <w:tc>
          <w:tcPr>
            <w:tcW w:w="1024"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村委会</w:t>
            </w:r>
          </w:p>
        </w:tc>
        <w:tc>
          <w:tcPr>
            <w:tcW w:w="878"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2025年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0" w:hRule="atLeast"/>
          <w:tblCellSpacing w:w="0" w:type="dxa"/>
        </w:trPr>
        <w:tc>
          <w:tcPr>
            <w:tcW w:w="1292" w:type="dxa"/>
            <w:vMerge w:val="continue"/>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jc w:val="center"/>
              <w:rPr>
                <w:rFonts w:hint="eastAsia" w:ascii="宋体"/>
                <w:sz w:val="18"/>
                <w:szCs w:val="18"/>
              </w:rPr>
            </w:pPr>
          </w:p>
        </w:tc>
        <w:tc>
          <w:tcPr>
            <w:tcW w:w="1793"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养殖小区扩建</w:t>
            </w:r>
          </w:p>
        </w:tc>
        <w:tc>
          <w:tcPr>
            <w:tcW w:w="1372"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0.34公顷</w:t>
            </w:r>
          </w:p>
        </w:tc>
        <w:tc>
          <w:tcPr>
            <w:tcW w:w="1079"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50万元</w:t>
            </w:r>
          </w:p>
        </w:tc>
        <w:tc>
          <w:tcPr>
            <w:tcW w:w="1226"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企业+政府</w:t>
            </w:r>
          </w:p>
        </w:tc>
        <w:tc>
          <w:tcPr>
            <w:tcW w:w="1024"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镇政府</w:t>
            </w:r>
          </w:p>
        </w:tc>
        <w:tc>
          <w:tcPr>
            <w:tcW w:w="878"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2024年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0" w:hRule="atLeast"/>
          <w:tblCellSpacing w:w="0" w:type="dxa"/>
        </w:trPr>
        <w:tc>
          <w:tcPr>
            <w:tcW w:w="1292"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住房建设</w:t>
            </w:r>
          </w:p>
        </w:tc>
        <w:tc>
          <w:tcPr>
            <w:tcW w:w="1793"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住房建设</w:t>
            </w:r>
          </w:p>
        </w:tc>
        <w:tc>
          <w:tcPr>
            <w:tcW w:w="1372"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2.10公顷</w:t>
            </w:r>
          </w:p>
        </w:tc>
        <w:tc>
          <w:tcPr>
            <w:tcW w:w="1079"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w:t>
            </w:r>
          </w:p>
        </w:tc>
        <w:tc>
          <w:tcPr>
            <w:tcW w:w="1226"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村民自筹</w:t>
            </w:r>
          </w:p>
        </w:tc>
        <w:tc>
          <w:tcPr>
            <w:tcW w:w="1024"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村委会</w:t>
            </w:r>
          </w:p>
        </w:tc>
        <w:tc>
          <w:tcPr>
            <w:tcW w:w="878"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2025年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0" w:hRule="atLeast"/>
          <w:tblCellSpacing w:w="0" w:type="dxa"/>
        </w:trPr>
        <w:tc>
          <w:tcPr>
            <w:tcW w:w="1292"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国土综合整治</w:t>
            </w:r>
          </w:p>
        </w:tc>
        <w:tc>
          <w:tcPr>
            <w:tcW w:w="1793"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后备土地资源开发</w:t>
            </w:r>
          </w:p>
        </w:tc>
        <w:tc>
          <w:tcPr>
            <w:tcW w:w="1372"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1.81公顷</w:t>
            </w:r>
          </w:p>
        </w:tc>
        <w:tc>
          <w:tcPr>
            <w:tcW w:w="1079"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30万元</w:t>
            </w:r>
          </w:p>
        </w:tc>
        <w:tc>
          <w:tcPr>
            <w:tcW w:w="1226"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政府</w:t>
            </w:r>
          </w:p>
        </w:tc>
        <w:tc>
          <w:tcPr>
            <w:tcW w:w="1024"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镇政府</w:t>
            </w:r>
          </w:p>
        </w:tc>
        <w:tc>
          <w:tcPr>
            <w:tcW w:w="878"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2024年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0" w:hRule="atLeast"/>
          <w:tblCellSpacing w:w="0" w:type="dxa"/>
        </w:trPr>
        <w:tc>
          <w:tcPr>
            <w:tcW w:w="1292"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生态修复</w:t>
            </w:r>
          </w:p>
        </w:tc>
        <w:tc>
          <w:tcPr>
            <w:tcW w:w="1793"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洨河生态修复</w:t>
            </w:r>
          </w:p>
        </w:tc>
        <w:tc>
          <w:tcPr>
            <w:tcW w:w="1372"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8.78公顷</w:t>
            </w:r>
          </w:p>
        </w:tc>
        <w:tc>
          <w:tcPr>
            <w:tcW w:w="1079"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350万元</w:t>
            </w:r>
          </w:p>
        </w:tc>
        <w:tc>
          <w:tcPr>
            <w:tcW w:w="1226"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政府</w:t>
            </w:r>
          </w:p>
        </w:tc>
        <w:tc>
          <w:tcPr>
            <w:tcW w:w="1024"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镇政府</w:t>
            </w:r>
          </w:p>
        </w:tc>
        <w:tc>
          <w:tcPr>
            <w:tcW w:w="878"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2025年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0" w:hRule="atLeast"/>
          <w:tblCellSpacing w:w="0" w:type="dxa"/>
        </w:trPr>
        <w:tc>
          <w:tcPr>
            <w:tcW w:w="1292" w:type="dxa"/>
            <w:vMerge w:val="restar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道路交通</w:t>
            </w:r>
          </w:p>
        </w:tc>
        <w:tc>
          <w:tcPr>
            <w:tcW w:w="1793"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村内道路建设</w:t>
            </w:r>
          </w:p>
        </w:tc>
        <w:tc>
          <w:tcPr>
            <w:tcW w:w="1372"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5890平方米</w:t>
            </w:r>
          </w:p>
        </w:tc>
        <w:tc>
          <w:tcPr>
            <w:tcW w:w="1079"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60万元</w:t>
            </w:r>
          </w:p>
        </w:tc>
        <w:tc>
          <w:tcPr>
            <w:tcW w:w="1226"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村集体</w:t>
            </w:r>
          </w:p>
        </w:tc>
        <w:tc>
          <w:tcPr>
            <w:tcW w:w="1024"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村委会</w:t>
            </w:r>
          </w:p>
        </w:tc>
        <w:tc>
          <w:tcPr>
            <w:tcW w:w="878"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2024年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0" w:hRule="atLeast"/>
          <w:tblCellSpacing w:w="0" w:type="dxa"/>
        </w:trPr>
        <w:tc>
          <w:tcPr>
            <w:tcW w:w="1292" w:type="dxa"/>
            <w:vMerge w:val="continue"/>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jc w:val="center"/>
              <w:rPr>
                <w:rFonts w:hint="eastAsia" w:ascii="宋体"/>
                <w:sz w:val="18"/>
                <w:szCs w:val="18"/>
              </w:rPr>
            </w:pPr>
          </w:p>
        </w:tc>
        <w:tc>
          <w:tcPr>
            <w:tcW w:w="1793"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衡井线扩建</w:t>
            </w:r>
          </w:p>
        </w:tc>
        <w:tc>
          <w:tcPr>
            <w:tcW w:w="1372"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3.35公顷</w:t>
            </w:r>
          </w:p>
        </w:tc>
        <w:tc>
          <w:tcPr>
            <w:tcW w:w="1079"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w:t>
            </w:r>
          </w:p>
        </w:tc>
        <w:tc>
          <w:tcPr>
            <w:tcW w:w="1226"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政府</w:t>
            </w:r>
          </w:p>
        </w:tc>
        <w:tc>
          <w:tcPr>
            <w:tcW w:w="1024"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镇政府</w:t>
            </w:r>
          </w:p>
        </w:tc>
        <w:tc>
          <w:tcPr>
            <w:tcW w:w="878"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2025年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0" w:hRule="atLeast"/>
          <w:tblCellSpacing w:w="0" w:type="dxa"/>
        </w:trPr>
        <w:tc>
          <w:tcPr>
            <w:tcW w:w="1292"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历史文化保护</w:t>
            </w:r>
          </w:p>
        </w:tc>
        <w:tc>
          <w:tcPr>
            <w:tcW w:w="1793"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古城遗址保护</w:t>
            </w:r>
          </w:p>
        </w:tc>
        <w:tc>
          <w:tcPr>
            <w:tcW w:w="1372"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1.66公顷</w:t>
            </w:r>
          </w:p>
        </w:tc>
        <w:tc>
          <w:tcPr>
            <w:tcW w:w="1079"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50万元</w:t>
            </w:r>
          </w:p>
        </w:tc>
        <w:tc>
          <w:tcPr>
            <w:tcW w:w="1226"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村集体+政府</w:t>
            </w:r>
          </w:p>
        </w:tc>
        <w:tc>
          <w:tcPr>
            <w:tcW w:w="1024"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镇政府</w:t>
            </w:r>
          </w:p>
        </w:tc>
        <w:tc>
          <w:tcPr>
            <w:tcW w:w="878"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2025年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3" w:hRule="atLeast"/>
          <w:tblCellSpacing w:w="0" w:type="dxa"/>
        </w:trPr>
        <w:tc>
          <w:tcPr>
            <w:tcW w:w="1292"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公共服务设施</w:t>
            </w:r>
          </w:p>
        </w:tc>
        <w:tc>
          <w:tcPr>
            <w:tcW w:w="1793"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村民广场</w:t>
            </w:r>
          </w:p>
        </w:tc>
        <w:tc>
          <w:tcPr>
            <w:tcW w:w="1372"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2028平方米</w:t>
            </w:r>
          </w:p>
        </w:tc>
        <w:tc>
          <w:tcPr>
            <w:tcW w:w="1079"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20万元</w:t>
            </w:r>
          </w:p>
        </w:tc>
        <w:tc>
          <w:tcPr>
            <w:tcW w:w="1226"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村集体</w:t>
            </w:r>
          </w:p>
        </w:tc>
        <w:tc>
          <w:tcPr>
            <w:tcW w:w="1024"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村委会</w:t>
            </w:r>
          </w:p>
        </w:tc>
        <w:tc>
          <w:tcPr>
            <w:tcW w:w="878"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2024年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99" w:hRule="atLeast"/>
          <w:tblCellSpacing w:w="0" w:type="dxa"/>
        </w:trPr>
        <w:tc>
          <w:tcPr>
            <w:tcW w:w="1292"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防灾减灾</w:t>
            </w:r>
          </w:p>
        </w:tc>
        <w:tc>
          <w:tcPr>
            <w:tcW w:w="1793"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洨河河堤加固</w:t>
            </w:r>
          </w:p>
        </w:tc>
        <w:tc>
          <w:tcPr>
            <w:tcW w:w="1372"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825米</w:t>
            </w:r>
          </w:p>
        </w:tc>
        <w:tc>
          <w:tcPr>
            <w:tcW w:w="1079"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80万元</w:t>
            </w:r>
          </w:p>
        </w:tc>
        <w:tc>
          <w:tcPr>
            <w:tcW w:w="1226"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政府</w:t>
            </w:r>
          </w:p>
        </w:tc>
        <w:tc>
          <w:tcPr>
            <w:tcW w:w="1024"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镇政府</w:t>
            </w:r>
          </w:p>
        </w:tc>
        <w:tc>
          <w:tcPr>
            <w:tcW w:w="878"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2025年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blCellSpacing w:w="0" w:type="dxa"/>
        </w:trPr>
        <w:tc>
          <w:tcPr>
            <w:tcW w:w="1292" w:type="dxa"/>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合计</w:t>
            </w:r>
          </w:p>
        </w:tc>
        <w:tc>
          <w:tcPr>
            <w:tcW w:w="7372" w:type="dxa"/>
            <w:gridSpan w:val="6"/>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18"/>
                <w:szCs w:val="18"/>
              </w:rPr>
            </w:pPr>
            <w:r>
              <w:rPr>
                <w:rFonts w:hint="eastAsia" w:ascii="微软雅黑" w:hAnsi="微软雅黑" w:eastAsia="微软雅黑" w:cs="微软雅黑"/>
                <w:color w:val="000000"/>
                <w:sz w:val="20"/>
                <w:szCs w:val="20"/>
              </w:rPr>
              <w:t>2740万元</w:t>
            </w:r>
          </w:p>
        </w:tc>
      </w:tr>
    </w:tbl>
    <w:p>
      <w:pPr>
        <w:keepNext w:val="0"/>
        <w:keepLines w:val="0"/>
        <w:pageBreakBefore w:val="0"/>
        <w:widowControl w:val="0"/>
        <w:numPr>
          <w:ilvl w:val="0"/>
          <w:numId w:val="0"/>
        </w:numPr>
        <w:kinsoku/>
        <w:wordWrap/>
        <w:overflowPunct/>
        <w:topLinePunct w:val="0"/>
        <w:autoSpaceDE/>
        <w:autoSpaceDN/>
        <w:bidi w:val="0"/>
        <w:adjustRightInd/>
        <w:snapToGrid/>
        <w:ind w:leftChars="0"/>
        <w:jc w:val="center"/>
        <w:textAlignment w:val="auto"/>
        <w:rPr>
          <w:rFonts w:hint="default" w:ascii="黑体" w:hAnsi="黑体" w:eastAsia="黑体" w:cs="黑体"/>
          <w:sz w:val="28"/>
          <w:szCs w:val="28"/>
          <w:lang w:val="en-US" w:eastAsia="zh-CN"/>
        </w:rPr>
      </w:pPr>
      <w:r>
        <w:rPr>
          <w:rFonts w:hint="default" w:ascii="黑体" w:hAnsi="黑体" w:eastAsia="黑体" w:cs="黑体"/>
          <w:sz w:val="28"/>
          <w:szCs w:val="28"/>
          <w:lang w:val="en-US" w:eastAsia="zh-CN"/>
        </w:rPr>
        <w:drawing>
          <wp:anchor distT="0" distB="0" distL="114300" distR="114300" simplePos="0" relativeHeight="251659264" behindDoc="0" locked="0" layoutInCell="1" allowOverlap="1">
            <wp:simplePos x="0" y="0"/>
            <wp:positionH relativeFrom="column">
              <wp:posOffset>-342265</wp:posOffset>
            </wp:positionH>
            <wp:positionV relativeFrom="paragraph">
              <wp:posOffset>23495</wp:posOffset>
            </wp:positionV>
            <wp:extent cx="5974715" cy="8451215"/>
            <wp:effectExtent l="0" t="0" r="6985" b="6985"/>
            <wp:wrapSquare wrapText="bothSides"/>
            <wp:docPr id="2" name="图片 2" descr="02国土空间现状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02国土空间现状图"/>
                    <pic:cNvPicPr>
                      <a:picLocks noChangeAspect="1"/>
                    </pic:cNvPicPr>
                  </pic:nvPicPr>
                  <pic:blipFill>
                    <a:blip r:embed="rId4"/>
                    <a:stretch>
                      <a:fillRect/>
                    </a:stretch>
                  </pic:blipFill>
                  <pic:spPr>
                    <a:xfrm>
                      <a:off x="0" y="0"/>
                      <a:ext cx="5974715" cy="8451215"/>
                    </a:xfrm>
                    <a:prstGeom prst="rect">
                      <a:avLst/>
                    </a:prstGeom>
                  </pic:spPr>
                </pic:pic>
              </a:graphicData>
            </a:graphic>
          </wp:anchor>
        </w:drawing>
      </w:r>
    </w:p>
    <w:p>
      <w:pPr>
        <w:keepNext w:val="0"/>
        <w:keepLines w:val="0"/>
        <w:pageBreakBefore w:val="0"/>
        <w:widowControl w:val="0"/>
        <w:numPr>
          <w:ilvl w:val="0"/>
          <w:numId w:val="0"/>
        </w:numPr>
        <w:kinsoku/>
        <w:wordWrap/>
        <w:overflowPunct/>
        <w:topLinePunct w:val="0"/>
        <w:autoSpaceDE/>
        <w:autoSpaceDN/>
        <w:bidi w:val="0"/>
        <w:adjustRightInd/>
        <w:snapToGrid/>
        <w:ind w:leftChars="0"/>
        <w:jc w:val="center"/>
        <w:textAlignment w:val="auto"/>
        <w:rPr>
          <w:rFonts w:hint="default" w:ascii="黑体" w:hAnsi="黑体" w:eastAsia="黑体" w:cs="黑体"/>
          <w:sz w:val="28"/>
          <w:szCs w:val="28"/>
          <w:lang w:val="en-US" w:eastAsia="zh-CN"/>
        </w:rPr>
      </w:pPr>
      <w:r>
        <w:rPr>
          <w:rFonts w:hint="default" w:ascii="黑体" w:hAnsi="黑体" w:eastAsia="黑体" w:cs="黑体"/>
          <w:sz w:val="28"/>
          <w:szCs w:val="28"/>
          <w:lang w:val="en-US" w:eastAsia="zh-CN"/>
        </w:rPr>
        <w:drawing>
          <wp:anchor distT="0" distB="0" distL="114300" distR="114300" simplePos="0" relativeHeight="251660288" behindDoc="0" locked="0" layoutInCell="1" allowOverlap="1">
            <wp:simplePos x="0" y="0"/>
            <wp:positionH relativeFrom="column">
              <wp:posOffset>-429895</wp:posOffset>
            </wp:positionH>
            <wp:positionV relativeFrom="paragraph">
              <wp:posOffset>84455</wp:posOffset>
            </wp:positionV>
            <wp:extent cx="6122035" cy="8658860"/>
            <wp:effectExtent l="0" t="0" r="12065" b="8890"/>
            <wp:wrapSquare wrapText="bothSides"/>
            <wp:docPr id="3" name="图片 3" descr="03国土空间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03国土空间规划图"/>
                    <pic:cNvPicPr>
                      <a:picLocks noChangeAspect="1"/>
                    </pic:cNvPicPr>
                  </pic:nvPicPr>
                  <pic:blipFill>
                    <a:blip r:embed="rId5"/>
                    <a:stretch>
                      <a:fillRect/>
                    </a:stretch>
                  </pic:blipFill>
                  <pic:spPr>
                    <a:xfrm>
                      <a:off x="0" y="0"/>
                      <a:ext cx="6122035" cy="8658860"/>
                    </a:xfrm>
                    <a:prstGeom prst="rect">
                      <a:avLst/>
                    </a:prstGeom>
                  </pic:spPr>
                </pic:pic>
              </a:graphicData>
            </a:graphic>
          </wp:anchor>
        </w:drawing>
      </w:r>
    </w:p>
    <w:p>
      <w:pPr>
        <w:keepNext w:val="0"/>
        <w:keepLines w:val="0"/>
        <w:pageBreakBefore w:val="0"/>
        <w:widowControl w:val="0"/>
        <w:numPr>
          <w:ilvl w:val="0"/>
          <w:numId w:val="0"/>
        </w:numPr>
        <w:kinsoku/>
        <w:wordWrap/>
        <w:overflowPunct/>
        <w:topLinePunct w:val="0"/>
        <w:autoSpaceDE/>
        <w:autoSpaceDN/>
        <w:bidi w:val="0"/>
        <w:adjustRightInd/>
        <w:snapToGrid/>
        <w:ind w:leftChars="0"/>
        <w:jc w:val="center"/>
        <w:textAlignment w:val="auto"/>
        <w:rPr>
          <w:rFonts w:hint="default" w:ascii="黑体" w:hAnsi="黑体" w:eastAsia="黑体" w:cs="黑体"/>
          <w:sz w:val="28"/>
          <w:szCs w:val="28"/>
          <w:lang w:val="en-US" w:eastAsia="zh-CN"/>
        </w:rPr>
      </w:pPr>
      <w:r>
        <w:rPr>
          <w:rFonts w:hint="default" w:ascii="黑体" w:hAnsi="黑体" w:eastAsia="黑体" w:cs="黑体"/>
          <w:sz w:val="28"/>
          <w:szCs w:val="28"/>
          <w:lang w:val="en-US" w:eastAsia="zh-CN"/>
        </w:rPr>
        <w:drawing>
          <wp:anchor distT="0" distB="0" distL="114935" distR="114935" simplePos="0" relativeHeight="251661312" behindDoc="0" locked="0" layoutInCell="1" allowOverlap="1">
            <wp:simplePos x="0" y="0"/>
            <wp:positionH relativeFrom="column">
              <wp:posOffset>-486410</wp:posOffset>
            </wp:positionH>
            <wp:positionV relativeFrom="paragraph">
              <wp:posOffset>46990</wp:posOffset>
            </wp:positionV>
            <wp:extent cx="6221095" cy="8799195"/>
            <wp:effectExtent l="0" t="0" r="8255" b="1905"/>
            <wp:wrapTopAndBottom/>
            <wp:docPr id="4" name="图片 4" descr="04三区三线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04三区三线规划图"/>
                    <pic:cNvPicPr>
                      <a:picLocks noChangeAspect="1"/>
                    </pic:cNvPicPr>
                  </pic:nvPicPr>
                  <pic:blipFill>
                    <a:blip r:embed="rId6"/>
                    <a:stretch>
                      <a:fillRect/>
                    </a:stretch>
                  </pic:blipFill>
                  <pic:spPr>
                    <a:xfrm>
                      <a:off x="0" y="0"/>
                      <a:ext cx="6221095" cy="8799195"/>
                    </a:xfrm>
                    <a:prstGeom prst="rect">
                      <a:avLst/>
                    </a:prstGeom>
                  </pic:spPr>
                </pic:pic>
              </a:graphicData>
            </a:graphic>
          </wp:anchor>
        </w:drawing>
      </w:r>
    </w:p>
    <w:p>
      <w:pPr>
        <w:keepNext w:val="0"/>
        <w:keepLines w:val="0"/>
        <w:pageBreakBefore w:val="0"/>
        <w:widowControl w:val="0"/>
        <w:numPr>
          <w:ilvl w:val="0"/>
          <w:numId w:val="0"/>
        </w:numPr>
        <w:kinsoku/>
        <w:wordWrap/>
        <w:overflowPunct/>
        <w:topLinePunct w:val="0"/>
        <w:autoSpaceDE/>
        <w:autoSpaceDN/>
        <w:bidi w:val="0"/>
        <w:adjustRightInd/>
        <w:snapToGrid/>
        <w:ind w:leftChars="0"/>
        <w:jc w:val="center"/>
        <w:textAlignment w:val="auto"/>
        <w:rPr>
          <w:rFonts w:hint="default" w:ascii="黑体" w:hAnsi="黑体" w:eastAsia="黑体" w:cs="黑体"/>
          <w:sz w:val="28"/>
          <w:szCs w:val="28"/>
          <w:lang w:val="en-US" w:eastAsia="zh-CN"/>
        </w:rPr>
      </w:pPr>
      <w:r>
        <w:rPr>
          <w:rFonts w:hint="default" w:ascii="黑体" w:hAnsi="黑体" w:eastAsia="黑体" w:cs="黑体"/>
          <w:sz w:val="28"/>
          <w:szCs w:val="28"/>
          <w:lang w:val="en-US" w:eastAsia="zh-CN"/>
        </w:rPr>
        <w:drawing>
          <wp:anchor distT="0" distB="0" distL="114300" distR="114300" simplePos="0" relativeHeight="251662336" behindDoc="0" locked="0" layoutInCell="1" allowOverlap="1">
            <wp:simplePos x="0" y="0"/>
            <wp:positionH relativeFrom="column">
              <wp:posOffset>-492760</wp:posOffset>
            </wp:positionH>
            <wp:positionV relativeFrom="paragraph">
              <wp:posOffset>-80010</wp:posOffset>
            </wp:positionV>
            <wp:extent cx="6244590" cy="8832850"/>
            <wp:effectExtent l="0" t="0" r="3810" b="6350"/>
            <wp:wrapSquare wrapText="bothSides"/>
            <wp:docPr id="5" name="图片 5" descr="05产业布局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05产业布局规划图"/>
                    <pic:cNvPicPr>
                      <a:picLocks noChangeAspect="1"/>
                    </pic:cNvPicPr>
                  </pic:nvPicPr>
                  <pic:blipFill>
                    <a:blip r:embed="rId7"/>
                    <a:stretch>
                      <a:fillRect/>
                    </a:stretch>
                  </pic:blipFill>
                  <pic:spPr>
                    <a:xfrm>
                      <a:off x="0" y="0"/>
                      <a:ext cx="6244590" cy="8832850"/>
                    </a:xfrm>
                    <a:prstGeom prst="rect">
                      <a:avLst/>
                    </a:prstGeom>
                  </pic:spPr>
                </pic:pic>
              </a:graphicData>
            </a:graphic>
          </wp:anchor>
        </w:drawing>
      </w:r>
    </w:p>
    <w:p>
      <w:pPr>
        <w:keepNext w:val="0"/>
        <w:keepLines w:val="0"/>
        <w:pageBreakBefore w:val="0"/>
        <w:widowControl w:val="0"/>
        <w:numPr>
          <w:ilvl w:val="0"/>
          <w:numId w:val="0"/>
        </w:numPr>
        <w:kinsoku/>
        <w:wordWrap/>
        <w:overflowPunct/>
        <w:topLinePunct w:val="0"/>
        <w:autoSpaceDE/>
        <w:autoSpaceDN/>
        <w:bidi w:val="0"/>
        <w:adjustRightInd/>
        <w:snapToGrid/>
        <w:ind w:leftChars="0"/>
        <w:jc w:val="center"/>
        <w:textAlignment w:val="auto"/>
        <w:rPr>
          <w:rFonts w:hint="default" w:ascii="黑体" w:hAnsi="黑体" w:eastAsia="黑体" w:cs="黑体"/>
          <w:sz w:val="28"/>
          <w:szCs w:val="28"/>
          <w:lang w:val="en-US" w:eastAsia="zh-CN"/>
        </w:rPr>
      </w:pPr>
      <w:r>
        <w:rPr>
          <w:rFonts w:hint="default" w:ascii="黑体" w:hAnsi="黑体" w:eastAsia="黑体" w:cs="黑体"/>
          <w:sz w:val="28"/>
          <w:szCs w:val="28"/>
          <w:lang w:val="en-US" w:eastAsia="zh-CN"/>
        </w:rPr>
        <w:drawing>
          <wp:anchor distT="0" distB="0" distL="114935" distR="114935" simplePos="0" relativeHeight="251663360" behindDoc="0" locked="0" layoutInCell="1" allowOverlap="1">
            <wp:simplePos x="0" y="0"/>
            <wp:positionH relativeFrom="column">
              <wp:posOffset>-445770</wp:posOffset>
            </wp:positionH>
            <wp:positionV relativeFrom="paragraph">
              <wp:posOffset>47625</wp:posOffset>
            </wp:positionV>
            <wp:extent cx="6212205" cy="8787130"/>
            <wp:effectExtent l="0" t="0" r="17145" b="13970"/>
            <wp:wrapTopAndBottom/>
            <wp:docPr id="6" name="图片 6" descr="07农村居民点用地布局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07农村居民点用地布局规划图"/>
                    <pic:cNvPicPr>
                      <a:picLocks noChangeAspect="1"/>
                    </pic:cNvPicPr>
                  </pic:nvPicPr>
                  <pic:blipFill>
                    <a:blip r:embed="rId8"/>
                    <a:stretch>
                      <a:fillRect/>
                    </a:stretch>
                  </pic:blipFill>
                  <pic:spPr>
                    <a:xfrm>
                      <a:off x="0" y="0"/>
                      <a:ext cx="6212205" cy="8787130"/>
                    </a:xfrm>
                    <a:prstGeom prst="rect">
                      <a:avLst/>
                    </a:prstGeom>
                  </pic:spPr>
                </pic:pic>
              </a:graphicData>
            </a:graphic>
          </wp:anchor>
        </w:drawing>
      </w:r>
    </w:p>
    <w:p>
      <w:pPr>
        <w:keepNext w:val="0"/>
        <w:keepLines w:val="0"/>
        <w:pageBreakBefore w:val="0"/>
        <w:widowControl w:val="0"/>
        <w:numPr>
          <w:ilvl w:val="0"/>
          <w:numId w:val="0"/>
        </w:numPr>
        <w:kinsoku/>
        <w:wordWrap/>
        <w:overflowPunct/>
        <w:topLinePunct w:val="0"/>
        <w:autoSpaceDE/>
        <w:autoSpaceDN/>
        <w:bidi w:val="0"/>
        <w:adjustRightInd/>
        <w:snapToGrid/>
        <w:ind w:leftChars="0"/>
        <w:jc w:val="center"/>
        <w:textAlignment w:val="auto"/>
        <w:rPr>
          <w:rFonts w:hint="default" w:ascii="黑体" w:hAnsi="黑体" w:eastAsia="黑体" w:cs="黑体"/>
          <w:sz w:val="28"/>
          <w:szCs w:val="28"/>
          <w:lang w:val="en-US" w:eastAsia="zh-CN"/>
        </w:rPr>
      </w:pPr>
      <w:r>
        <w:rPr>
          <w:rFonts w:hint="default" w:ascii="黑体" w:hAnsi="黑体" w:eastAsia="黑体" w:cs="黑体"/>
          <w:sz w:val="28"/>
          <w:szCs w:val="28"/>
          <w:lang w:val="en-US" w:eastAsia="zh-CN"/>
        </w:rPr>
        <w:drawing>
          <wp:anchor distT="0" distB="0" distL="114300" distR="114300" simplePos="0" relativeHeight="251664384" behindDoc="0" locked="0" layoutInCell="1" allowOverlap="1">
            <wp:simplePos x="0" y="0"/>
            <wp:positionH relativeFrom="column">
              <wp:posOffset>-496570</wp:posOffset>
            </wp:positionH>
            <wp:positionV relativeFrom="paragraph">
              <wp:posOffset>-46990</wp:posOffset>
            </wp:positionV>
            <wp:extent cx="6285865" cy="8891270"/>
            <wp:effectExtent l="0" t="0" r="635" b="5080"/>
            <wp:wrapSquare wrapText="bothSides"/>
            <wp:docPr id="7" name="图片 7" descr="21近期建设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21近期建设规划图"/>
                    <pic:cNvPicPr>
                      <a:picLocks noChangeAspect="1"/>
                    </pic:cNvPicPr>
                  </pic:nvPicPr>
                  <pic:blipFill>
                    <a:blip r:embed="rId9"/>
                    <a:stretch>
                      <a:fillRect/>
                    </a:stretch>
                  </pic:blipFill>
                  <pic:spPr>
                    <a:xfrm>
                      <a:off x="0" y="0"/>
                      <a:ext cx="6285865" cy="8891270"/>
                    </a:xfrm>
                    <a:prstGeom prst="rect">
                      <a:avLst/>
                    </a:prstGeom>
                  </pic:spPr>
                </pic:pic>
              </a:graphicData>
            </a:graphic>
          </wp:anchor>
        </w:drawing>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86817AC"/>
    <w:multiLevelType w:val="singleLevel"/>
    <w:tmpl w:val="E86817AC"/>
    <w:lvl w:ilvl="0" w:tentative="0">
      <w:start w:val="1"/>
      <w:numFmt w:val="decimal"/>
      <w:suff w:val="nothing"/>
      <w:lvlText w:val="%1、"/>
      <w:lvlJc w:val="left"/>
    </w:lvl>
  </w:abstractNum>
  <w:abstractNum w:abstractNumId="1">
    <w:nsid w:val="00A4D01C"/>
    <w:multiLevelType w:val="singleLevel"/>
    <w:tmpl w:val="00A4D01C"/>
    <w:lvl w:ilvl="0" w:tentative="0">
      <w:start w:val="1"/>
      <w:numFmt w:val="chineseCounting"/>
      <w:suff w:val="nothing"/>
      <w:lvlText w:val="（%1）"/>
      <w:lvlJc w:val="left"/>
      <w:rPr>
        <w:rFonts w:hint="eastAsia"/>
      </w:rPr>
    </w:lvl>
  </w:abstractNum>
  <w:abstractNum w:abstractNumId="2">
    <w:nsid w:val="274F16D8"/>
    <w:multiLevelType w:val="singleLevel"/>
    <w:tmpl w:val="274F16D8"/>
    <w:lvl w:ilvl="0" w:tentative="0">
      <w:start w:val="1"/>
      <w:numFmt w:val="decimal"/>
      <w:suff w:val="nothing"/>
      <w:lvlText w:val="%1、"/>
      <w:lvlJc w:val="left"/>
    </w:lvl>
  </w:abstractNum>
  <w:abstractNum w:abstractNumId="3">
    <w:nsid w:val="4A94DB4A"/>
    <w:multiLevelType w:val="singleLevel"/>
    <w:tmpl w:val="4A94DB4A"/>
    <w:lvl w:ilvl="0" w:tentative="0">
      <w:start w:val="1"/>
      <w:numFmt w:val="chineseCounting"/>
      <w:suff w:val="nothing"/>
      <w:lvlText w:val="%1、"/>
      <w:lvlJc w:val="left"/>
      <w:rPr>
        <w:rFonts w:hint="eastAsia"/>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ViYzlhNmQ3MTNiY2FmY2NhNmNiNzNhZDBmYTg3ZmIifQ=="/>
  </w:docVars>
  <w:rsids>
    <w:rsidRoot w:val="00000000"/>
    <w:rsid w:val="16E573D4"/>
    <w:rsid w:val="2BC6384D"/>
    <w:rsid w:val="638719BC"/>
    <w:rsid w:val="69787200"/>
    <w:rsid w:val="73E73B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2232</Words>
  <Characters>2415</Characters>
  <Lines>0</Lines>
  <Paragraphs>0</Paragraphs>
  <TotalTime>31</TotalTime>
  <ScaleCrop>false</ScaleCrop>
  <LinksUpToDate>false</LinksUpToDate>
  <CharactersWithSpaces>2415</CharactersWithSpaces>
  <Application>WPS Office_11.8.2.11978_F1E327BC-269C-435d-A152-05C5408002CA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2023-08-16T02:15:00Z</dcterms:created>
  <dc:creator>Administrator</dc:creator>
  <cp:lastModifiedBy>Administrator</cp:lastModifiedBy>
  <cp:lastPrinted>2023-10-23T06:54:59Z</cp:lastPrinted>
  <dcterms:modified xsi:type="dcterms:W3CDTF">2023-10-23T06:58:15Z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2052-11.8.2.11978</vt:lpwstr>
  </property>
  <property fmtid="{D5CDD505-2E9C-101B-9397-08002B2CF9AE}" pid="3" name="ICV">
    <vt:lpwstr>64D468BD001945BC892A7CD82061A5B1</vt:lpwstr>
  </property>
</Properties>
</file>