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both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石家庄市鹿泉区统计局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石家庄市鹿泉区统计局本部门</w:t>
      </w:r>
      <w:r>
        <w:rPr>
          <w:rFonts w:hint="eastAsia" w:ascii="仿宋" w:hAnsi="仿宋" w:eastAsia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widowControl w:val="0"/>
        <w:wordWrap/>
        <w:adjustRightInd w:val="0"/>
        <w:snapToGrid w:val="0"/>
        <w:spacing w:line="560" w:lineRule="exact"/>
        <w:ind w:left="638" w:leftChars="304" w:right="0" w:firstLine="0" w:firstLine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统计局是政府主管全区统计工作的职能部门。主要职责是： 1、承担组织领导和协调管理全区统计工作，确保统计数据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真实、准确、及时的责任。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2、制定全区统计改革、统计建设规划、统计调查计划、统计调查标准和统计调查制度，监督检查统计法律、法规实施情况， 指导全区统计工作。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3、贯彻执行国家国民经济核算制度，组织实施全区国民经济核算制度和投入产出调查，核算全区地区生产总值，整理、测 算和提供国民经济核算资料。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4、组织完成国家、省和石家庄市部署的国情国力普查及重要调查任务；汇总、整理和提供有关区情区力方面的统计数据。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5、组织实施农林牧鱼业、农业产值、农产品产量、农业产业化、特色小镇、工业、能源、社会、人口、工资、科技、建筑业、固定资产投资、房地产业、批发和零售业、住宿和餐饮业、服务业、城镇劳动力、城镇就业、高新技术产业、利用外资、民营经济、成品油流通、境外来中国大陆工作专家、规模以下工业抽样、城镇和农村住户调查、产量调查、畜禽调查、劳动力调查、 城市社会经济基本情况、县（市）社会经济基本情况、乡村社会经济、资源环境、经济社会重点问题等统计调查，收集、汇总、整理和提供统计数据。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6、组织实施社会发展水平、县域经济发展、节能降耗、城镇化发展、全面小康及农村小康建设进程、农村贫困、资源循环利用、妇女儿童等统计监测，收集、整理和提供统计数据。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7、综合整理和提供财政、金融、个体、私营以及混合经济税收、出口、地质勘查、文化教育、卫生、社会保障、公用事业、  房屋、对外贸易、对内经济技术合作及引进内资等基本统计数据。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8、组织各部门的经济、社会、科技统计调查，统一核定、管理、公布全区性基本统计资料，定期发布全区国民经济和社会发展情况的统计信息，组织建立统计信息共享制度和公布制度。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9、对国民经济、社会发展、科技进步等情况进行统计分析、 统计预测和统计监督，向区委、区政府及有关部门提供统计信息和咨询建议。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10、依法管理备案各部门、乡镇统计调查项目、调查计划、调查方案；指导专业统计基础工作、统计基层业务和规范化建设； 组织建立统计信息管理制度，建立健全统计数据质量审核、监控和评估制度，开展对重要统计数据的审核、监控和评估。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11、贯彻执行国家、省、石家庄市统计信息库和网络的基本 标准和运行规则；管理全区统计信息自动化系统和统计数据库体 系；指导全区统计信息化系统建设。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12、领导和管理城市社会经济调查队、农村经济调查队、普查中心和大数据中心，指导全区统计专业技术队伍建设，对统计员进行培训；配合石家庄市统计局组织管理统计从业资格认定和持证上岗工作，协助有关部门组织管理统计专业技术资格考试、职务评聘工作；监督管理全区统计经费和区财政提供的专项经费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13、承办区政府交办的其他事项。</w:t>
      </w:r>
    </w:p>
    <w:tbl>
      <w:tblPr>
        <w:tblStyle w:val="4"/>
        <w:tblpPr w:leftFromText="180" w:rightFromText="180" w:vertAnchor="text" w:horzAnchor="page" w:tblpXSpec="center" w:tblpY="10"/>
        <w:tblOverlap w:val="never"/>
        <w:tblW w:w="95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3485"/>
        <w:gridCol w:w="2445"/>
        <w:gridCol w:w="26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8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44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66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3485" w:type="dxa"/>
          </w:tcPr>
          <w:p>
            <w:pPr>
              <w:spacing w:line="560" w:lineRule="exact"/>
              <w:rPr>
                <w:rFonts w:hint="default" w:asci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8"/>
                <w:szCs w:val="28"/>
                <w:lang w:val="en-US" w:eastAsia="zh-CN"/>
              </w:rPr>
              <w:t>石家庄市鹿泉区统计局</w:t>
            </w:r>
          </w:p>
        </w:tc>
        <w:tc>
          <w:tcPr>
            <w:tcW w:w="2445" w:type="dxa"/>
          </w:tcPr>
          <w:p>
            <w:pPr>
              <w:spacing w:line="560" w:lineRule="exact"/>
              <w:jc w:val="center"/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  <w:t>行政单位</w:t>
            </w:r>
          </w:p>
        </w:tc>
        <w:tc>
          <w:tcPr>
            <w:tcW w:w="2665" w:type="dxa"/>
          </w:tcPr>
          <w:p>
            <w:pPr>
              <w:tabs>
                <w:tab w:val="left" w:pos="551"/>
              </w:tabs>
              <w:spacing w:line="560" w:lineRule="exact"/>
              <w:jc w:val="left"/>
              <w:rPr>
                <w:rFonts w:hint="default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eastAsia="zh-CN"/>
              </w:rPr>
              <w:tab/>
            </w: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  <w:t>财政拨款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580" w:type="dxa"/>
            <w:gridSpan w:val="4"/>
            <w:tcBorders>
              <w:left w:val="nil"/>
              <w:bottom w:val="nil"/>
              <w:right w:val="nil"/>
            </w:tcBorders>
          </w:tcPr>
          <w:p>
            <w:pPr>
              <w:numPr>
                <w:ilvl w:val="0"/>
                <w:numId w:val="0"/>
              </w:numPr>
              <w:spacing w:line="560" w:lineRule="exact"/>
              <w:jc w:val="left"/>
              <w:rPr>
                <w:rFonts w:hint="eastAsia" w:ascii="仿宋_GB2312" w:eastAsia="仿宋_GB2312" w:cs="仿宋_GB2312"/>
                <w:kern w:val="0"/>
                <w:sz w:val="28"/>
                <w:szCs w:val="28"/>
              </w:rPr>
            </w:pPr>
          </w:p>
        </w:tc>
      </w:tr>
    </w:tbl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决算</w:t>
      </w:r>
      <w:r>
        <w:rPr>
          <w:rFonts w:hint="eastAsia" w:ascii="仿宋_GB2312" w:hAnsi="Times New Roman" w:eastAsia="仿宋_GB2312" w:cs="仿宋_GB2312"/>
          <w:sz w:val="32"/>
          <w:szCs w:val="32"/>
        </w:rPr>
        <w:t>收入合计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902.29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支出合计902.29万元；本部门2022年度预算收入合计705.91万元，支出合计705.91万元。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1、统计调查、统计培训经费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绩效目标：按照统计制度要求开展夏粮监测、遥感测量、农民工调查等统计调查活动，满足国家统计核算需要，并对统计从业人员、调查员进行定期培训，为长期较好开展统计工作服务。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提升基层统计能力经费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包括印统计台账、统计展牌等1100份，更新电脑7台，购买防火墙软件一套、购置NAS云存储一套等。为长期较好地开展统计工作夯实基础，对统计基层基础工作条件、信息化水平和统计能力进行持续提升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不间断电力保障综合服务费用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绩效目标：租用不间断电力保障综合系统，保障局机关局域网设备及一部分工作电脑在断电时能正常工作，保障统计报表能按时上报，统计工作顺利开展。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七人普资料印刷费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绩效目标：按照上级的要求，印刷七人普数据资料汇编400套，2020年鹿泉人口发展报告300本，制作表彰牌匾、证书，满足社会对七人普资料的需要。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人口变动抽样调查经费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绩效目标：根据国家统计局的要求开展年度人口抽样调查工作，抽取900户左右住户开展入户调查，为国家统计核算提供数据。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月度劳动力调查经费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绩效目标：根据统计制度要求，抽取5个社区（村），对80户住户开展月度城镇失业率调查，以满足国家统计核算需要。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城乡住户调查经费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绩效目标：抽取110户农村、城镇住户作为记账户，开展统计调查，掌握居民的收入支出情况，为测算城乡居民可支配收入提供依据。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劳动工资统计经费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绩效目标：完成854家“四下”非私营单位劳动工资统计调查工作，为计算城乡地域全口径法人单位平均工资提供依据，服务国民经济核算。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县乡网络视频费用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绩效目标：联接13个乡镇和区统计局，保持网络畅通，各企业能及时完成报表。各乡镇统计员能在线查询企业报表情况，能正常召开视频会议。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住户调查和大样本轮换工作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绩效目标：对110户农村、城镇记账户大样本轮换，开展统计调查，掌握居民的收入支出情况，为测算城乡居民可支配收入提供依据。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统计资料数字化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通过对1949年以来的统计资料汇编、文书档案、历次人口普查、经济普查、农业普查、1954-2010年等重要资料进行数字化加工处理，保持统计资料和原始数据完整，更好地提升统计查询服务，及时为区委、区政府提供数据支撑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五经普专项试点经费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按照《第五次全国经济普查总体框架思路》《关于第五次全国经济普查专项试点相关工作设想》要求，测试第五次全国经济普查拟新增调查内容、新调查方法和新调查技术的科学性和可行性，为制定第五次全国经济普查方案提供支持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</w:t>
      </w:r>
      <w:r>
        <w:rPr>
          <w:rFonts w:ascii="仿宋_GB2312" w:hAnsi="仿宋_GB2312" w:eastAsia="仿宋_GB2312" w:cs="仿宋_GB2312"/>
          <w:sz w:val="32"/>
          <w:szCs w:val="32"/>
        </w:rPr>
        <w:t>2022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城乡住户调查</w:t>
      </w:r>
      <w:r>
        <w:rPr>
          <w:rFonts w:hint="eastAsia" w:ascii="仿宋_GB2312" w:hAnsi="仿宋_GB2312" w:eastAsia="仿宋_GB2312" w:cs="仿宋_GB2312"/>
          <w:sz w:val="32"/>
          <w:szCs w:val="32"/>
        </w:rPr>
        <w:t>”等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widowControl w:val="0"/>
        <w:numPr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按要求开展上年度单位预算绩效自评和重点评价工作，通过填写项目绩效自评表等方法进行自评，对评价中发现的问题及时整改，调整优化支出结构，提高财政资金使用效益。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4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根据预算绩效管理要求，本部门组织对</w:t>
      </w:r>
      <w:r>
        <w:rPr>
          <w:rFonts w:ascii="仿宋_GB2312" w:hAnsi="仿宋_GB2312" w:eastAsia="仿宋_GB2312" w:cs="仿宋_GB2312"/>
          <w:sz w:val="32"/>
          <w:szCs w:val="32"/>
        </w:rPr>
        <w:t>2022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个，二级项目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个，共涉及资金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117.84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万元，占一般公共预算项目支出总额的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对部门全面规范绩效预算编制、严格预算执行管理、推进绩效评价工作、推进预、决算信息公开等方面进行了自评，考核结果为优秀。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城乡住户调查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月度失业率调查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117.84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万元。从评价情况来看，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评价结果均为优秀。</w:t>
      </w:r>
    </w:p>
    <w:tbl>
      <w:tblPr>
        <w:tblStyle w:val="5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132"/>
        <w:gridCol w:w="1132"/>
        <w:gridCol w:w="1132"/>
        <w:gridCol w:w="1133"/>
        <w:gridCol w:w="1133"/>
        <w:gridCol w:w="1133"/>
        <w:gridCol w:w="11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序号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项目实施单位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预算数（调整后）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执行时（至2022年底）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结余交回财政数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  <w:t>自评得分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自评结果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统计调查、统计培训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306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6.75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2.25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99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县乡网络视频费</w:t>
            </w:r>
          </w:p>
        </w:tc>
        <w:tc>
          <w:tcPr>
            <w:tcW w:w="1132" w:type="dxa"/>
            <w:vAlign w:val="bottom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20.1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20.1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劳动工资统计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291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200" w:firstLineChars="100"/>
              <w:jc w:val="left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  <w:t>2.</w:t>
            </w: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0.75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99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城乡住户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291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18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18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月度劳动力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261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人口变动抽样调查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306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不间断电力保障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</w:p>
          <w:p>
            <w:pPr>
              <w:bidi w:val="0"/>
              <w:ind w:firstLine="291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299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提升基层统计能力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321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住户调查和大样本轮换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五经普专项试点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17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17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11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统计资料数字化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427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七人普资料印刷费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352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  <w:t>3.75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1.25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99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</w:tbl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2022年财政评价项目共 12 个，其中评价等级为“优” 项目 12个，评优率为100%。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无</w:t>
      </w:r>
    </w:p>
    <w:p>
      <w:pPr>
        <w:widowControl w:val="0"/>
        <w:numPr>
          <w:ilvl w:val="0"/>
          <w:numId w:val="4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widowControl w:val="0"/>
        <w:numPr>
          <w:numId w:val="0"/>
        </w:numPr>
        <w:wordWrap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无</w:t>
      </w:r>
    </w:p>
    <w:p>
      <w:pPr>
        <w:widowControl w:val="0"/>
        <w:numPr>
          <w:ilvl w:val="0"/>
          <w:numId w:val="5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评价工作组人员名单及签字（姓名、工作单位、职务、职称）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无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053CAFA2"/>
    <w:multiLevelType w:val="singleLevel"/>
    <w:tmpl w:val="053CAFA2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D130CA3"/>
    <w:multiLevelType w:val="singleLevel"/>
    <w:tmpl w:val="0D130CA3"/>
    <w:lvl w:ilvl="0" w:tentative="0">
      <w:start w:val="2"/>
      <w:numFmt w:val="decimal"/>
      <w:suff w:val="nothing"/>
      <w:lvlText w:val="%1、"/>
      <w:lvlJc w:val="left"/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4">
    <w:nsid w:val="5E85AC66"/>
    <w:multiLevelType w:val="singleLevel"/>
    <w:tmpl w:val="5E85AC6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0YWU0NGU1YmFiOGE2NjE4YzA5OTAyNDdlYTg2MTIifQ=="/>
  </w:docVars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47D7B48"/>
    <w:rsid w:val="19BD5DCA"/>
    <w:rsid w:val="1AAF0063"/>
    <w:rsid w:val="1BE140DE"/>
    <w:rsid w:val="1CC80E8B"/>
    <w:rsid w:val="248C197D"/>
    <w:rsid w:val="252959AF"/>
    <w:rsid w:val="277A6671"/>
    <w:rsid w:val="292D35B7"/>
    <w:rsid w:val="2A594280"/>
    <w:rsid w:val="30E713EC"/>
    <w:rsid w:val="33EB6CFF"/>
    <w:rsid w:val="35A12947"/>
    <w:rsid w:val="35D00DF7"/>
    <w:rsid w:val="37387040"/>
    <w:rsid w:val="39D67F35"/>
    <w:rsid w:val="3B625C0A"/>
    <w:rsid w:val="3C2F1380"/>
    <w:rsid w:val="3CEE1963"/>
    <w:rsid w:val="3EFB6596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317199D"/>
    <w:rsid w:val="7BB51E06"/>
    <w:rsid w:val="7C387F7C"/>
    <w:rsid w:val="7C5A1383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uiPriority w:val="99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1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Anny</cp:lastModifiedBy>
  <cp:lastPrinted>2022-01-19T07:24:00Z</cp:lastPrinted>
  <dcterms:modified xsi:type="dcterms:W3CDTF">2023-10-16T08:00:48Z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B65B13EE682B4FE994139A6CA38B58AD_12</vt:lpwstr>
  </property>
</Properties>
</file>