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仿宋_GB2312" w:eastAsia="仿宋_GB2312"/>
          <w:sz w:val="32"/>
          <w:szCs w:val="32"/>
        </w:rPr>
      </w:pPr>
      <w:bookmarkStart w:id="0" w:name="_GoBack"/>
      <w:bookmarkEnd w:id="0"/>
      <w:r>
        <w:rPr>
          <w:rFonts w:hint="eastAsia" w:ascii="仿宋_GB2312" w:eastAsia="仿宋_GB2312"/>
          <w:sz w:val="32"/>
          <w:szCs w:val="32"/>
        </w:rPr>
        <w:t>附件3</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rPr>
        <w:t>石家庄市鹿泉区退役军人事务局</w:t>
      </w:r>
    </w:p>
    <w:p>
      <w:pPr>
        <w:spacing w:line="560" w:lineRule="exact"/>
        <w:jc w:val="center"/>
        <w:rPr>
          <w:rFonts w:ascii="宋体" w:hAnsi="宋体" w:cs="宋体"/>
          <w:b/>
          <w:bCs/>
          <w:sz w:val="44"/>
          <w:szCs w:val="44"/>
        </w:rPr>
      </w:pPr>
      <w:r>
        <w:rPr>
          <w:rFonts w:hint="eastAsia" w:ascii="宋体" w:hAnsi="宋体" w:cs="宋体"/>
          <w:b/>
          <w:bCs/>
          <w:sz w:val="44"/>
          <w:szCs w:val="44"/>
        </w:rPr>
        <w:t>2022年度整体支出绩效自评报告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为贯彻落实石家庄市鹿泉区人民政府《关于全面实施预算绩效管理的实施意见》（鹿发﹝2019﹞8号）文件精神，遵循“科学性、规范性、客观性和公正性”的原则，鹿泉区退役军人事务局对2022年整体支出情况实施了财政支出绩效自评价，形成本评价报告。</w:t>
      </w:r>
    </w:p>
    <w:p>
      <w:pPr>
        <w:pStyle w:val="8"/>
        <w:numPr>
          <w:ilvl w:val="0"/>
          <w:numId w:val="1"/>
        </w:numPr>
        <w:adjustRightInd w:val="0"/>
        <w:snapToGrid w:val="0"/>
        <w:spacing w:line="560" w:lineRule="exact"/>
        <w:ind w:firstLineChars="0"/>
        <w:rPr>
          <w:rFonts w:ascii="黑体" w:hAnsi="黑体" w:eastAsia="黑体"/>
          <w:sz w:val="32"/>
          <w:szCs w:val="36"/>
        </w:rPr>
      </w:pPr>
      <w:r>
        <w:rPr>
          <w:rFonts w:hint="eastAsia" w:ascii="黑体" w:hAnsi="黑体" w:eastAsia="黑体"/>
          <w:sz w:val="32"/>
          <w:szCs w:val="32"/>
        </w:rPr>
        <w:t>部门</w:t>
      </w:r>
      <w:r>
        <w:rPr>
          <w:rFonts w:hint="eastAsia" w:ascii="黑体" w:hAnsi="黑体" w:eastAsia="黑体"/>
          <w:sz w:val="32"/>
          <w:szCs w:val="36"/>
        </w:rPr>
        <w:t>基本情况</w:t>
      </w:r>
    </w:p>
    <w:p>
      <w:pPr>
        <w:adjustRightInd w:val="0"/>
        <w:snapToGrid w:val="0"/>
        <w:spacing w:line="560" w:lineRule="exact"/>
        <w:ind w:firstLine="630" w:firstLineChars="196"/>
        <w:rPr>
          <w:rFonts w:ascii="仿宋" w:hAnsi="仿宋" w:eastAsia="仿宋"/>
          <w:b/>
          <w:sz w:val="32"/>
          <w:szCs w:val="32"/>
        </w:rPr>
      </w:pPr>
      <w:r>
        <w:rPr>
          <w:rFonts w:hint="eastAsia" w:ascii="仿宋" w:hAnsi="仿宋" w:eastAsia="仿宋"/>
          <w:b/>
          <w:sz w:val="32"/>
          <w:szCs w:val="32"/>
        </w:rPr>
        <w:t>（一）部门概况</w:t>
      </w:r>
    </w:p>
    <w:p>
      <w:pPr>
        <w:adjustRightInd w:val="0"/>
        <w:snapToGrid w:val="0"/>
        <w:spacing w:line="560" w:lineRule="exact"/>
        <w:ind w:firstLine="627" w:firstLineChars="196"/>
        <w:rPr>
          <w:rFonts w:ascii="仿宋" w:hAnsi="仿宋" w:eastAsia="仿宋"/>
          <w:sz w:val="32"/>
          <w:szCs w:val="32"/>
        </w:rPr>
      </w:pPr>
      <w:r>
        <w:rPr>
          <w:rFonts w:hint="eastAsia" w:ascii="仿宋" w:hAnsi="仿宋" w:eastAsia="仿宋"/>
          <w:sz w:val="32"/>
          <w:szCs w:val="32"/>
        </w:rPr>
        <w:t>石家庄市鹿泉区退役军人事务局为正科级行政单位，下设鹿泉区退役军人服务中心、鹿泉区烈士陵园、鹿泉区光荣院、鹿泉区军队离休退休干部休养所四个全额拨款事业单位。现有行政在编人员8人，事业人员在编15人，离退休人员20人，合计43人。</w:t>
      </w:r>
    </w:p>
    <w:p>
      <w:p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（二）部门收支预决算情况</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2022年预算收入总额6385.54万元，其中：一般公共预算收入6385.54万元；基金预算收入0万元；财政专户核拨收入0万元。</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2022年支出预算6385.54万元，其中基本支出700.11万元，包括人员经费464.74万元和日常公用经费235.37万元；项目支出5685.43万元，主要为社会保障和就业支出5542.69万元；卫生健康支出142.61万元。</w:t>
      </w:r>
    </w:p>
    <w:p>
      <w:p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（三）部门整体支出绩效目标、指标</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以深入学习宣传贯彻党的十九大精神为主线，以习近平新时代中国特色社会主义思想为统领，紧紧围绕“做好退役军人服务保障工作，维护军人军属合法权益，让军人成为全社会尊崇的职业”的工作目标，认真落实区委区政府重点部署，聚焦社会主要矛盾转变，按照高质量发展的要求，优化退役军人保障机制结构；深化绩效预算管理改革、稳定政策预期、强化风险管理，努力开创新时代退役军人服务工作新局面。</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（一）做好全区优抚对象发放抚恤补助工作。</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绩效目标：做好我区优抚对象的抚恤、优待补助发放工作。</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绩效指标：我区优抚对象符合条件的共约4200人，及时足额兑现各类抚恤补助资金，发放率、覆盖率达到100%，得到广大优抚对象的充分肯定，逐步提高人民群众的幸福感。</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（二）做好全区双拥拥军优属工作。</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绩效目标：按照省级双拥模范城检查验收标准规定的要求，申报省级模范城，每年“八一”、“春节”慰问驻鹿部队，不断提升现役军人、退役军人和其他优抚对象的获得感和荣誉感，不断巩固军政军民 团结，让军人成为全社会尊崇的职业。</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绩效指标：据武装部核查统计我区驻鹿部队，其中师旅级单位3家，团级单位6家，营级单位4家,合理使用预算经费，项目执行率达100%。</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（三）做好退役军人安置工作。</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绩效目标：为退役士兵发放自谋职业金及待安置期间生活费，缴纳待安置期间医疗、养老保险改善他们生活标准，提高退役士兵的家庭发展能力。</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绩效指标：按照石民政【2018】45号规定：①退役义务兵补助标准：服役满两年退役义务兵地方一次性经济补助标准为123000元；②退役士官发放标准：退役士官一次性经济补助以服役满两年退役义务兵地方经济补助标准为基数，从其改选士官起服役年限增加1年，地方经济补助增发5％，计算公式为：服役满两年退役义务兵地方经济补助标准+服役满两年退役义务兵地方补助标准×5%×（实际服役年限-2年）的标准，为42名退役士兵发放及待安置期间生活费，缴纳待安置期间医疗、养老保险。做到及时足额发放，发放率、覆盖率达到100%。</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（四）做好我区光荣院重点优抚对象疗养工作。</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绩效目标：通过实行对短期疗养重点优抚对象疗养活动，逐步提高短期疗养重点优抚对象的幸福感。</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绩效指标：据统计核查我院短期疗养重点优抚对象共符合条件的630人，主要包括：伤残军人、三属（含烈士遗属、因公牺牲遗属和病故军人遗属）、在乡</w:t>
      </w:r>
      <w:r>
        <w:rPr>
          <w:rFonts w:hint="eastAsia" w:ascii="仿宋" w:hAnsi="仿宋" w:eastAsia="仿宋" w:cs="楷体_GB2312"/>
          <w:bCs/>
          <w:sz w:val="32"/>
          <w:szCs w:val="32"/>
          <w:lang w:eastAsia="zh-CN"/>
        </w:rPr>
        <w:t>复员</w:t>
      </w:r>
      <w:r>
        <w:rPr>
          <w:rFonts w:hint="eastAsia" w:ascii="仿宋" w:hAnsi="仿宋" w:eastAsia="仿宋" w:cs="楷体_GB2312"/>
          <w:bCs/>
          <w:sz w:val="32"/>
          <w:szCs w:val="32"/>
        </w:rPr>
        <w:t>军人、带病回乡退伍军人、在农村的和城镇无工作单位且家庭生活困难的参战退役人员、部分原8023部队其他参加核试验的军队退役人员，根据冀民[2014]55号文件，对短期疗养重点优抚对象按每年实行短期疗养6次，每次不少于20余人次的短期疗养。</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（五）全面落实军休干部政治待遇及生活待遇。</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 xml:space="preserve">绩效目标：规范管理，提升服务管理水平，按时准确发放军休干部离退休费用，落实军休干部的政治待遇和生活待遇，确保医疗保险准时上交。 </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绩效指标：按月及时足额发放军休干部离退休费； 切实落实军休干部生活补贴、医保、体检、疗养、节日慰问金、集体活动等各项生活待遇； 使军休干部对中心的服务满意度达到95%以上</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（六）做好烈士陵园的维护工作。</w:t>
      </w:r>
    </w:p>
    <w:p>
      <w:pPr>
        <w:adjustRightInd w:val="0"/>
        <w:snapToGrid w:val="0"/>
        <w:spacing w:line="560"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绩效目标：烈士陵园日常修缮、管理、维护、搜集整理烈士信息、填写烈士英名录，为纪念缅怀英雄烈士提供场所，发挥其作为爱国主义教育基地的作用。</w:t>
      </w:r>
    </w:p>
    <w:p>
      <w:pPr>
        <w:adjustRightInd w:val="0"/>
        <w:snapToGrid w:val="0"/>
        <w:spacing w:line="560" w:lineRule="exact"/>
        <w:ind w:firstLine="640" w:firstLineChars="200"/>
        <w:rPr>
          <w:rFonts w:ascii="仿宋" w:hAnsi="仿宋" w:eastAsia="仿宋" w:cs="楷体_GB2312"/>
          <w:bCs/>
          <w:sz w:val="32"/>
          <w:szCs w:val="32"/>
        </w:rPr>
      </w:pPr>
      <w:r>
        <w:rPr>
          <w:rFonts w:hint="eastAsia" w:ascii="仿宋" w:hAnsi="仿宋" w:eastAsia="仿宋" w:cs="楷体_GB2312"/>
          <w:bCs/>
          <w:sz w:val="32"/>
          <w:szCs w:val="32"/>
        </w:rPr>
        <w:t>绩效指标：烈士陵园的园林绿化、环境卫生、水电维修、纪念馆、办公区域得到了专业化、规范化和科学化的管理，完成14450平方米绿化管养，烈士陵园清洁卫生情况优良，卫生清洁及时，提高烈士陵园整体管理水平，为广大市民提供更好的缅怀烈士的环境，提高了社会各界人士传承弘扬英雄烈士精神，爱国主义精神。</w:t>
      </w:r>
    </w:p>
    <w:p>
      <w:pPr>
        <w:pStyle w:val="8"/>
        <w:numPr>
          <w:ilvl w:val="0"/>
          <w:numId w:val="1"/>
        </w:numPr>
        <w:adjustRightInd w:val="0"/>
        <w:snapToGrid w:val="0"/>
        <w:spacing w:line="560" w:lineRule="exact"/>
        <w:ind w:firstLineChars="0"/>
        <w:rPr>
          <w:rFonts w:ascii="黑体" w:hAnsi="黑体" w:eastAsia="黑体"/>
          <w:sz w:val="32"/>
          <w:szCs w:val="32"/>
        </w:rPr>
      </w:pPr>
      <w:r>
        <w:rPr>
          <w:rFonts w:hint="eastAsia" w:ascii="黑体" w:hAnsi="黑体" w:eastAsia="黑体"/>
          <w:sz w:val="32"/>
          <w:szCs w:val="32"/>
        </w:rPr>
        <w:t>自评工作开展情况</w:t>
      </w:r>
    </w:p>
    <w:p>
      <w:pPr>
        <w:spacing w:line="600" w:lineRule="exact"/>
        <w:ind w:firstLine="803" w:firstLineChars="250"/>
        <w:rPr>
          <w:rFonts w:ascii="仿宋" w:hAnsi="仿宋" w:eastAsia="仿宋" w:cs="仿宋"/>
          <w:b/>
          <w:sz w:val="32"/>
          <w:szCs w:val="32"/>
        </w:rPr>
      </w:pPr>
      <w:r>
        <w:rPr>
          <w:rFonts w:hint="eastAsia" w:ascii="仿宋" w:hAnsi="仿宋" w:eastAsia="仿宋" w:cs="仿宋"/>
          <w:b/>
          <w:sz w:val="32"/>
          <w:szCs w:val="32"/>
        </w:rPr>
        <w:t>（一）自评的组织工作</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本次评价通过客观公正地核查项目经费使用情况及预期目标实现程度，考评资金支出效率和综合效果，及时总结经验，分析存在的问题及原因，进一步推进财政资金科学化、精细化管理，不断提高财政专项资金管理水平和使用效率。</w:t>
      </w:r>
    </w:p>
    <w:p>
      <w:pPr>
        <w:spacing w:line="600" w:lineRule="exact"/>
        <w:ind w:firstLine="803" w:firstLineChars="250"/>
        <w:rPr>
          <w:rFonts w:ascii="仿宋" w:hAnsi="仿宋" w:eastAsia="仿宋" w:cs="仿宋"/>
          <w:b/>
          <w:sz w:val="32"/>
          <w:szCs w:val="32"/>
        </w:rPr>
      </w:pPr>
      <w:r>
        <w:rPr>
          <w:rFonts w:hint="eastAsia" w:ascii="仿宋" w:hAnsi="仿宋" w:eastAsia="仿宋" w:cs="仿宋"/>
          <w:b/>
          <w:sz w:val="32"/>
          <w:szCs w:val="32"/>
        </w:rPr>
        <w:t>（二）自评的方法和过程</w:t>
      </w:r>
    </w:p>
    <w:p>
      <w:pPr>
        <w:spacing w:line="600" w:lineRule="exact"/>
        <w:ind w:firstLine="800" w:firstLineChars="250"/>
        <w:rPr>
          <w:rFonts w:ascii="仿宋" w:hAnsi="仿宋" w:eastAsia="仿宋" w:cs="仿宋"/>
          <w:sz w:val="32"/>
          <w:szCs w:val="32"/>
        </w:rPr>
      </w:pPr>
      <w:r>
        <w:rPr>
          <w:rFonts w:hint="eastAsia" w:ascii="仿宋" w:hAnsi="仿宋" w:eastAsia="仿宋" w:cs="仿宋"/>
          <w:sz w:val="32"/>
          <w:szCs w:val="32"/>
        </w:rPr>
        <w:t>评价原则：1、评估的客观公正性原则。在项目评估中尊重客观规律，深入调查研究，不带主观随意性，讲求科学性。2、分析的系统性原则。从项目内部要素的内在联系，以及与外部条件的广泛联系入手，进行全面的动态的分析论证。3、评估的效益性原则。投入与产出的经济社会效益比例。4、评估方法的规范化原则。所采用的定性和定量分析方法，必须符合客观实际，体现事物的内在联系。5、评估指标的科学性。确定指标体系中权重集合的科学合理程度，评估指标具有可操作性。</w:t>
      </w:r>
    </w:p>
    <w:p>
      <w:pPr>
        <w:spacing w:line="600" w:lineRule="exact"/>
        <w:ind w:firstLine="800" w:firstLineChars="250"/>
        <w:rPr>
          <w:rFonts w:ascii="仿宋" w:hAnsi="仿宋" w:eastAsia="仿宋" w:cs="仿宋"/>
          <w:sz w:val="32"/>
          <w:szCs w:val="32"/>
        </w:rPr>
      </w:pPr>
      <w:r>
        <w:rPr>
          <w:rFonts w:hint="eastAsia" w:ascii="仿宋" w:hAnsi="仿宋" w:eastAsia="仿宋" w:cs="仿宋"/>
          <w:sz w:val="32"/>
          <w:szCs w:val="32"/>
        </w:rPr>
        <w:t>评价指标体系：主要从项目资金的投入、业务管理和财务管理过程、项目计划产出和项目计划效益四个方面对评价目标进行逐步分解，从定性和定量两个角度综合考量。</w:t>
      </w:r>
    </w:p>
    <w:p>
      <w:pPr>
        <w:spacing w:line="600" w:lineRule="exact"/>
        <w:ind w:firstLine="800" w:firstLineChars="250"/>
        <w:rPr>
          <w:rFonts w:ascii="仿宋" w:hAnsi="仿宋" w:eastAsia="仿宋" w:cs="仿宋"/>
          <w:sz w:val="32"/>
          <w:szCs w:val="32"/>
        </w:rPr>
      </w:pPr>
      <w:r>
        <w:rPr>
          <w:rFonts w:hint="eastAsia" w:ascii="仿宋" w:hAnsi="仿宋" w:eastAsia="仿宋" w:cs="仿宋"/>
          <w:sz w:val="32"/>
          <w:szCs w:val="32"/>
        </w:rPr>
        <w:t>评价方法：绩效评价工作采用单位自评价和财政再评价相结合的方式开展。自评价采取数据收集汇总、指标分析、询问查证等方法，形成了自评价报告。</w:t>
      </w:r>
    </w:p>
    <w:p>
      <w:pPr>
        <w:spacing w:line="600" w:lineRule="exact"/>
        <w:ind w:firstLine="803" w:firstLineChars="250"/>
        <w:rPr>
          <w:rFonts w:ascii="仿宋" w:hAnsi="仿宋" w:eastAsia="仿宋" w:cs="仿宋"/>
          <w:b/>
          <w:sz w:val="32"/>
          <w:szCs w:val="32"/>
        </w:rPr>
      </w:pPr>
      <w:r>
        <w:rPr>
          <w:rFonts w:hint="eastAsia" w:ascii="仿宋" w:hAnsi="仿宋" w:eastAsia="仿宋" w:cs="仿宋"/>
          <w:b/>
          <w:sz w:val="32"/>
          <w:szCs w:val="32"/>
        </w:rPr>
        <w:t>（三）评价工作过程</w:t>
      </w:r>
    </w:p>
    <w:p>
      <w:pPr>
        <w:spacing w:line="600" w:lineRule="exact"/>
        <w:ind w:firstLine="800" w:firstLineChars="250"/>
        <w:rPr>
          <w:rFonts w:ascii="仿宋" w:hAnsi="仿宋" w:eastAsia="仿宋" w:cs="仿宋"/>
          <w:sz w:val="32"/>
          <w:szCs w:val="32"/>
        </w:rPr>
      </w:pPr>
      <w:r>
        <w:rPr>
          <w:rFonts w:hint="eastAsia" w:ascii="仿宋" w:hAnsi="仿宋" w:eastAsia="仿宋" w:cs="仿宋"/>
          <w:sz w:val="32"/>
          <w:szCs w:val="32"/>
        </w:rPr>
        <w:t>本次绩效评价自评价工作分为三个阶段：</w:t>
      </w:r>
    </w:p>
    <w:p>
      <w:pPr>
        <w:spacing w:line="600" w:lineRule="exact"/>
        <w:ind w:firstLine="800" w:firstLineChars="250"/>
        <w:rPr>
          <w:rFonts w:ascii="仿宋" w:hAnsi="仿宋" w:eastAsia="仿宋" w:cs="仿宋"/>
          <w:sz w:val="32"/>
          <w:szCs w:val="32"/>
        </w:rPr>
      </w:pPr>
      <w:r>
        <w:rPr>
          <w:rFonts w:hint="eastAsia" w:ascii="仿宋" w:hAnsi="仿宋" w:eastAsia="仿宋" w:cs="仿宋"/>
          <w:sz w:val="32"/>
          <w:szCs w:val="32"/>
        </w:rPr>
        <w:t>第一阶段：成立评价工作小组，制定项目绩效评价具体实施方案。</w:t>
      </w:r>
    </w:p>
    <w:p>
      <w:pPr>
        <w:spacing w:line="600" w:lineRule="exact"/>
        <w:ind w:firstLine="800" w:firstLineChars="250"/>
        <w:rPr>
          <w:rFonts w:ascii="仿宋" w:hAnsi="仿宋" w:eastAsia="仿宋" w:cs="仿宋"/>
          <w:sz w:val="32"/>
          <w:szCs w:val="32"/>
        </w:rPr>
      </w:pPr>
      <w:r>
        <w:rPr>
          <w:rFonts w:hint="eastAsia" w:ascii="仿宋" w:hAnsi="仿宋" w:eastAsia="仿宋" w:cs="仿宋"/>
          <w:sz w:val="32"/>
          <w:szCs w:val="32"/>
        </w:rPr>
        <w:t>第二阶段：按照区财政局要求，进行自查。</w:t>
      </w:r>
    </w:p>
    <w:p>
      <w:pPr>
        <w:spacing w:line="600" w:lineRule="exact"/>
        <w:ind w:firstLine="800" w:firstLineChars="250"/>
        <w:rPr>
          <w:rFonts w:ascii="仿宋" w:hAnsi="仿宋" w:eastAsia="仿宋" w:cs="仿宋"/>
          <w:sz w:val="32"/>
          <w:szCs w:val="32"/>
        </w:rPr>
      </w:pPr>
      <w:r>
        <w:rPr>
          <w:rFonts w:hint="eastAsia" w:ascii="仿宋" w:hAnsi="仿宋" w:eastAsia="仿宋" w:cs="仿宋"/>
          <w:sz w:val="32"/>
          <w:szCs w:val="32"/>
        </w:rPr>
        <w:t>第三阶段：由评价工作小组对项目进行抽样核查，总结评价结论，最终形成自评价报告，报区财政局。</w:t>
      </w:r>
    </w:p>
    <w:p>
      <w:pPr>
        <w:spacing w:line="560" w:lineRule="exact"/>
        <w:rPr>
          <w:rFonts w:ascii="黑体" w:hAnsi="黑体" w:eastAsia="黑体"/>
          <w:b/>
          <w:bCs/>
          <w:sz w:val="32"/>
          <w:szCs w:val="32"/>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三、部门整体支出绩效目标实现情况及指标分析</w:t>
      </w:r>
    </w:p>
    <w:p>
      <w:pPr>
        <w:numPr>
          <w:ilvl w:val="0"/>
          <w:numId w:val="2"/>
        </w:numPr>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总体绩效目标实现情况</w:t>
      </w:r>
    </w:p>
    <w:p>
      <w:pPr>
        <w:spacing w:line="560" w:lineRule="exact"/>
        <w:ind w:firstLine="640" w:firstLineChars="200"/>
        <w:rPr>
          <w:rFonts w:ascii="仿宋" w:hAnsi="仿宋" w:eastAsia="仿宋" w:cs="楷体_GB2312"/>
          <w:b/>
          <w:bCs/>
          <w:sz w:val="32"/>
          <w:szCs w:val="32"/>
        </w:rPr>
      </w:pPr>
      <w:r>
        <w:rPr>
          <w:rFonts w:hint="eastAsia" w:ascii="仿宋" w:hAnsi="仿宋" w:eastAsia="仿宋"/>
          <w:sz w:val="32"/>
          <w:szCs w:val="32"/>
        </w:rPr>
        <w:t>紧紧围绕“做好退役军人服务保障工作，维护军人军属合法权益，让军人成为全社会尊崇的职业”的工作目标，我单位对2022年度一般公共预算30个项目全面开展绩效自评，共涉及资金1806.71万元。总体项目的实施，形成了较好的成果，对退役军人思想政治、管理保障和安置优抚、全区拥军优属、军队转业干部、军队离休退休干部、无军籍退休退职职工的移交安置和自主择业、就业退役军人服务管理及烈士及退役军人荣誉奖励、纪念活动等各个方面均起到了积极意义。深化改革创新，防范化解重大风险，加强作风建设，积极进取、奋发有为，努力开创新时代退役军人服务工作新局面。</w:t>
      </w: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w:t>
      </w:r>
    </w:p>
    <w:p>
      <w:pPr>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（二）分项绩效目标实现情况及指标分析</w:t>
      </w:r>
    </w:p>
    <w:p>
      <w:pPr>
        <w:spacing w:line="560" w:lineRule="exact"/>
        <w:ind w:left="16" w:hanging="16" w:hangingChars="5"/>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2022年本部门绩效自评项目共30个，其中评价等级为“优”项目27个，评优率为93.3%；评价等级为“良”的项目3个，评良率为6.9%。详见下表。</w:t>
      </w:r>
    </w:p>
    <w:p>
      <w:pPr>
        <w:spacing w:line="560" w:lineRule="exact"/>
        <w:ind w:left="16" w:hanging="16" w:hangingChars="5"/>
        <w:rPr>
          <w:rFonts w:hint="eastAsia" w:ascii="仿宋_GB2312" w:hAnsi="仿宋_GB2312" w:eastAsia="仿宋_GB2312" w:cs="仿宋_GB2312"/>
          <w:kern w:val="0"/>
          <w:sz w:val="32"/>
          <w:szCs w:val="32"/>
        </w:rPr>
      </w:pPr>
    </w:p>
    <w:p>
      <w:pPr>
        <w:spacing w:line="560" w:lineRule="exact"/>
        <w:ind w:left="18" w:hanging="18" w:hangingChars="5"/>
        <w:jc w:val="center"/>
        <w:rPr>
          <w:rFonts w:hint="eastAsia" w:ascii="仿宋_GB2312" w:hAnsi="仿宋_GB2312" w:eastAsia="仿宋_GB2312" w:cs="仿宋_GB2312"/>
          <w:kern w:val="0"/>
          <w:sz w:val="36"/>
          <w:szCs w:val="32"/>
        </w:rPr>
      </w:pPr>
      <w:r>
        <w:rPr>
          <w:rFonts w:hint="eastAsia" w:ascii="仿宋_GB2312" w:hAnsi="仿宋_GB2312" w:eastAsia="仿宋_GB2312" w:cs="仿宋_GB2312"/>
          <w:kern w:val="0"/>
          <w:sz w:val="36"/>
          <w:szCs w:val="32"/>
        </w:rPr>
        <w:t>部门绩效自评结果公开汇总表</w:t>
      </w:r>
    </w:p>
    <w:p>
      <w:pPr>
        <w:spacing w:line="560" w:lineRule="exact"/>
        <w:ind w:left="10" w:hanging="10" w:hangingChars="5"/>
        <w:rPr>
          <w:rFonts w:ascii="仿宋_GB2312" w:hAnsi="仿宋_GB2312" w:eastAsia="仿宋_GB2312" w:cs="仿宋_GB2312"/>
          <w:kern w:val="0"/>
          <w:szCs w:val="32"/>
        </w:rPr>
      </w:pPr>
      <w:r>
        <w:rPr>
          <w:rFonts w:hint="eastAsia" w:ascii="仿宋_GB2312" w:hAnsi="仿宋_GB2312" w:eastAsia="仿宋_GB2312" w:cs="仿宋_GB2312"/>
          <w:kern w:val="0"/>
          <w:szCs w:val="32"/>
        </w:rPr>
        <w:t>主管部门：石家庄市鹿泉区退役军人事务局                                      单位：万元</w:t>
      </w:r>
    </w:p>
    <w:tbl>
      <w:tblPr>
        <w:tblStyle w:val="7"/>
        <w:tblW w:w="94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1131"/>
        <w:gridCol w:w="1081"/>
        <w:gridCol w:w="1266"/>
        <w:gridCol w:w="1371"/>
        <w:gridCol w:w="1276"/>
        <w:gridCol w:w="1116"/>
        <w:gridCol w:w="10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cs="宋体" w:asciiTheme="minorEastAsia" w:hAnsiTheme="minorEastAsia" w:eastAsiaTheme="minorEastAsia"/>
                <w:color w:val="000000"/>
                <w:sz w:val="24"/>
                <w:szCs w:val="24"/>
              </w:rPr>
            </w:pPr>
            <w:r>
              <w:rPr>
                <w:rFonts w:hint="eastAsia" w:asciiTheme="minorEastAsia" w:hAnsiTheme="minorEastAsia" w:eastAsiaTheme="minorEastAsia"/>
                <w:color w:val="000000"/>
              </w:rPr>
              <w:t>序号</w:t>
            </w:r>
          </w:p>
        </w:tc>
        <w:tc>
          <w:tcPr>
            <w:tcW w:w="1131" w:type="dxa"/>
            <w:vAlign w:val="center"/>
          </w:tcPr>
          <w:p>
            <w:pPr>
              <w:jc w:val="center"/>
              <w:rPr>
                <w:rFonts w:cs="宋体" w:asciiTheme="minorEastAsia" w:hAnsiTheme="minorEastAsia" w:eastAsiaTheme="minorEastAsia"/>
                <w:color w:val="000000"/>
                <w:sz w:val="24"/>
                <w:szCs w:val="24"/>
              </w:rPr>
            </w:pPr>
            <w:r>
              <w:rPr>
                <w:rFonts w:hint="eastAsia" w:asciiTheme="minorEastAsia" w:hAnsiTheme="minorEastAsia" w:eastAsiaTheme="minorEastAsia"/>
                <w:color w:val="000000"/>
              </w:rPr>
              <w:t>项目名称</w:t>
            </w:r>
          </w:p>
        </w:tc>
        <w:tc>
          <w:tcPr>
            <w:tcW w:w="1081" w:type="dxa"/>
            <w:vAlign w:val="center"/>
          </w:tcPr>
          <w:p>
            <w:pPr>
              <w:jc w:val="center"/>
              <w:rPr>
                <w:rFonts w:cs="宋体" w:asciiTheme="minorEastAsia" w:hAnsiTheme="minorEastAsia" w:eastAsiaTheme="minorEastAsia"/>
                <w:color w:val="000000"/>
                <w:sz w:val="24"/>
                <w:szCs w:val="24"/>
              </w:rPr>
            </w:pPr>
            <w:r>
              <w:rPr>
                <w:rFonts w:hint="eastAsia" w:asciiTheme="minorEastAsia" w:hAnsiTheme="minorEastAsia" w:eastAsiaTheme="minorEastAsia"/>
                <w:color w:val="000000"/>
              </w:rPr>
              <w:t>项目实施单位</w:t>
            </w:r>
          </w:p>
        </w:tc>
        <w:tc>
          <w:tcPr>
            <w:tcW w:w="1266" w:type="dxa"/>
            <w:vAlign w:val="center"/>
          </w:tcPr>
          <w:p>
            <w:pPr>
              <w:jc w:val="center"/>
              <w:rPr>
                <w:rFonts w:cs="宋体" w:asciiTheme="minorEastAsia" w:hAnsiTheme="minorEastAsia" w:eastAsiaTheme="minorEastAsia"/>
                <w:color w:val="000000"/>
                <w:sz w:val="24"/>
                <w:szCs w:val="24"/>
              </w:rPr>
            </w:pPr>
            <w:r>
              <w:rPr>
                <w:rFonts w:hint="eastAsia" w:asciiTheme="minorEastAsia" w:hAnsiTheme="minorEastAsia" w:eastAsiaTheme="minorEastAsia"/>
                <w:color w:val="000000"/>
              </w:rPr>
              <w:t>预算数</w:t>
            </w:r>
            <w:r>
              <w:rPr>
                <w:rFonts w:hint="eastAsia" w:asciiTheme="minorEastAsia" w:hAnsiTheme="minorEastAsia" w:eastAsiaTheme="minorEastAsia"/>
                <w:color w:val="000000"/>
              </w:rPr>
              <w:br w:type="textWrapping"/>
            </w:r>
            <w:r>
              <w:rPr>
                <w:rFonts w:hint="eastAsia" w:asciiTheme="minorEastAsia" w:hAnsiTheme="minorEastAsia" w:eastAsiaTheme="minorEastAsia"/>
                <w:color w:val="000000"/>
              </w:rPr>
              <w:t>（调整后）</w:t>
            </w:r>
          </w:p>
        </w:tc>
        <w:tc>
          <w:tcPr>
            <w:tcW w:w="1371" w:type="dxa"/>
            <w:vAlign w:val="center"/>
          </w:tcPr>
          <w:p>
            <w:pPr>
              <w:jc w:val="center"/>
              <w:rPr>
                <w:rFonts w:cs="宋体" w:asciiTheme="minorEastAsia" w:hAnsiTheme="minorEastAsia" w:eastAsiaTheme="minorEastAsia"/>
                <w:color w:val="000000"/>
                <w:sz w:val="24"/>
                <w:szCs w:val="24"/>
              </w:rPr>
            </w:pPr>
            <w:r>
              <w:rPr>
                <w:rFonts w:hint="eastAsia" w:asciiTheme="minorEastAsia" w:hAnsiTheme="minorEastAsia" w:eastAsiaTheme="minorEastAsia"/>
                <w:color w:val="000000"/>
              </w:rPr>
              <w:t>执行数</w:t>
            </w:r>
            <w:r>
              <w:rPr>
                <w:rFonts w:hint="eastAsia" w:asciiTheme="minorEastAsia" w:hAnsiTheme="minorEastAsia" w:eastAsiaTheme="minorEastAsia"/>
                <w:color w:val="000000"/>
              </w:rPr>
              <w:br w:type="textWrapping"/>
            </w:r>
            <w:r>
              <w:rPr>
                <w:rFonts w:hint="eastAsia" w:asciiTheme="minorEastAsia" w:hAnsiTheme="minorEastAsia" w:eastAsiaTheme="minorEastAsia"/>
                <w:color w:val="000000"/>
              </w:rPr>
              <w:t>（至2022年底）</w:t>
            </w:r>
          </w:p>
        </w:tc>
        <w:tc>
          <w:tcPr>
            <w:tcW w:w="1276" w:type="dxa"/>
            <w:vAlign w:val="center"/>
          </w:tcPr>
          <w:p>
            <w:pPr>
              <w:jc w:val="center"/>
              <w:rPr>
                <w:rFonts w:cs="宋体" w:asciiTheme="minorEastAsia" w:hAnsiTheme="minorEastAsia" w:eastAsiaTheme="minorEastAsia"/>
                <w:color w:val="000000"/>
                <w:sz w:val="24"/>
                <w:szCs w:val="24"/>
              </w:rPr>
            </w:pPr>
            <w:r>
              <w:rPr>
                <w:rFonts w:hint="eastAsia" w:asciiTheme="minorEastAsia" w:hAnsiTheme="minorEastAsia" w:eastAsiaTheme="minorEastAsia"/>
                <w:color w:val="000000"/>
              </w:rPr>
              <w:t>结余交回财政数</w:t>
            </w:r>
          </w:p>
        </w:tc>
        <w:tc>
          <w:tcPr>
            <w:tcW w:w="1116" w:type="dxa"/>
            <w:vAlign w:val="center"/>
          </w:tcPr>
          <w:p>
            <w:pPr>
              <w:jc w:val="center"/>
              <w:rPr>
                <w:rFonts w:cs="宋体" w:asciiTheme="minorEastAsia" w:hAnsiTheme="minorEastAsia" w:eastAsiaTheme="minorEastAsia"/>
                <w:color w:val="000000"/>
                <w:sz w:val="24"/>
                <w:szCs w:val="24"/>
              </w:rPr>
            </w:pPr>
            <w:r>
              <w:rPr>
                <w:rFonts w:hint="eastAsia" w:asciiTheme="minorEastAsia" w:hAnsiTheme="minorEastAsia" w:eastAsiaTheme="minorEastAsia"/>
                <w:color w:val="000000"/>
              </w:rPr>
              <w:t>自评得分</w:t>
            </w:r>
          </w:p>
        </w:tc>
        <w:tc>
          <w:tcPr>
            <w:tcW w:w="1079" w:type="dxa"/>
            <w:vAlign w:val="center"/>
          </w:tcPr>
          <w:p>
            <w:pPr>
              <w:jc w:val="center"/>
              <w:rPr>
                <w:rFonts w:cs="宋体" w:asciiTheme="minorEastAsia" w:hAnsiTheme="minorEastAsia" w:eastAsiaTheme="minorEastAsia"/>
                <w:color w:val="000000"/>
                <w:sz w:val="24"/>
                <w:szCs w:val="24"/>
              </w:rPr>
            </w:pPr>
            <w:r>
              <w:rPr>
                <w:rFonts w:hint="eastAsia" w:asciiTheme="minorEastAsia" w:hAnsiTheme="minorEastAsia" w:eastAsiaTheme="minorEastAsia"/>
                <w:color w:val="000000"/>
              </w:rPr>
              <w:t>自评结果应用意见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2022涉军公益岗人员工资、保险</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125</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80.558786</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44.441214</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94.5</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2</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2022机关互联网专线业务费</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1.74</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1.74</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0</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100</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3</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2022网络安全、上网行为管理</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2</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2</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0</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100</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4</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2022退役军人人事档案室维修改造费用</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0</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0</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0</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0</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5</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2022义务兵优待金</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273.5474</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140.5967</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132.9507</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96</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6</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2022优抚对象生活补助</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214.2526</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214.2526</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0</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100</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7</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2022重点优抚对象医疗保障经费</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150</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115.513524</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34.486476</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90</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8</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2022伤残军人护理费</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29.45</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25.5574</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3.8926</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98</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9</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2022优抚对象取暖费及液化气补助</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52.75</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49.84</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2.91</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98</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10</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2022优抚对象走访慰问及解“三难”</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80</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73.8263</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6.1737</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95</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11</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2022一次性抚恤金</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40</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32.22492</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7.77508</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80.55</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12</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2022价格补贴</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50</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22.52</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27.48</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85</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13</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退役士兵安置（2022退役士兵一次性经济补助）</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269.725</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269.725</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0</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100</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14</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2022伤病残退役士兵购（建）房补助资金</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0</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0</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0</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0</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15</w:t>
            </w:r>
          </w:p>
        </w:tc>
        <w:tc>
          <w:tcPr>
            <w:tcW w:w="1131" w:type="dxa"/>
            <w:vAlign w:val="center"/>
          </w:tcPr>
          <w:p>
            <w:pPr>
              <w:rPr>
                <w:rFonts w:hint="eastAsia" w:cs="宋体" w:asciiTheme="minorEastAsia" w:hAnsiTheme="minorEastAsia" w:eastAsiaTheme="minorEastAsia"/>
                <w:sz w:val="10"/>
                <w:szCs w:val="10"/>
              </w:rPr>
            </w:pPr>
            <w:r>
              <w:rPr>
                <w:rFonts w:hint="eastAsia" w:asciiTheme="minorEastAsia" w:hAnsiTheme="minorEastAsia" w:eastAsiaTheme="minorEastAsia"/>
                <w:sz w:val="10"/>
                <w:szCs w:val="10"/>
              </w:rPr>
              <w:t>退役士兵安置（2022城镇退役士兵自谋职业金及待安置期间生活费、养老保险及医疗保险）</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56.932</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3.94795</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52.98405</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92</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16</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2022部队立功受奖人员奖励金</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27.2</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27.2</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0</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100</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17</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2022优抚对象光荣牌</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3</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3</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0</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100</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18</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2022双拥工作经费</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19</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15.3965</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3.6035</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96</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19</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2022退役军人就业创业补贴</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2</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0.5</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1.5</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93.5</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20</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退役军人就业创业招聘会经费</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3</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3</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0</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100</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21</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2022退役士兵职业教育和技能培训经费</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0</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0</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0</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0</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22</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2022解决涉军人员遗留问题经费</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248.34381</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112.587136</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135.756674</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86.9</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23</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2022一体化平台网络服务费</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4.68</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4.68</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0</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100</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24</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一体化平台网络服务费</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12.744</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12.744</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0</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100</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25</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2022退役军人管理服务经费</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50</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45.7743</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4.2257</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91.54</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26</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2022企业军转干部解困资金</w:t>
            </w:r>
          </w:p>
        </w:tc>
        <w:tc>
          <w:tcPr>
            <w:tcW w:w="1081" w:type="dxa"/>
            <w:vAlign w:val="center"/>
          </w:tcPr>
          <w:p>
            <w:pPr>
              <w:jc w:val="center"/>
              <w:rPr>
                <w:rFonts w:hint="eastAsia" w:cs="宋体" w:asciiTheme="minorEastAsia" w:hAnsiTheme="minorEastAsia" w:eastAsiaTheme="minorEastAsia"/>
                <w:color w:val="000000"/>
                <w:sz w:val="16"/>
                <w:szCs w:val="16"/>
              </w:rPr>
            </w:pPr>
            <w:r>
              <w:rPr>
                <w:rFonts w:hint="eastAsia" w:asciiTheme="minorEastAsia" w:hAnsiTheme="minorEastAsia" w:eastAsiaTheme="minorEastAsia"/>
                <w:color w:val="000000"/>
                <w:sz w:val="16"/>
                <w:szCs w:val="16"/>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18.343</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12.905</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5.438</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90</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27</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2022光荣院供养保障经费</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40</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29.893163</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10.106837</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91</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28</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2022烈士陵园日常管理维护资金</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13</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13</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0</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100</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29</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2022烈士陵园烈士墓碑更换资金</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10</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1.5</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8.5</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86</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80"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30</w:t>
            </w:r>
          </w:p>
        </w:tc>
        <w:tc>
          <w:tcPr>
            <w:tcW w:w="1131" w:type="dxa"/>
            <w:vAlign w:val="center"/>
          </w:tcPr>
          <w:p>
            <w:pPr>
              <w:rPr>
                <w:rFonts w:hint="eastAsia" w:cs="宋体" w:asciiTheme="minorEastAsia" w:hAnsiTheme="minorEastAsia" w:eastAsiaTheme="minorEastAsia"/>
                <w:szCs w:val="21"/>
              </w:rPr>
            </w:pPr>
            <w:r>
              <w:rPr>
                <w:rFonts w:hint="eastAsia" w:asciiTheme="minorEastAsia" w:hAnsiTheme="minorEastAsia" w:eastAsiaTheme="minorEastAsia"/>
                <w:szCs w:val="21"/>
              </w:rPr>
              <w:t>2022烈士陵园英烈事迹展厅改造提升</w:t>
            </w:r>
          </w:p>
        </w:tc>
        <w:tc>
          <w:tcPr>
            <w:tcW w:w="1081"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石家庄市鹿泉区退役军人事务局</w:t>
            </w:r>
          </w:p>
        </w:tc>
        <w:tc>
          <w:tcPr>
            <w:tcW w:w="1266"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10</w:t>
            </w:r>
          </w:p>
        </w:tc>
        <w:tc>
          <w:tcPr>
            <w:tcW w:w="1371" w:type="dxa"/>
            <w:vAlign w:val="center"/>
          </w:tcPr>
          <w:p>
            <w:pPr>
              <w:jc w:val="center"/>
              <w:rPr>
                <w:rFonts w:hint="eastAsia" w:cs="宋体" w:asciiTheme="minorEastAsia" w:hAnsiTheme="minorEastAsia" w:eastAsiaTheme="minorEastAsia"/>
                <w:szCs w:val="21"/>
              </w:rPr>
            </w:pPr>
            <w:r>
              <w:rPr>
                <w:rFonts w:hint="eastAsia" w:asciiTheme="minorEastAsia" w:hAnsiTheme="minorEastAsia" w:eastAsiaTheme="minorEastAsia"/>
                <w:szCs w:val="21"/>
              </w:rPr>
              <w:t>1.589</w:t>
            </w:r>
          </w:p>
        </w:tc>
        <w:tc>
          <w:tcPr>
            <w:tcW w:w="127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8.411</w:t>
            </w:r>
          </w:p>
        </w:tc>
        <w:tc>
          <w:tcPr>
            <w:tcW w:w="1116"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83</w:t>
            </w:r>
          </w:p>
        </w:tc>
        <w:tc>
          <w:tcPr>
            <w:tcW w:w="1079" w:type="dxa"/>
            <w:vAlign w:val="center"/>
          </w:tcPr>
          <w:p>
            <w:pPr>
              <w:jc w:val="center"/>
              <w:rPr>
                <w:rFonts w:hint="eastAsia" w:cs="宋体" w:asciiTheme="minorEastAsia" w:hAnsiTheme="minorEastAsia" w:eastAsiaTheme="minorEastAsia"/>
                <w:color w:val="000000"/>
                <w:szCs w:val="21"/>
              </w:rPr>
            </w:pPr>
            <w:r>
              <w:rPr>
                <w:rFonts w:hint="eastAsia" w:asciiTheme="minorEastAsia" w:hAnsiTheme="minorEastAsia" w:eastAsiaTheme="minorEastAsia"/>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292" w:type="dxa"/>
            <w:gridSpan w:val="3"/>
          </w:tcPr>
          <w:p>
            <w:pPr>
              <w:jc w:val="center"/>
              <w:rPr>
                <w:rFonts w:hint="eastAsia" w:asciiTheme="minorEastAsia" w:hAnsiTheme="minorEastAsia" w:eastAsiaTheme="minorEastAsia"/>
                <w:szCs w:val="21"/>
              </w:rPr>
            </w:pPr>
            <w:r>
              <w:rPr>
                <w:rFonts w:hint="eastAsia" w:asciiTheme="minorEastAsia" w:hAnsiTheme="minorEastAsia" w:eastAsiaTheme="minorEastAsia"/>
                <w:szCs w:val="21"/>
              </w:rPr>
              <w:t>合计</w:t>
            </w:r>
          </w:p>
        </w:tc>
        <w:tc>
          <w:tcPr>
            <w:tcW w:w="1266" w:type="dxa"/>
          </w:tcPr>
          <w:p>
            <w:pPr>
              <w:rPr>
                <w:rFonts w:hint="eastAsia" w:asciiTheme="minorEastAsia" w:hAnsiTheme="minorEastAsia" w:eastAsiaTheme="minorEastAsia"/>
                <w:szCs w:val="21"/>
              </w:rPr>
            </w:pPr>
            <w:r>
              <w:rPr>
                <w:rFonts w:hint="eastAsia" w:asciiTheme="minorEastAsia" w:hAnsiTheme="minorEastAsia" w:eastAsiaTheme="minorEastAsia"/>
                <w:szCs w:val="21"/>
              </w:rPr>
              <w:t>1806.70781</w:t>
            </w:r>
          </w:p>
        </w:tc>
        <w:tc>
          <w:tcPr>
            <w:tcW w:w="1371" w:type="dxa"/>
          </w:tcPr>
          <w:p>
            <w:pPr>
              <w:rPr>
                <w:rFonts w:hint="eastAsia" w:asciiTheme="minorEastAsia" w:hAnsiTheme="minorEastAsia" w:eastAsiaTheme="minorEastAsia"/>
                <w:szCs w:val="21"/>
              </w:rPr>
            </w:pPr>
            <w:r>
              <w:rPr>
                <w:rFonts w:hint="eastAsia" w:asciiTheme="minorEastAsia" w:hAnsiTheme="minorEastAsia" w:eastAsiaTheme="minorEastAsia"/>
                <w:szCs w:val="21"/>
              </w:rPr>
              <w:t>1316.072279</w:t>
            </w:r>
          </w:p>
        </w:tc>
        <w:tc>
          <w:tcPr>
            <w:tcW w:w="1276" w:type="dxa"/>
          </w:tcPr>
          <w:p>
            <w:pPr>
              <w:rPr>
                <w:rFonts w:hint="eastAsia" w:asciiTheme="minorEastAsia" w:hAnsiTheme="minorEastAsia" w:eastAsiaTheme="minorEastAsia"/>
                <w:szCs w:val="21"/>
              </w:rPr>
            </w:pPr>
            <w:r>
              <w:rPr>
                <w:rFonts w:hint="eastAsia" w:asciiTheme="minorEastAsia" w:hAnsiTheme="minorEastAsia" w:eastAsiaTheme="minorEastAsia"/>
                <w:szCs w:val="21"/>
              </w:rPr>
              <w:t>490.635531</w:t>
            </w:r>
          </w:p>
        </w:tc>
        <w:tc>
          <w:tcPr>
            <w:tcW w:w="1116" w:type="dxa"/>
          </w:tcPr>
          <w:p>
            <w:pPr>
              <w:rPr>
                <w:rFonts w:hint="eastAsia" w:asciiTheme="minorEastAsia" w:hAnsiTheme="minorEastAsia" w:eastAsiaTheme="minorEastAsia"/>
                <w:szCs w:val="21"/>
              </w:rPr>
            </w:pPr>
          </w:p>
        </w:tc>
        <w:tc>
          <w:tcPr>
            <w:tcW w:w="1079" w:type="dxa"/>
          </w:tcPr>
          <w:p>
            <w:pPr>
              <w:rPr>
                <w:rFonts w:hint="eastAsia" w:asciiTheme="minorEastAsia" w:hAnsiTheme="minorEastAsia" w:eastAsiaTheme="minorEastAsia"/>
                <w:szCs w:val="21"/>
              </w:rPr>
            </w:pPr>
          </w:p>
        </w:tc>
      </w:tr>
    </w:tbl>
    <w:p>
      <w:pPr>
        <w:spacing w:line="560" w:lineRule="exact"/>
        <w:ind w:firstLine="627" w:firstLineChars="196"/>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总体来说资金到位，使用合规。资金拨付程序从申请、审核、审查、审批到最后发放都按照中央、省、市相关财政政策实施，使用符合财务管理规定。我局专项资金绩效评优率达93.3%，总体得分为优秀等次。</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3" w:firstLineChars="200"/>
        <w:rPr>
          <w:rFonts w:ascii="仿宋" w:hAnsi="仿宋" w:eastAsia="仿宋"/>
          <w:b/>
          <w:bCs/>
          <w:sz w:val="32"/>
          <w:szCs w:val="32"/>
        </w:rPr>
      </w:pPr>
      <w:r>
        <w:rPr>
          <w:rFonts w:hint="eastAsia" w:ascii="仿宋" w:hAnsi="仿宋" w:eastAsia="仿宋"/>
          <w:b/>
          <w:bCs/>
          <w:sz w:val="32"/>
          <w:szCs w:val="32"/>
        </w:rPr>
        <w:t>（一）存在的主要问题</w:t>
      </w:r>
    </w:p>
    <w:p>
      <w:pPr>
        <w:adjustRightInd w:val="0"/>
        <w:snapToGrid w:val="0"/>
        <w:spacing w:line="578" w:lineRule="exact"/>
        <w:ind w:firstLine="640" w:firstLineChars="200"/>
        <w:rPr>
          <w:rFonts w:ascii="仿宋" w:hAnsi="仿宋" w:eastAsia="仿宋" w:cs="仿宋"/>
          <w:sz w:val="32"/>
          <w:szCs w:val="32"/>
        </w:rPr>
      </w:pPr>
      <w:r>
        <w:rPr>
          <w:rFonts w:hint="eastAsia" w:ascii="仿宋" w:hAnsi="仿宋" w:eastAsia="仿宋" w:cs="仿宋"/>
          <w:sz w:val="32"/>
          <w:szCs w:val="32"/>
        </w:rPr>
        <w:t>（1）预算支出细目科目编制不够规范，预算实际使用过程中产生偏差，无法准确预计全年经济活动。</w:t>
      </w:r>
    </w:p>
    <w:p>
      <w:pPr>
        <w:adjustRightInd w:val="0"/>
        <w:snapToGrid w:val="0"/>
        <w:spacing w:line="578" w:lineRule="exact"/>
        <w:ind w:firstLine="640"/>
        <w:rPr>
          <w:rFonts w:ascii="仿宋" w:hAnsi="仿宋" w:eastAsia="仿宋" w:cs="仿宋"/>
          <w:sz w:val="32"/>
          <w:szCs w:val="32"/>
        </w:rPr>
      </w:pPr>
      <w:r>
        <w:rPr>
          <w:rFonts w:hint="eastAsia" w:ascii="仿宋" w:hAnsi="仿宋" w:eastAsia="仿宋" w:cs="仿宋"/>
          <w:sz w:val="32"/>
          <w:szCs w:val="32"/>
        </w:rPr>
        <w:t>（2）绩效监控质量不达标，填报内容简单，对绩效目标偏差问题缺乏有效分析，无法监控绩效目标的实现程度，还有待进一步提升项目科室整体绩效管理理念。</w:t>
      </w:r>
    </w:p>
    <w:p>
      <w:pPr>
        <w:spacing w:line="560" w:lineRule="exact"/>
        <w:ind w:firstLine="643" w:firstLineChars="200"/>
        <w:rPr>
          <w:rFonts w:ascii="仿宋" w:hAnsi="仿宋" w:eastAsia="仿宋"/>
          <w:b/>
          <w:bCs/>
          <w:sz w:val="32"/>
          <w:szCs w:val="32"/>
        </w:rPr>
      </w:pPr>
      <w:r>
        <w:rPr>
          <w:rFonts w:hint="eastAsia" w:ascii="仿宋" w:hAnsi="仿宋" w:eastAsia="仿宋"/>
          <w:b/>
          <w:bCs/>
          <w:sz w:val="32"/>
          <w:szCs w:val="32"/>
        </w:rPr>
        <w:t>（二）针对问题提出具体的改进措施或建议</w:t>
      </w:r>
    </w:p>
    <w:p>
      <w:pPr>
        <w:spacing w:line="560" w:lineRule="exact"/>
        <w:ind w:firstLine="640" w:firstLineChars="200"/>
        <w:rPr>
          <w:rFonts w:ascii="仿宋" w:hAnsi="仿宋" w:eastAsia="仿宋"/>
          <w:bCs/>
          <w:sz w:val="32"/>
          <w:szCs w:val="32"/>
        </w:rPr>
      </w:pPr>
      <w:r>
        <w:rPr>
          <w:rFonts w:hint="eastAsia" w:ascii="仿宋" w:hAnsi="仿宋" w:eastAsia="仿宋"/>
          <w:bCs/>
          <w:sz w:val="32"/>
          <w:szCs w:val="32"/>
        </w:rPr>
        <w:t>我局将调整优化支出结构，发现问题及时采取措施，确保绩效目标如期保质实现。对评价中发现的问题及时整改，加强预算与实际支出的测算精度，提高财政资金使用效益。</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w:t>
      </w:r>
    </w:p>
    <w:p>
      <w:pPr>
        <w:adjustRightInd w:val="0"/>
        <w:snapToGrid w:val="0"/>
        <w:spacing w:line="560" w:lineRule="exact"/>
        <w:ind w:firstLine="640" w:firstLineChars="200"/>
        <w:rPr>
          <w:rFonts w:ascii="仿宋_GB2312" w:hAnsi="黑体" w:eastAsia="仿宋_GB2312"/>
          <w:sz w:val="32"/>
          <w:szCs w:val="32"/>
        </w:rPr>
      </w:pPr>
      <w:r>
        <w:rPr>
          <w:rFonts w:hint="eastAsia" w:ascii="仿宋_GB2312" w:hAnsi="黑体" w:eastAsia="仿宋_GB2312"/>
          <w:sz w:val="32"/>
          <w:szCs w:val="32"/>
        </w:rPr>
        <w:t>人员名单：</w:t>
      </w:r>
    </w:p>
    <w:p>
      <w:pPr>
        <w:adjustRightInd w:val="0"/>
        <w:snapToGrid w:val="0"/>
        <w:spacing w:line="560" w:lineRule="exact"/>
        <w:ind w:firstLine="640" w:firstLineChars="200"/>
        <w:rPr>
          <w:rFonts w:ascii="仿宋_GB2312" w:hAnsi="黑体" w:eastAsia="仿宋_GB2312"/>
          <w:sz w:val="32"/>
          <w:szCs w:val="32"/>
        </w:rPr>
      </w:pPr>
      <w:r>
        <w:rPr>
          <w:rFonts w:hint="eastAsia" w:ascii="仿宋_GB2312" w:hAnsi="黑体" w:eastAsia="仿宋_GB2312"/>
          <w:sz w:val="32"/>
          <w:szCs w:val="32"/>
        </w:rPr>
        <w:t>刘占英  党组成员、副局长</w:t>
      </w:r>
    </w:p>
    <w:p>
      <w:pPr>
        <w:adjustRightInd w:val="0"/>
        <w:snapToGrid w:val="0"/>
        <w:spacing w:line="560" w:lineRule="exact"/>
        <w:ind w:firstLine="640" w:firstLineChars="200"/>
        <w:rPr>
          <w:rFonts w:hint="eastAsia" w:ascii="仿宋_GB2312" w:hAnsi="黑体" w:eastAsia="仿宋_GB2312"/>
          <w:sz w:val="32"/>
          <w:szCs w:val="32"/>
        </w:rPr>
      </w:pPr>
      <w:r>
        <w:rPr>
          <w:rFonts w:hint="eastAsia" w:ascii="仿宋_GB2312" w:hAnsi="黑体" w:eastAsia="仿宋_GB2312"/>
          <w:sz w:val="32"/>
          <w:szCs w:val="32"/>
        </w:rPr>
        <w:t>张少军  办公室负责人</w:t>
      </w:r>
    </w:p>
    <w:p>
      <w:pPr>
        <w:adjustRightInd w:val="0"/>
        <w:snapToGrid w:val="0"/>
        <w:spacing w:line="560" w:lineRule="exact"/>
        <w:ind w:firstLine="640" w:firstLineChars="200"/>
        <w:rPr>
          <w:rFonts w:hint="eastAsia" w:ascii="仿宋_GB2312" w:hAnsi="黑体" w:eastAsia="仿宋_GB2312"/>
          <w:sz w:val="32"/>
          <w:szCs w:val="32"/>
        </w:rPr>
      </w:pPr>
      <w:r>
        <w:rPr>
          <w:rFonts w:hint="eastAsia" w:ascii="仿宋_GB2312" w:hAnsi="黑体" w:eastAsia="仿宋_GB2312"/>
          <w:sz w:val="32"/>
          <w:szCs w:val="32"/>
        </w:rPr>
        <w:t>巩红梅  财务负责人</w:t>
      </w:r>
    </w:p>
    <w:p>
      <w:pPr>
        <w:adjustRightInd w:val="0"/>
        <w:snapToGrid w:val="0"/>
        <w:spacing w:line="560" w:lineRule="exact"/>
        <w:ind w:firstLine="640" w:firstLineChars="200"/>
        <w:rPr>
          <w:rFonts w:hint="eastAsia" w:ascii="仿宋_GB2312" w:hAnsi="黑体" w:eastAsia="仿宋_GB2312"/>
          <w:sz w:val="32"/>
          <w:szCs w:val="32"/>
        </w:rPr>
      </w:pPr>
      <w:r>
        <w:rPr>
          <w:rFonts w:hint="eastAsia" w:ascii="仿宋_GB2312" w:hAnsi="黑体" w:eastAsia="仿宋_GB2312"/>
          <w:sz w:val="32"/>
          <w:szCs w:val="32"/>
        </w:rPr>
        <w:t>祁晓霞  优抚负责人</w:t>
      </w:r>
    </w:p>
    <w:p>
      <w:pPr>
        <w:adjustRightInd w:val="0"/>
        <w:snapToGrid w:val="0"/>
        <w:spacing w:line="560" w:lineRule="exact"/>
        <w:ind w:firstLine="640" w:firstLineChars="200"/>
        <w:rPr>
          <w:rFonts w:hint="eastAsia" w:ascii="仿宋_GB2312" w:hAnsi="黑体" w:eastAsia="仿宋_GB2312"/>
          <w:sz w:val="32"/>
          <w:szCs w:val="32"/>
        </w:rPr>
      </w:pPr>
      <w:r>
        <w:rPr>
          <w:rFonts w:hint="eastAsia" w:ascii="仿宋_GB2312" w:hAnsi="黑体" w:eastAsia="仿宋_GB2312"/>
          <w:sz w:val="32"/>
          <w:szCs w:val="32"/>
        </w:rPr>
        <w:t>李欢欢  安置负责人</w:t>
      </w:r>
    </w:p>
    <w:p>
      <w:pPr>
        <w:adjustRightInd w:val="0"/>
        <w:snapToGrid w:val="0"/>
        <w:spacing w:line="560" w:lineRule="exact"/>
        <w:ind w:firstLine="640" w:firstLineChars="200"/>
        <w:rPr>
          <w:rFonts w:hint="eastAsia" w:ascii="仿宋_GB2312" w:hAnsi="黑体" w:eastAsia="仿宋_GB2312"/>
          <w:sz w:val="32"/>
          <w:szCs w:val="32"/>
        </w:rPr>
      </w:pPr>
      <w:r>
        <w:rPr>
          <w:rFonts w:hint="eastAsia" w:ascii="仿宋_GB2312" w:hAnsi="黑体" w:eastAsia="仿宋_GB2312"/>
          <w:sz w:val="32"/>
          <w:szCs w:val="32"/>
        </w:rPr>
        <w:t>胡涛    双拥负责人</w:t>
      </w:r>
    </w:p>
    <w:p>
      <w:pPr>
        <w:adjustRightInd w:val="0"/>
        <w:snapToGrid w:val="0"/>
        <w:spacing w:line="560" w:lineRule="exact"/>
        <w:ind w:firstLine="640" w:firstLineChars="200"/>
        <w:rPr>
          <w:rFonts w:hint="eastAsia" w:ascii="仿宋_GB2312" w:hAnsi="黑体" w:eastAsia="仿宋_GB2312"/>
          <w:sz w:val="32"/>
          <w:szCs w:val="32"/>
        </w:rPr>
      </w:pPr>
      <w:r>
        <w:rPr>
          <w:rFonts w:hint="eastAsia" w:ascii="仿宋_GB2312" w:hAnsi="黑体" w:eastAsia="仿宋_GB2312"/>
          <w:sz w:val="32"/>
          <w:szCs w:val="32"/>
        </w:rPr>
        <w:t>乔晨彤  就业创业负责人</w:t>
      </w:r>
    </w:p>
    <w:p>
      <w:pPr>
        <w:adjustRightInd w:val="0"/>
        <w:snapToGrid w:val="0"/>
        <w:spacing w:line="560" w:lineRule="exact"/>
        <w:ind w:firstLine="640" w:firstLineChars="200"/>
        <w:rPr>
          <w:rFonts w:hint="eastAsia" w:ascii="仿宋_GB2312" w:hAnsi="黑体" w:eastAsia="仿宋_GB2312"/>
          <w:sz w:val="32"/>
          <w:szCs w:val="32"/>
        </w:rPr>
      </w:pPr>
      <w:r>
        <w:rPr>
          <w:rFonts w:hint="eastAsia" w:ascii="仿宋_GB2312" w:hAnsi="黑体" w:eastAsia="仿宋_GB2312"/>
          <w:sz w:val="32"/>
          <w:szCs w:val="32"/>
        </w:rPr>
        <w:t>赵润宏  思想维护负责人</w:t>
      </w:r>
    </w:p>
    <w:p>
      <w:pPr>
        <w:adjustRightInd w:val="0"/>
        <w:snapToGrid w:val="0"/>
        <w:spacing w:line="560" w:lineRule="exact"/>
        <w:ind w:firstLine="640" w:firstLineChars="200"/>
        <w:rPr>
          <w:rFonts w:hint="eastAsia" w:ascii="仿宋_GB2312" w:hAnsi="黑体" w:eastAsia="仿宋_GB2312"/>
          <w:sz w:val="32"/>
          <w:szCs w:val="32"/>
        </w:rPr>
      </w:pPr>
      <w:r>
        <w:rPr>
          <w:rFonts w:hint="eastAsia" w:ascii="仿宋_GB2312" w:hAnsi="黑体" w:eastAsia="仿宋_GB2312"/>
          <w:sz w:val="32"/>
          <w:szCs w:val="32"/>
        </w:rPr>
        <w:t>王峰    政策法规负责人</w:t>
      </w:r>
    </w:p>
    <w:p>
      <w:pPr>
        <w:adjustRightInd w:val="0"/>
        <w:snapToGrid w:val="0"/>
        <w:spacing w:line="560" w:lineRule="exact"/>
        <w:ind w:firstLine="640" w:firstLineChars="200"/>
        <w:rPr>
          <w:rFonts w:hint="eastAsia" w:ascii="仿宋_GB2312" w:hAnsi="黑体" w:eastAsia="仿宋_GB2312"/>
          <w:sz w:val="32"/>
          <w:szCs w:val="32"/>
        </w:rPr>
      </w:pPr>
      <w:r>
        <w:rPr>
          <w:rFonts w:hint="eastAsia" w:ascii="仿宋_GB2312" w:hAnsi="黑体" w:eastAsia="仿宋_GB2312"/>
          <w:sz w:val="32"/>
          <w:szCs w:val="32"/>
        </w:rPr>
        <w:t>段宗礼  军休所、光荣院负责人</w:t>
      </w:r>
    </w:p>
    <w:p>
      <w:pPr>
        <w:adjustRightInd w:val="0"/>
        <w:snapToGrid w:val="0"/>
        <w:spacing w:line="560" w:lineRule="exact"/>
        <w:ind w:firstLine="640" w:firstLineChars="200"/>
        <w:rPr>
          <w:rFonts w:hint="eastAsia" w:ascii="仿宋_GB2312" w:hAnsi="黑体" w:eastAsia="仿宋_GB2312"/>
          <w:sz w:val="32"/>
          <w:szCs w:val="32"/>
        </w:rPr>
      </w:pPr>
      <w:r>
        <w:rPr>
          <w:rFonts w:hint="eastAsia" w:ascii="仿宋_GB2312" w:hAnsi="黑体" w:eastAsia="仿宋_GB2312"/>
          <w:sz w:val="32"/>
          <w:szCs w:val="32"/>
        </w:rPr>
        <w:t>李建民  烈士陵园负责人</w:t>
      </w:r>
    </w:p>
    <w:p>
      <w:pPr>
        <w:adjustRightInd w:val="0"/>
        <w:snapToGrid w:val="0"/>
        <w:spacing w:line="560" w:lineRule="exact"/>
        <w:ind w:firstLine="640" w:firstLineChars="200"/>
        <w:rPr>
          <w:rFonts w:ascii="仿宋_GB2312" w:hAnsi="黑体" w:eastAsia="仿宋_GB2312"/>
          <w:sz w:val="32"/>
          <w:szCs w:val="32"/>
        </w:rPr>
      </w:pPr>
      <w:r>
        <w:rPr>
          <w:rFonts w:hint="eastAsia" w:ascii="仿宋_GB2312" w:hAnsi="黑体" w:eastAsia="仿宋_GB2312"/>
          <w:sz w:val="32"/>
          <w:szCs w:val="32"/>
        </w:rPr>
        <w:t>赵国彪  退役军人服务中心负责人</w:t>
      </w:r>
    </w:p>
    <w:p>
      <w:pPr>
        <w:adjustRightInd w:val="0"/>
        <w:snapToGrid w:val="0"/>
        <w:spacing w:line="560" w:lineRule="exact"/>
        <w:ind w:firstLine="640" w:firstLineChars="200"/>
        <w:rPr>
          <w:rFonts w:hint="eastAsia" w:ascii="仿宋_GB2312" w:hAnsi="黑体" w:eastAsia="仿宋_GB2312"/>
          <w:sz w:val="32"/>
          <w:szCs w:val="32"/>
        </w:rPr>
      </w:pPr>
      <w:r>
        <w:rPr>
          <w:rFonts w:hint="eastAsia" w:ascii="仿宋_GB2312" w:hAnsi="黑体" w:eastAsia="仿宋_GB2312"/>
          <w:sz w:val="32"/>
          <w:szCs w:val="32"/>
        </w:rPr>
        <w:t xml:space="preserve"> </w:t>
      </w:r>
    </w:p>
    <w:p>
      <w:pPr>
        <w:spacing w:line="560" w:lineRule="exact"/>
        <w:rPr>
          <w:rFonts w:hint="eastAsia" w:ascii="仿宋_GB2312" w:hAnsi="仿宋" w:eastAsia="仿宋_GB2312"/>
        </w:rPr>
      </w:pPr>
    </w:p>
    <w:p>
      <w:pPr>
        <w:adjustRightInd w:val="0"/>
        <w:snapToGrid w:val="0"/>
        <w:spacing w:line="560" w:lineRule="exact"/>
        <w:ind w:firstLine="420" w:firstLineChars="200"/>
        <w:rPr>
          <w:rFonts w:hint="eastAsia" w:ascii="仿宋_GB2312" w:hAnsi="黑体" w:eastAsia="仿宋_GB2312"/>
          <w:sz w:val="32"/>
          <w:szCs w:val="32"/>
        </w:rPr>
      </w:pPr>
      <w:r>
        <w:rPr>
          <w:rFonts w:hint="eastAsia" w:ascii="仿宋_GB2312" w:hAnsi="仿宋" w:eastAsia="仿宋_GB2312"/>
        </w:rPr>
        <w:t xml:space="preserve">                                       </w:t>
      </w:r>
      <w:r>
        <w:rPr>
          <w:rFonts w:hint="eastAsia" w:ascii="仿宋_GB2312" w:hAnsi="黑体" w:eastAsia="仿宋_GB2312"/>
          <w:sz w:val="32"/>
          <w:szCs w:val="32"/>
        </w:rPr>
        <w:t xml:space="preserve"> 石家庄市鹿泉区退役军人事务局</w:t>
      </w:r>
    </w:p>
    <w:p>
      <w:pPr>
        <w:adjustRightInd w:val="0"/>
        <w:snapToGrid w:val="0"/>
        <w:spacing w:line="560" w:lineRule="exact"/>
        <w:ind w:firstLine="640" w:firstLineChars="200"/>
        <w:rPr>
          <w:rFonts w:ascii="仿宋_GB2312" w:hAnsi="黑体" w:eastAsia="仿宋_GB2312"/>
          <w:sz w:val="32"/>
          <w:szCs w:val="32"/>
        </w:rPr>
      </w:pPr>
      <w:r>
        <w:rPr>
          <w:rFonts w:hint="eastAsia" w:ascii="仿宋_GB2312" w:hAnsi="黑体" w:eastAsia="仿宋_GB2312"/>
          <w:sz w:val="32"/>
          <w:szCs w:val="32"/>
        </w:rPr>
        <w:t xml:space="preserve">                               2023年9月28日</w:t>
      </w:r>
    </w:p>
    <w:sectPr>
      <w:footerReference r:id="rId3" w:type="default"/>
      <w:pgSz w:w="11906" w:h="16838"/>
      <w:pgMar w:top="1440" w:right="1361" w:bottom="1440" w:left="1361"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- 10 -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- 10 -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68489B"/>
    <w:multiLevelType w:val="singleLevel"/>
    <w:tmpl w:val="5E68489B"/>
    <w:lvl w:ilvl="0" w:tentative="0">
      <w:start w:val="1"/>
      <w:numFmt w:val="chineseCounting"/>
      <w:suff w:val="nothing"/>
      <w:lvlText w:val="（%1）"/>
      <w:lvlJc w:val="left"/>
    </w:lvl>
  </w:abstractNum>
  <w:abstractNum w:abstractNumId="1">
    <w:nsid w:val="664708F0"/>
    <w:multiLevelType w:val="multilevel"/>
    <w:tmpl w:val="664708F0"/>
    <w:lvl w:ilvl="0" w:tentative="0">
      <w:start w:val="1"/>
      <w:numFmt w:val="japaneseCounting"/>
      <w:lvlText w:val="%1、"/>
      <w:lvlJc w:val="left"/>
      <w:pPr>
        <w:ind w:left="1365" w:hanging="720"/>
      </w:pPr>
      <w:rPr>
        <w:rFonts w:hint="default"/>
      </w:rPr>
    </w:lvl>
    <w:lvl w:ilvl="1" w:tentative="0">
      <w:start w:val="1"/>
      <w:numFmt w:val="lowerLetter"/>
      <w:lvlText w:val="%2)"/>
      <w:lvlJc w:val="left"/>
      <w:pPr>
        <w:ind w:left="1485" w:hanging="420"/>
      </w:pPr>
    </w:lvl>
    <w:lvl w:ilvl="2" w:tentative="0">
      <w:start w:val="1"/>
      <w:numFmt w:val="lowerRoman"/>
      <w:lvlText w:val="%3."/>
      <w:lvlJc w:val="right"/>
      <w:pPr>
        <w:ind w:left="1905" w:hanging="420"/>
      </w:pPr>
    </w:lvl>
    <w:lvl w:ilvl="3" w:tentative="0">
      <w:start w:val="1"/>
      <w:numFmt w:val="decimal"/>
      <w:lvlText w:val="%4."/>
      <w:lvlJc w:val="left"/>
      <w:pPr>
        <w:ind w:left="2325" w:hanging="420"/>
      </w:pPr>
    </w:lvl>
    <w:lvl w:ilvl="4" w:tentative="0">
      <w:start w:val="1"/>
      <w:numFmt w:val="lowerLetter"/>
      <w:lvlText w:val="%5)"/>
      <w:lvlJc w:val="left"/>
      <w:pPr>
        <w:ind w:left="2745" w:hanging="420"/>
      </w:pPr>
    </w:lvl>
    <w:lvl w:ilvl="5" w:tentative="0">
      <w:start w:val="1"/>
      <w:numFmt w:val="lowerRoman"/>
      <w:lvlText w:val="%6."/>
      <w:lvlJc w:val="right"/>
      <w:pPr>
        <w:ind w:left="3165" w:hanging="420"/>
      </w:pPr>
    </w:lvl>
    <w:lvl w:ilvl="6" w:tentative="0">
      <w:start w:val="1"/>
      <w:numFmt w:val="decimal"/>
      <w:lvlText w:val="%7."/>
      <w:lvlJc w:val="left"/>
      <w:pPr>
        <w:ind w:left="3585" w:hanging="420"/>
      </w:pPr>
    </w:lvl>
    <w:lvl w:ilvl="7" w:tentative="0">
      <w:start w:val="1"/>
      <w:numFmt w:val="lowerLetter"/>
      <w:lvlText w:val="%8)"/>
      <w:lvlJc w:val="left"/>
      <w:pPr>
        <w:ind w:left="4005" w:hanging="420"/>
      </w:pPr>
    </w:lvl>
    <w:lvl w:ilvl="8" w:tentative="0">
      <w:start w:val="1"/>
      <w:numFmt w:val="lowerRoman"/>
      <w:lvlText w:val="%9."/>
      <w:lvlJc w:val="right"/>
      <w:pPr>
        <w:ind w:left="4425"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182FF5"/>
    <w:rsid w:val="001F2A50"/>
    <w:rsid w:val="00263A03"/>
    <w:rsid w:val="002B0C05"/>
    <w:rsid w:val="003B2D34"/>
    <w:rsid w:val="005579D2"/>
    <w:rsid w:val="00570A03"/>
    <w:rsid w:val="005B5FAA"/>
    <w:rsid w:val="005C0D1D"/>
    <w:rsid w:val="00646172"/>
    <w:rsid w:val="00675F11"/>
    <w:rsid w:val="00681FA7"/>
    <w:rsid w:val="006A26BC"/>
    <w:rsid w:val="006C4385"/>
    <w:rsid w:val="00715C5F"/>
    <w:rsid w:val="007E6C1F"/>
    <w:rsid w:val="008E21D0"/>
    <w:rsid w:val="00900D99"/>
    <w:rsid w:val="009B5C1E"/>
    <w:rsid w:val="00A07059"/>
    <w:rsid w:val="00A3589C"/>
    <w:rsid w:val="00AB2788"/>
    <w:rsid w:val="00AD6C62"/>
    <w:rsid w:val="00AD75B2"/>
    <w:rsid w:val="00AF566A"/>
    <w:rsid w:val="00B6553A"/>
    <w:rsid w:val="00B75D20"/>
    <w:rsid w:val="00C73895"/>
    <w:rsid w:val="00C80E41"/>
    <w:rsid w:val="00CC118A"/>
    <w:rsid w:val="00D15DA9"/>
    <w:rsid w:val="00D27CAE"/>
    <w:rsid w:val="00D32EEF"/>
    <w:rsid w:val="00D442E7"/>
    <w:rsid w:val="00D559C2"/>
    <w:rsid w:val="00E261FD"/>
    <w:rsid w:val="00EF54BD"/>
    <w:rsid w:val="00FB3E0E"/>
    <w:rsid w:val="00FF58A4"/>
    <w:rsid w:val="01B104CA"/>
    <w:rsid w:val="02106AB0"/>
    <w:rsid w:val="02B43A28"/>
    <w:rsid w:val="046F331E"/>
    <w:rsid w:val="07956271"/>
    <w:rsid w:val="09721397"/>
    <w:rsid w:val="0BB63BED"/>
    <w:rsid w:val="0EB97A43"/>
    <w:rsid w:val="0EBD2122"/>
    <w:rsid w:val="0F214EAE"/>
    <w:rsid w:val="11B71E6A"/>
    <w:rsid w:val="19F71D84"/>
    <w:rsid w:val="1AAF0063"/>
    <w:rsid w:val="1BE140DE"/>
    <w:rsid w:val="248C197D"/>
    <w:rsid w:val="252959AF"/>
    <w:rsid w:val="277A6671"/>
    <w:rsid w:val="292D35B7"/>
    <w:rsid w:val="2A594280"/>
    <w:rsid w:val="33EB6CFF"/>
    <w:rsid w:val="35A12947"/>
    <w:rsid w:val="37387040"/>
    <w:rsid w:val="3B625C0A"/>
    <w:rsid w:val="3CEE1963"/>
    <w:rsid w:val="4C9C27FE"/>
    <w:rsid w:val="512260B4"/>
    <w:rsid w:val="52BD6ACB"/>
    <w:rsid w:val="55537534"/>
    <w:rsid w:val="561A74F1"/>
    <w:rsid w:val="597244E8"/>
    <w:rsid w:val="5EB71C30"/>
    <w:rsid w:val="66AF0CE5"/>
    <w:rsid w:val="6AC537CF"/>
    <w:rsid w:val="6E5B14A6"/>
    <w:rsid w:val="711B255E"/>
    <w:rsid w:val="7317199D"/>
    <w:rsid w:val="7BB51E06"/>
    <w:rsid w:val="7C387F7C"/>
    <w:rsid w:val="7FE834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9"/>
    <w:uiPriority w:val="0"/>
    <w:rPr>
      <w:sz w:val="18"/>
      <w:szCs w:val="18"/>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7">
    <w:name w:val="Table Grid"/>
    <w:basedOn w:val="6"/>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styleId="8">
    <w:name w:val="List Paragraph"/>
    <w:basedOn w:val="1"/>
    <w:unhideWhenUsed/>
    <w:qFormat/>
    <w:uiPriority w:val="99"/>
    <w:pPr>
      <w:ind w:firstLine="420" w:firstLineChars="200"/>
    </w:pPr>
  </w:style>
  <w:style w:type="character" w:customStyle="1" w:styleId="9">
    <w:name w:val="批注框文本 Char"/>
    <w:basedOn w:val="5"/>
    <w:link w:val="2"/>
    <w:uiPriority w:val="0"/>
    <w:rPr>
      <w:rFonts w:ascii="Calibri" w:hAnsi="Calibri" w:cs="黑体"/>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10</Pages>
  <Words>841</Words>
  <Characters>4795</Characters>
  <Lines>39</Lines>
  <Paragraphs>11</Paragraphs>
  <TotalTime>203</TotalTime>
  <ScaleCrop>false</ScaleCrop>
  <LinksUpToDate>false</LinksUpToDate>
  <CharactersWithSpaces>5625</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2022-01-19T07:24:00Z</cp:lastPrinted>
  <dcterms:modified xsi:type="dcterms:W3CDTF">2023-10-16T07:29:08Z</dcterms:modified>
  <dc:title>附件3：</dc:title>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