
<file path=[Content_Types].xml><?xml version="1.0" encoding="utf-8"?>
<Types xmlns="http://schemas.openxmlformats.org/package/2006/content-types">
  <Default Extension="xml" ContentType="application/xml"/>
  <Default Extension="xls" ContentType="application/vnd.ms-exce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233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shape>
        </w:pict>
      </w:r>
      <w:r>
        <w:pict>
          <v:shape id="椭圆 8" o:spid="_x0000_s1027" o:spt="3" type="#_x0000_t3" style="position:absolute;left:0pt;margin-left:53.5pt;margin-top:232.45pt;height:121.95pt;width:121.95pt;z-index:251659264;v-text-anchor:middle;mso-width-relative:page;mso-height-relative:page;"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focussize="0,0"/>
            <v:stroke on="f" weight="1pt" joinstyle="miter"/>
            <v:imagedata o:title=""/>
            <o:lock v:ext="edit"/>
            <v:textbox>
              <w:txbxContent>
                <w:p>
                  <w:pPr>
                    <w:jc w:val="center"/>
                  </w:pPr>
                </w:p>
              </w:txbxContent>
            </v:textbox>
          </v:shape>
        </w:pict>
      </w:r>
      <w:r>
        <w:pict>
          <v:rect id="矩形 14" o:spid="_x0000_s1028" o:spt="1" style="position:absolute;left:0pt;margin-left:33.6pt;margin-top:256.75pt;height:69.6pt;width:160.65pt;z-index:25166438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ascii="Yu Gothic UI Semibold" w:hAnsi="Yu Gothic UI Semibold" w:eastAsia="宋体"/>
                      <w:color w:val="FFFFFF"/>
                      <w:kern w:val="24"/>
                      <w:sz w:val="72"/>
                      <w:szCs w:val="72"/>
                    </w:rPr>
                    <w:t>2019</w:t>
                  </w:r>
                </w:p>
              </w:txbxContent>
            </v:textbox>
          </v:rect>
        </w:pict>
      </w:r>
      <w:r>
        <w:pict>
          <v:shape id="椭圆 9" o:spid="_x0000_s1029" o:spt="3" type="#_x0000_t3" style="position:absolute;left:0pt;margin-left:62.2pt;margin-top:242.75pt;height:103.45pt;width:103.45pt;z-index:25166336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30" o:spid="_x0000_s1030" o:spt="203" style="position:absolute;left:0pt;margin-left:1.25pt;margin-top:821.7pt;height:21.45pt;width:595.25pt;z-index:25166028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1"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2"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3" o:spid="_x0000_s1033" o:spt="203" style="position:absolute;left:0pt;margin-left:-2.5pt;margin-top:0pt;height:308.5pt;width:600.25pt;z-index:-251651072;mso-width-relative:page;mso-height-relative:page;" coordorigin="13622,283" coordsize="12005,617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4"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shape>
          </v:group>
        </w:pict>
      </w:r>
      <w:r>
        <w:pict>
          <v:rect id="矩形 11" o:spid="_x0000_s1036" o:spt="1" style="position:absolute;left:0pt;margin-left:184.75pt;margin-top:286.6pt;height:31.25pt;width:339.65pt;mso-wrap-style:none;z-index:25166131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sz w:val="48"/>
          <w:szCs w:val="48"/>
        </w:rPr>
      </w:pPr>
      <w:r>
        <w:rPr>
          <w:rFonts w:ascii="黑体" w:hAnsi="Times New Roman" w:eastAsia="黑体"/>
          <w:sz w:val="48"/>
          <w:szCs w:val="48"/>
        </w:rPr>
        <w:br w:type="page"/>
      </w:r>
    </w:p>
    <w:p>
      <w:pPr>
        <w:tabs>
          <w:tab w:val="left" w:pos="2728"/>
        </w:tabs>
        <w:rPr>
          <w:rFonts w:ascii="黑体" w:hAnsi="Times New Roman" w:eastAsia="黑体"/>
          <w:sz w:val="48"/>
          <w:szCs w:val="48"/>
        </w:rPr>
      </w:pPr>
      <w:r>
        <w:rPr>
          <w:rFonts w:ascii="黑体" w:hAnsi="Times New Roman" w:eastAsia="黑体"/>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ascii="黑体" w:hAnsi="黑体" w:eastAsia="黑体" w:cs="黑体"/>
          <w:b/>
          <w:bCs/>
          <w:sz w:val="72"/>
          <w:szCs w:val="96"/>
        </w:rPr>
        <w:t>2019</w:t>
      </w:r>
      <w:r>
        <w:rPr>
          <w:rFonts w:hint="eastAsia" w:ascii="黑体" w:hAnsi="黑体" w:eastAsia="黑体" w:cs="黑体"/>
          <w:b/>
          <w:bCs/>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中共石家庄市鹿泉区委老干部局</w:t>
      </w:r>
    </w:p>
    <w:p>
      <w:pPr>
        <w:snapToGrid w:val="0"/>
        <w:jc w:val="center"/>
        <w:rPr>
          <w:rFonts w:ascii="楷体_GB2312" w:hAnsi="楷体_GB2312" w:eastAsia="楷体_GB2312" w:cs="楷体_GB2312"/>
          <w:color w:val="000000"/>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二〇二〇年八月</w:t>
      </w:r>
    </w:p>
    <w:p>
      <w:pPr>
        <w:rPr>
          <w:rFonts w:ascii="黑体" w:hAnsi="Times New Roman" w:eastAsia="黑体"/>
          <w:sz w:val="48"/>
          <w:szCs w:val="48"/>
        </w:rPr>
      </w:pPr>
      <w:r>
        <w:rPr>
          <w:rFonts w:ascii="黑体" w:hAnsi="Times New Roman" w:eastAsia="黑体"/>
          <w:sz w:val="48"/>
          <w:szCs w:val="48"/>
        </w:rPr>
        <w:br w:type="page"/>
      </w:r>
    </w:p>
    <w:p>
      <w:pPr>
        <w:tabs>
          <w:tab w:val="left" w:pos="2728"/>
        </w:tabs>
        <w:jc w:val="center"/>
        <w:rPr>
          <w:rFonts w:ascii="黑体" w:hAnsi="Times New Roman" w:eastAsia="黑体"/>
          <w:sz w:val="48"/>
          <w:szCs w:val="48"/>
        </w:rPr>
      </w:pPr>
    </w:p>
    <w:p>
      <w:pPr>
        <w:tabs>
          <w:tab w:val="left" w:pos="2728"/>
        </w:tabs>
        <w:jc w:val="center"/>
        <w:rPr>
          <w:rFonts w:ascii="黑体" w:hAnsi="Times New Roman" w:eastAsia="黑体"/>
          <w:sz w:val="48"/>
          <w:szCs w:val="48"/>
        </w:rPr>
      </w:pPr>
      <w:r>
        <w:rPr>
          <w:rFonts w:hint="eastAsia" w:ascii="黑体" w:hAnsi="Times New Roman" w:eastAsia="黑体"/>
          <w:sz w:val="48"/>
          <w:szCs w:val="48"/>
        </w:rPr>
        <w:t>目</w:t>
      </w:r>
      <w:r>
        <w:rPr>
          <w:rFonts w:ascii="黑体" w:hAnsi="Times New Roman" w:eastAsia="黑体"/>
          <w:sz w:val="48"/>
          <w:szCs w:val="48"/>
        </w:rPr>
        <w:t xml:space="preserve">    </w:t>
      </w:r>
      <w:r>
        <w:rPr>
          <w:rFonts w:hint="eastAsia" w:ascii="黑体" w:hAnsi="Times New Roman" w:eastAsia="黑体"/>
          <w:sz w:val="48"/>
          <w:szCs w:val="48"/>
        </w:rPr>
        <w:t>录</w:t>
      </w: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仿宋_GB2312"/>
          <w:sz w:val="24"/>
          <w:szCs w:val="32"/>
        </w:rPr>
      </w:pPr>
      <w:r>
        <w:rPr>
          <w:rFonts w:hint="eastAsia" w:ascii="Times New Roman" w:hAnsi="Times New Roman" w:eastAsia="黑体"/>
          <w:sz w:val="32"/>
          <w:szCs w:val="32"/>
        </w:rPr>
        <w:t>第一部分</w:t>
      </w:r>
      <w:r>
        <w:rPr>
          <w:rFonts w:ascii="Times New Roman" w:hAnsi="Times New Roman" w:eastAsia="黑体"/>
          <w:sz w:val="32"/>
          <w:szCs w:val="32"/>
        </w:rPr>
        <w:t xml:space="preserve">   </w:t>
      </w:r>
      <w:r>
        <w:rPr>
          <w:rFonts w:hint="eastAsia" w:ascii="Times New Roman" w:hAnsi="Times New Roman" w:eastAsia="黑体"/>
          <w:sz w:val="32"/>
          <w:szCs w:val="32"/>
        </w:rPr>
        <w:t>部门概况</w:t>
      </w:r>
    </w:p>
    <w:p>
      <w:pPr>
        <w:widowControl/>
        <w:spacing w:after="160" w:line="58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一、部门职责</w:t>
      </w:r>
    </w:p>
    <w:p>
      <w:pPr>
        <w:widowControl/>
        <w:spacing w:after="160" w:line="58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二、机构设置</w:t>
      </w:r>
    </w:p>
    <w:p>
      <w:pPr>
        <w:widowControl/>
        <w:spacing w:after="160"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第二部分</w:t>
      </w:r>
      <w:r>
        <w:rPr>
          <w:rFonts w:ascii="Times New Roman" w:hAnsi="Times New Roman" w:eastAsia="黑体"/>
          <w:sz w:val="32"/>
          <w:szCs w:val="32"/>
        </w:rPr>
        <w:t xml:space="preserve">   2019</w:t>
      </w:r>
      <w:r>
        <w:rPr>
          <w:rFonts w:hint="eastAsia" w:ascii="Times New Roman" w:hAnsi="Times New Roman" w:eastAsia="黑体"/>
          <w:sz w:val="32"/>
          <w:szCs w:val="32"/>
        </w:rPr>
        <w:t>年部门决算情况说明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w:t>
      </w:r>
      <w:r>
        <w:rPr>
          <w:rFonts w:ascii="Times New Roman" w:hAnsi="Times New Roman" w:eastAsia="仿宋_GB2312"/>
          <w:sz w:val="32"/>
          <w:szCs w:val="32"/>
        </w:rPr>
        <w:t>“</w:t>
      </w:r>
      <w:r>
        <w:rPr>
          <w:rFonts w:hint="eastAsia" w:ascii="Times New Roman" w:hAnsi="Times New Roman" w:eastAsia="仿宋_GB2312"/>
          <w:sz w:val="32"/>
          <w:szCs w:val="32"/>
        </w:rPr>
        <w:t>三公</w:t>
      </w:r>
      <w:r>
        <w:rPr>
          <w:rFonts w:ascii="Times New Roman" w:hAnsi="Times New Roman" w:eastAsia="仿宋_GB2312"/>
          <w:sz w:val="32"/>
          <w:szCs w:val="32"/>
        </w:rPr>
        <w:t>”</w:t>
      </w:r>
      <w:r>
        <w:rPr>
          <w:rFonts w:hint="eastAsia" w:ascii="Times New Roman" w:hAnsi="Times New Roman" w:eastAsia="仿宋_GB2312"/>
          <w:sz w:val="32"/>
          <w:szCs w:val="32"/>
        </w:rPr>
        <w:t>经费支出决算情况说明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七、其他重要事项的说明</w:t>
      </w:r>
    </w:p>
    <w:p>
      <w:pPr>
        <w:widowControl/>
        <w:spacing w:after="160"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第三部分</w:t>
      </w:r>
      <w:r>
        <w:rPr>
          <w:rFonts w:ascii="Times New Roman" w:hAnsi="Times New Roman" w:eastAsia="黑体"/>
          <w:sz w:val="32"/>
          <w:szCs w:val="32"/>
        </w:rPr>
        <w:t xml:space="preserve">  </w:t>
      </w:r>
      <w:r>
        <w:rPr>
          <w:rFonts w:hint="eastAsia" w:ascii="Times New Roman" w:hAnsi="Times New Roman" w:eastAsia="黑体"/>
          <w:sz w:val="32"/>
          <w:szCs w:val="32"/>
        </w:rPr>
        <w:t>名词解释</w:t>
      </w:r>
    </w:p>
    <w:p>
      <w:pPr>
        <w:widowControl/>
        <w:spacing w:after="160" w:line="580" w:lineRule="exact"/>
        <w:ind w:firstLine="640" w:firstLineChars="200"/>
        <w:rPr>
          <w:rFonts w:ascii="Times New Roman" w:hAnsi="Times New Roman" w:eastAsia="仿宋_GB2312"/>
          <w:sz w:val="20"/>
          <w:szCs w:val="32"/>
        </w:rPr>
      </w:pPr>
      <w:r>
        <w:rPr>
          <w:rFonts w:hint="eastAsia" w:ascii="Times New Roman" w:hAnsi="Times New Roman" w:eastAsia="黑体"/>
          <w:sz w:val="32"/>
          <w:szCs w:val="32"/>
        </w:rPr>
        <w:t>第四部分</w:t>
      </w:r>
      <w:r>
        <w:rPr>
          <w:rFonts w:ascii="Times New Roman" w:hAnsi="Times New Roman" w:eastAsia="黑体"/>
          <w:sz w:val="32"/>
          <w:szCs w:val="32"/>
        </w:rPr>
        <w:t xml:space="preserve">  2019</w:t>
      </w:r>
      <w:r>
        <w:rPr>
          <w:rFonts w:hint="eastAsia" w:ascii="Times New Roman" w:hAnsi="Times New Roman" w:eastAsia="黑体"/>
          <w:sz w:val="32"/>
          <w:szCs w:val="32"/>
        </w:rPr>
        <w:t>年度部门决算报表</w:t>
      </w:r>
    </w:p>
    <w:p>
      <w:pPr>
        <w:widowControl/>
        <w:spacing w:after="160" w:line="580" w:lineRule="exact"/>
        <w:rPr>
          <w:rFonts w:ascii="Times New Roman" w:hAnsi="Times New Roman" w:eastAsia="黑体"/>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pict>
          <v:shape id="_x0000_s1037" o:spid="_x0000_s1037" o:spt="202" type="#_x0000_t202" style="position:absolute;left:0pt;margin-left:-85.7pt;margin-top:80.7pt;height:263.1pt;width:613.65pt;z-index:25166643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focussize="0,0"/>
            <v:stroke weight="1pt" color="#FFD966" joinstyle="round"/>
            <v:imagedata o:title=""/>
            <o:lock v:ext="edit"/>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98" w:lineRule="atLeast"/>
        <w:ind w:firstLine="64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、负责贯彻落实中央、省和市委关于离退休干部的方针政策，结合我区情况，制定离退休干部有关的政策规定和办法。</w:t>
      </w:r>
    </w:p>
    <w:p>
      <w:pPr>
        <w:spacing w:line="598" w:lineRule="atLeast"/>
        <w:ind w:firstLine="64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、指导、督促、检查各乡镇、高新技术产业园区和区直各单位的老干部工作；组织和协调有关部门共同做好老干部工作。</w:t>
      </w:r>
    </w:p>
    <w:p>
      <w:pPr>
        <w:spacing w:line="598" w:lineRule="atLeast"/>
        <w:ind w:firstLine="64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组织离退休干部阅文和学习并参加报告会、通报会、参观经济建设等政治活动；协助组织部门抓好离退休干部党支部建设，改进和加强新形势下离退休干部的思想政治工作；督导检查各单位落实老干部政治待遇。</w:t>
      </w:r>
    </w:p>
    <w:p>
      <w:pPr>
        <w:spacing w:line="598" w:lineRule="atLeast"/>
        <w:ind w:firstLine="64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离退休干部的医疗保健、生活福利、健康疗养；检查指导离退休干部公用经费的管理使用，统筹使用离退休干部特需经费；负责全区老干部护理费审批工作，指导检查老干部医疗保健工作；督导检查落实老干部的生活待遇。</w:t>
      </w:r>
    </w:p>
    <w:p>
      <w:pPr>
        <w:spacing w:line="598" w:lineRule="atLeast"/>
        <w:ind w:firstLine="64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、按照有关规定做好离退休干部的安置工作（包括易地安置工作），发放老干部荣誉证。</w:t>
      </w:r>
    </w:p>
    <w:p>
      <w:pPr>
        <w:spacing w:line="598" w:lineRule="atLeast"/>
        <w:ind w:firstLine="64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、指导各基层单位组织离退休干部继续在政治、经济领域发挥作用。</w:t>
      </w:r>
    </w:p>
    <w:p>
      <w:pPr>
        <w:spacing w:line="598" w:lineRule="atLeast"/>
        <w:ind w:firstLine="64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、指导协调全区老年教育、老干部协会、老区建设促进会等社团组织活动；负责管理区老年大学、区老干部活动中心；做好外地老干部来鹿探亲访友及外地老干部部门的接待工作。</w:t>
      </w:r>
    </w:p>
    <w:p>
      <w:pPr>
        <w:spacing w:line="598" w:lineRule="atLeast"/>
        <w:ind w:firstLine="64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、负责组织和指导对老干部的节日走访慰问等各种活动。</w:t>
      </w:r>
    </w:p>
    <w:p>
      <w:pPr>
        <w:spacing w:line="598" w:lineRule="atLeast"/>
        <w:ind w:firstLine="64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、负责全区关心下一代工作的开展，抓好关工委的基层组织建设。</w:t>
      </w:r>
    </w:p>
    <w:p>
      <w:pPr>
        <w:spacing w:line="598" w:lineRule="atLeast"/>
        <w:ind w:firstLine="64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、负责指导逝世老干部的善后工作，协助承办区委交办的丧葬事宜，会同有关部门制定治丧办法。</w:t>
      </w:r>
    </w:p>
    <w:p>
      <w:pPr>
        <w:spacing w:line="598" w:lineRule="atLeast"/>
        <w:ind w:firstLine="640"/>
        <w:rPr>
          <w:rFonts w:ascii="仿宋" w:hAnsi="仿宋" w:eastAsia="仿宋" w:cs="仿宋"/>
          <w:sz w:val="32"/>
          <w:szCs w:val="32"/>
        </w:rPr>
      </w:pPr>
      <w:r>
        <w:rPr>
          <w:rFonts w:ascii="仿宋" w:hAnsi="仿宋" w:eastAsia="仿宋" w:cs="仿宋"/>
          <w:sz w:val="32"/>
          <w:szCs w:val="32"/>
        </w:rPr>
        <w:t>11</w:t>
      </w:r>
      <w:r>
        <w:rPr>
          <w:rFonts w:hint="eastAsia" w:ascii="仿宋" w:hAnsi="仿宋" w:eastAsia="仿宋" w:cs="仿宋"/>
          <w:sz w:val="32"/>
          <w:szCs w:val="32"/>
        </w:rPr>
        <w:t>、承担区委老干部工作领导小组的日常工作。</w:t>
      </w:r>
    </w:p>
    <w:p>
      <w:pPr>
        <w:spacing w:line="598" w:lineRule="atLeast"/>
        <w:ind w:firstLine="640"/>
        <w:rPr>
          <w:rFonts w:ascii="仿宋" w:hAnsi="仿宋" w:eastAsia="仿宋" w:cs="仿宋"/>
          <w:sz w:val="32"/>
          <w:szCs w:val="32"/>
        </w:rPr>
      </w:pPr>
      <w:r>
        <w:rPr>
          <w:rFonts w:ascii="仿宋" w:hAnsi="仿宋" w:eastAsia="仿宋" w:cs="仿宋"/>
          <w:sz w:val="32"/>
          <w:szCs w:val="32"/>
        </w:rPr>
        <w:t>12</w:t>
      </w:r>
      <w:r>
        <w:rPr>
          <w:rFonts w:hint="eastAsia" w:ascii="仿宋" w:hAnsi="仿宋" w:eastAsia="仿宋" w:cs="仿宋"/>
          <w:sz w:val="32"/>
          <w:szCs w:val="32"/>
        </w:rPr>
        <w:t>、承办区委、市政府交办的其他事宜。</w:t>
      </w:r>
    </w:p>
    <w:p>
      <w:pPr>
        <w:autoSpaceDE w:val="0"/>
        <w:autoSpaceDN w:val="0"/>
        <w:adjustRightInd w:val="0"/>
        <w:spacing w:line="560" w:lineRule="exact"/>
        <w:jc w:val="left"/>
        <w:rPr>
          <w:rFonts w:ascii="仿宋_GB2312" w:hAnsi="Cambria"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w:t>
      </w:r>
      <w:r>
        <w:rPr>
          <w:rFonts w:ascii="仿宋_GB2312" w:hAnsi="Calibri" w:eastAsia="仿宋_GB2312" w:cs="ArialUnicodeMS"/>
          <w:kern w:val="0"/>
          <w:sz w:val="32"/>
          <w:szCs w:val="32"/>
        </w:rPr>
        <w:t xml:space="preserve">2019 </w:t>
      </w:r>
      <w:r>
        <w:rPr>
          <w:rFonts w:hint="eastAsia" w:ascii="仿宋_GB2312" w:hAnsi="Calibri" w:eastAsia="仿宋_GB2312" w:cs="ArialUnicodeMS"/>
          <w:kern w:val="0"/>
          <w:sz w:val="32"/>
          <w:szCs w:val="32"/>
        </w:rPr>
        <w:t>年度本部门决算汇编范围的独立核算单位（以下简称“单位”）共</w:t>
      </w:r>
      <w:r>
        <w:rPr>
          <w:rFonts w:ascii="仿宋_GB2312" w:hAnsi="Calibri" w:eastAsia="仿宋_GB2312" w:cs="ArialUnicodeMS"/>
          <w:kern w:val="0"/>
          <w:sz w:val="32"/>
          <w:szCs w:val="32"/>
        </w:rPr>
        <w:t xml:space="preserve">  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中共石家庄市鹿泉区委老干部局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rPr>
          <w:rFonts w:ascii="Times New Roman" w:hAnsi="Times New Roman" w:eastAsia="黑体"/>
          <w:sz w:val="32"/>
          <w:szCs w:val="32"/>
        </w:rPr>
        <w:sectPr>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sz w:val="32"/>
          <w:szCs w:val="32"/>
        </w:rPr>
        <w:sectPr>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420" w:firstLineChars="200"/>
        <w:rPr>
          <w:rFonts w:ascii="Times New Roman" w:hAnsi="Times New Roman" w:eastAsia="黑体"/>
          <w:sz w:val="32"/>
          <w:szCs w:val="32"/>
        </w:rPr>
        <w:sectPr>
          <w:pgSz w:w="11906" w:h="16838"/>
          <w:pgMar w:top="2041" w:right="1531" w:bottom="2041" w:left="1531" w:header="851" w:footer="992" w:gutter="0"/>
          <w:pgNumType w:fmt="numberInDash"/>
          <w:cols w:space="0" w:num="1"/>
          <w:titlePg/>
          <w:docGrid w:type="lines" w:linePitch="312" w:charSpace="0"/>
        </w:sectPr>
      </w:pPr>
      <w:r>
        <w:pict>
          <v:shape id="_x0000_s1038" o:spid="_x0000_s1038"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pict>
          <v:shape id="_x0000_s1039" o:spid="_x0000_s1039" o:spt="202" type="#_x0000_t202" style="position:absolute;left:0pt;margin-left:-90.8pt;margin-top:4.35pt;height:263.1pt;width:613.65pt;z-index:25166745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focussize="0,0"/>
            <v:stroke weight="0.5pt" color="#FFD96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2019</w:t>
                  </w:r>
                  <w:r>
                    <w:rPr>
                      <w:rFonts w:hint="eastAsia" w:ascii="黑体" w:hAnsi="黑体" w:eastAsia="黑体" w:cs="黑体"/>
                      <w:color w:val="000000"/>
                      <w:sz w:val="90"/>
                      <w:szCs w:val="90"/>
                    </w:rPr>
                    <w:t>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一、收入</w:t>
      </w:r>
      <w:r>
        <w:rPr>
          <w:rFonts w:hint="eastAsia" w:ascii="黑体" w:hAnsi="Cambria" w:eastAsia="黑体" w:cs="黑体"/>
          <w:kern w:val="0"/>
          <w:sz w:val="32"/>
          <w:szCs w:val="32"/>
        </w:rPr>
        <w:t>支出</w:t>
      </w:r>
      <w:r>
        <w:rPr>
          <w:rFonts w:hint="eastAsia" w:ascii="黑体" w:hAnsi="Calibri" w:eastAsia="黑体"/>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年度收支总计（含结转和结余）</w:t>
      </w:r>
      <w:r>
        <w:rPr>
          <w:rFonts w:ascii="仿宋_GB2312" w:hAnsi="Times New Roman" w:eastAsia="仿宋_GB2312" w:cs="DengXian-Regular"/>
          <w:sz w:val="32"/>
          <w:szCs w:val="32"/>
        </w:rPr>
        <w:t>1509.79</w:t>
      </w:r>
      <w:r>
        <w:rPr>
          <w:rFonts w:hint="eastAsia" w:ascii="仿宋_GB2312" w:hAnsi="Times New Roman" w:eastAsia="仿宋_GB2312" w:cs="DengXian-Regular"/>
          <w:sz w:val="32"/>
          <w:szCs w:val="32"/>
        </w:rPr>
        <w:t>万元。与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年度决算相比，收支各增加</w:t>
      </w:r>
      <w:r>
        <w:rPr>
          <w:rFonts w:ascii="仿宋_GB2312" w:hAnsi="Times New Roman" w:eastAsia="仿宋_GB2312" w:cs="DengXian-Regular"/>
          <w:sz w:val="32"/>
          <w:szCs w:val="32"/>
        </w:rPr>
        <w:t>15.02</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46.31</w:t>
      </w:r>
      <w:r>
        <w:rPr>
          <w:rFonts w:hint="eastAsia" w:ascii="仿宋_GB2312" w:hAnsi="Times New Roman" w:eastAsia="仿宋_GB2312" w:cs="DengXian-Regular"/>
          <w:sz w:val="32"/>
          <w:szCs w:val="32"/>
        </w:rPr>
        <w:t>万元，分别增长</w:t>
      </w:r>
      <w:r>
        <w:rPr>
          <w:rFonts w:ascii="仿宋_GB2312" w:hAnsi="Times New Roman" w:eastAsia="仿宋_GB2312" w:cs="DengXian-Regular"/>
          <w:sz w:val="32"/>
          <w:szCs w:val="32"/>
        </w:rPr>
        <w:t>2.1%</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6.6%</w:t>
      </w:r>
      <w:r>
        <w:rPr>
          <w:rFonts w:hint="eastAsia" w:ascii="仿宋_GB2312" w:hAnsi="Times New Roman" w:eastAsia="仿宋_GB2312" w:cs="DengXian-Regular"/>
          <w:sz w:val="32"/>
          <w:szCs w:val="32"/>
        </w:rPr>
        <w:t>，主要原因是活动中心主楼整修费用增加。</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二、收入决算情况说明</w:t>
      </w:r>
    </w:p>
    <w:p>
      <w:pPr>
        <w:keepNext/>
        <w:keepLines/>
        <w:snapToGrid w:val="0"/>
        <w:spacing w:line="580" w:lineRule="exact"/>
        <w:ind w:firstLine="640" w:firstLineChars="200"/>
        <w:outlineLvl w:val="1"/>
        <w:rPr>
          <w:rFonts w:ascii="黑体" w:hAnsi="Calibri" w:eastAsia="黑体"/>
          <w:b/>
          <w:bCs/>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740.03</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740.03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；事业收入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；经营收入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；其他收入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三、支出决算情况说明</w:t>
      </w:r>
    </w:p>
    <w:p>
      <w:pPr>
        <w:adjustRightInd w:val="0"/>
        <w:snapToGrid w:val="0"/>
        <w:spacing w:line="580" w:lineRule="exact"/>
        <w:ind w:firstLine="420" w:firstLineChars="200"/>
        <w:rPr>
          <w:rFonts w:ascii="仿宋_GB2312" w:hAnsi="Times New Roman" w:eastAsia="仿宋_GB2312" w:cs="DengXian-Regular"/>
          <w:sz w:val="32"/>
          <w:szCs w:val="32"/>
        </w:rPr>
      </w:pPr>
      <w:r>
        <w:pict>
          <v:shape id="_x0000_s1040" o:spid="_x0000_s1040" o:spt="75" type="#_x0000_t75" style="position:absolute;left:0pt;margin-left:81.85pt;margin-top:83.6pt;height:194.8pt;width:296.1pt;z-index:251673600;mso-width-relative:page;mso-height-relative:page;" o:ole="t" filled="f" o:preferrelative="t" stroked="f" coordsize="21600,21600">
            <v:path/>
            <v:fill on="f" focussize="0,0"/>
            <v:stroke on="f" joinstyle="miter"/>
            <v:imagedata r:id="rId20" o:title=""/>
            <o:lock v:ext="edit" aspectratio="t"/>
          </v:shape>
          <o:OLEObject Type="Embed" ProgID="Excel.Sheet.8" ShapeID="_x0000_s1040" DrawAspect="Content" ObjectID="_1468075725" r:id="rId19">
            <o:LockedField>false</o:LockedField>
          </o:OLEObject>
        </w:pic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年度本年支出合计</w:t>
      </w:r>
      <w:r>
        <w:rPr>
          <w:rFonts w:ascii="仿宋_GB2312" w:hAnsi="Times New Roman" w:eastAsia="仿宋_GB2312" w:cs="DengXian-Regular"/>
          <w:sz w:val="32"/>
          <w:szCs w:val="32"/>
        </w:rPr>
        <w:t>750.89</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587.03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78.2%</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163.86</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21.8%</w:t>
      </w:r>
      <w:r>
        <w:rPr>
          <w:rFonts w:hint="eastAsia" w:ascii="仿宋_GB2312" w:hAnsi="Times New Roman" w:eastAsia="仿宋_GB2312" w:cs="DengXian-Regular"/>
          <w:sz w:val="32"/>
          <w:szCs w:val="32"/>
        </w:rPr>
        <w:t>；经营支出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0" w:firstLineChars="200"/>
        <w:outlineLvl w:val="1"/>
        <w:rPr>
          <w:rFonts w:ascii="黑体" w:hAnsi="Calibri" w:eastAsia="黑体"/>
          <w:sz w:val="32"/>
          <w:szCs w:val="3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四、</w:t>
      </w:r>
      <w:r>
        <w:rPr>
          <w:rFonts w:hint="eastAsia" w:ascii="黑体" w:hAnsi="Cambria" w:eastAsia="黑体" w:cs="黑体"/>
          <w:kern w:val="0"/>
          <w:sz w:val="32"/>
          <w:szCs w:val="32"/>
        </w:rPr>
        <w:t>财政</w:t>
      </w:r>
      <w:r>
        <w:rPr>
          <w:rFonts w:hint="eastAsia" w:ascii="黑体" w:hAnsi="Calibri" w:eastAsia="黑体"/>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w:t>
      </w:r>
      <w:r>
        <w:rPr>
          <w:rFonts w:ascii="楷体_GB2312" w:hAnsi="Times New Roman" w:eastAsia="楷体_GB2312" w:cs="DengXian-Bold"/>
          <w:b/>
          <w:bCs/>
          <w:sz w:val="32"/>
          <w:szCs w:val="32"/>
        </w:rPr>
        <w:t xml:space="preserve">2018 </w:t>
      </w:r>
      <w:r>
        <w:rPr>
          <w:rFonts w:hint="eastAsia" w:ascii="楷体_GB2312" w:hAnsi="Times New Roman" w:eastAsia="楷体_GB2312" w:cs="DengXian-Bold"/>
          <w:b/>
          <w:bCs/>
          <w:sz w:val="32"/>
          <w:szCs w:val="32"/>
        </w:rPr>
        <w:t>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年度形成的财政拨款收支均为一般公共预算财政拨款，其中本年收入</w:t>
      </w:r>
      <w:r>
        <w:rPr>
          <w:rFonts w:ascii="仿宋_GB2312" w:hAnsi="Times New Roman" w:eastAsia="仿宋_GB2312" w:cs="DengXian-Regular"/>
          <w:sz w:val="32"/>
          <w:szCs w:val="32"/>
        </w:rPr>
        <w:t>724.03</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7.82</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1.1%</w:t>
      </w:r>
      <w:r>
        <w:rPr>
          <w:rFonts w:hint="eastAsia" w:ascii="仿宋_GB2312" w:hAnsi="Times New Roman" w:eastAsia="仿宋_GB2312" w:cs="DengXian-Regular"/>
          <w:sz w:val="32"/>
          <w:szCs w:val="32"/>
        </w:rPr>
        <w:t>，主要是离退休干部特需经费增加；本年支出</w:t>
      </w:r>
      <w:r>
        <w:rPr>
          <w:rFonts w:ascii="仿宋_GB2312" w:hAnsi="Times New Roman" w:eastAsia="仿宋_GB2312" w:cs="DengXian-Regular"/>
          <w:sz w:val="32"/>
          <w:szCs w:val="32"/>
        </w:rPr>
        <w:t>734.89</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39.1</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5.3%</w:t>
      </w:r>
      <w:r>
        <w:rPr>
          <w:rFonts w:hint="eastAsia" w:ascii="仿宋_GB2312" w:hAnsi="Times New Roman" w:eastAsia="仿宋_GB2312" w:cs="DengXian-Regular"/>
          <w:sz w:val="32"/>
          <w:szCs w:val="32"/>
        </w:rPr>
        <w:t>，主要是活动中心主楼整修费用增加。</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年度一般公共预算财政拨款收入</w:t>
      </w:r>
      <w:r>
        <w:rPr>
          <w:rFonts w:ascii="仿宋_GB2312" w:hAnsi="Times New Roman" w:eastAsia="仿宋_GB2312" w:cs="DengXian-Regular"/>
          <w:sz w:val="32"/>
          <w:szCs w:val="32"/>
        </w:rPr>
        <w:t>724.03</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106.6%</w:t>
      </w:r>
      <w:r>
        <w:rPr>
          <w:rFonts w:hint="eastAsia" w:ascii="仿宋_GB2312" w:hAnsi="Times New Roman" w:eastAsia="仿宋_GB2312" w:cs="DengXian-Regular"/>
          <w:sz w:val="32"/>
          <w:szCs w:val="32"/>
        </w:rPr>
        <w:t>（如图</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44.64</w:t>
      </w:r>
      <w:r>
        <w:rPr>
          <w:rFonts w:hint="eastAsia" w:ascii="仿宋_GB2312" w:hAnsi="Times New Roman" w:eastAsia="仿宋_GB2312" w:cs="DengXian-Regular"/>
          <w:sz w:val="32"/>
          <w:szCs w:val="32"/>
        </w:rPr>
        <w:t>万元，决算数大于预算数主要原因是离休干部病故增加抚恤金；本年支出</w:t>
      </w:r>
      <w:r>
        <w:rPr>
          <w:rFonts w:ascii="仿宋_GB2312" w:hAnsi="Times New Roman" w:eastAsia="仿宋_GB2312" w:cs="DengXian-Regular"/>
          <w:sz w:val="32"/>
          <w:szCs w:val="32"/>
        </w:rPr>
        <w:t>734.89</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108.2%,</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55.48</w:t>
      </w:r>
      <w:r>
        <w:rPr>
          <w:rFonts w:hint="eastAsia" w:ascii="仿宋_GB2312" w:hAnsi="Times New Roman" w:eastAsia="仿宋_GB2312" w:cs="DengXian-Regular"/>
          <w:sz w:val="32"/>
          <w:szCs w:val="32"/>
        </w:rPr>
        <w:t>万元，决算数大于预算数主要原因是主要是离休干部病故增加抚恤金。</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firstLine="482" w:firstLineChars="15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pPr>
        <w:adjustRightInd w:val="0"/>
        <w:snapToGrid w:val="0"/>
        <w:spacing w:line="580" w:lineRule="exact"/>
        <w:ind w:firstLine="640" w:firstLineChars="200"/>
        <w:rPr>
          <w:rFonts w:ascii="楷体_GB2312" w:eastAsia="楷体_GB2312" w:cs="DengXian-Bold"/>
          <w:b/>
          <w:bCs/>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750.89</w:t>
      </w:r>
      <w:r>
        <w:rPr>
          <w:rFonts w:hint="eastAsia" w:ascii="仿宋_GB2312" w:hAnsi="Times New Roman" w:eastAsia="仿宋_GB2312" w:cs="DengXian-Regular"/>
          <w:sz w:val="32"/>
          <w:szCs w:val="32"/>
        </w:rPr>
        <w:t>万元，主要用于以下方面一般公共服务（类）支出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，；公共安全类（类）支出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；教育（类）支出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；科学技术（类）支出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；社会保障和就业（类）支出</w:t>
      </w:r>
      <w:r>
        <w:rPr>
          <w:rFonts w:ascii="仿宋_GB2312" w:hAnsi="Times New Roman" w:eastAsia="仿宋_GB2312" w:cs="DengXian-Regular"/>
          <w:sz w:val="32"/>
          <w:szCs w:val="32"/>
        </w:rPr>
        <w:t>718.84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95.7%</w:t>
      </w:r>
      <w:r>
        <w:rPr>
          <w:rFonts w:hint="eastAsia" w:ascii="仿宋_GB2312" w:hAnsi="Times New Roman" w:eastAsia="仿宋_GB2312" w:cs="DengXian-Regular"/>
          <w:sz w:val="32"/>
          <w:szCs w:val="32"/>
        </w:rPr>
        <w:t>；住房保障（类）支出</w:t>
      </w:r>
      <w:r>
        <w:rPr>
          <w:rFonts w:ascii="仿宋_GB2312" w:hAnsi="Times New Roman" w:eastAsia="仿宋_GB2312" w:cs="DengXian-Regular"/>
          <w:sz w:val="32"/>
          <w:szCs w:val="32"/>
        </w:rPr>
        <w:t>15.72</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2.1%;</w:t>
      </w:r>
      <w:r>
        <w:rPr>
          <w:rFonts w:hint="eastAsia" w:ascii="仿宋_GB2312" w:eastAsia="仿宋_GB2312" w:cs="DengXian-Regular"/>
          <w:sz w:val="32"/>
          <w:szCs w:val="32"/>
        </w:rPr>
        <w:t>医疗卫生和计划生育（类）支出</w:t>
      </w:r>
      <w:r>
        <w:rPr>
          <w:rFonts w:ascii="仿宋_GB2312" w:eastAsia="仿宋_GB2312" w:cs="DengXian-Regular"/>
          <w:sz w:val="32"/>
          <w:szCs w:val="32"/>
        </w:rPr>
        <w:t>16.33</w:t>
      </w:r>
      <w:r>
        <w:rPr>
          <w:rFonts w:hint="eastAsia" w:ascii="仿宋_GB2312" w:eastAsia="仿宋_GB2312" w:cs="DengXian-Regular"/>
          <w:sz w:val="32"/>
          <w:szCs w:val="32"/>
        </w:rPr>
        <w:t>万元，占</w:t>
      </w:r>
      <w:r>
        <w:rPr>
          <w:rFonts w:ascii="仿宋_GB2312" w:eastAsia="仿宋_GB2312" w:cs="DengXian-Regular"/>
          <w:sz w:val="32"/>
          <w:szCs w:val="32"/>
        </w:rPr>
        <w:t>2.2%</w:t>
      </w:r>
      <w:r>
        <w:rPr>
          <w:rFonts w:hint="eastAsia" w:ascii="仿宋_GB2312" w:eastAsia="仿宋_GB2312" w:cs="DengXian-Regular"/>
          <w:sz w:val="32"/>
          <w:szCs w:val="32"/>
        </w:rPr>
        <w:t>。</w:t>
      </w:r>
      <w:r>
        <w:pict>
          <v:group id="Group 31" o:spid="_x0000_s1041" o:spt="203" style="position:absolute;left:0pt;margin-left:86.35pt;margin-top:15.9pt;height:195.05pt;width:296.35pt;z-index:-251644928;mso-width-relative:page;mso-height-relative:page;" coordorigin="6921,180284" coordsize="5331,3886203">
            <o:lock v:ext="edit"/>
            <v:shape id="图片 1" o:spid="_x0000_s1042" o:spt="75" type="#_x0000_t75" style="position:absolute;left:7157;top:180284;height:2988;width:4586;" filled="f" o:preferrelative="t" stroked="f" coordsize="21600,21600">
              <v:path/>
              <v:fill on="f" focussize="0,0"/>
              <v:stroke on="f" joinstyle="miter"/>
              <v:imagedata r:id="rId21" cropleft="2131f" croptop="1490f" cropright="1218f" cropbottom="5217f" o:title=""/>
              <o:lock v:ext="edit" aspectratio="t"/>
            </v:shape>
            <v:shape id="文本框 32" o:spid="_x0000_s1043" o:spt="202" type="#_x0000_t202" style="position:absolute;left:6921;top:183134;height:1036;width:5331;" o:preferrelative="t" stroked="f" coordsize="21600,21600">
              <v:path/>
              <v:fill focussize="0,0"/>
              <v:stroke on="f"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5</w:t>
                    </w:r>
                    <w:r>
                      <w:rPr>
                        <w:rFonts w:hint="eastAsia" w:ascii="仿宋_GB2312" w:eastAsia="仿宋_GB2312" w:cs="DengXian-Regular"/>
                        <w:sz w:val="28"/>
                        <w:szCs w:val="28"/>
                      </w:rPr>
                      <w:t>：财政拨款支出决算结构（按功能分类）</w:t>
                    </w:r>
                  </w:p>
                  <w:p>
                    <w:pPr>
                      <w:rPr>
                        <w:sz w:val="20"/>
                      </w:rPr>
                    </w:pPr>
                  </w:p>
                </w:txbxContent>
              </v:textbox>
            </v:shape>
          </v:group>
        </w:pict>
      </w:r>
    </w:p>
    <w:p>
      <w:pPr>
        <w:adjustRightInd w:val="0"/>
        <w:snapToGrid w:val="0"/>
        <w:spacing w:line="580" w:lineRule="exact"/>
        <w:ind w:firstLine="420" w:firstLineChars="200"/>
        <w:rPr>
          <w:rFonts w:ascii="仿宋_GB2312" w:hAnsi="Times New Roman" w:eastAsia="仿宋_GB2312" w:cs="DengXian-Regular"/>
          <w:sz w:val="32"/>
          <w:szCs w:val="32"/>
        </w:rPr>
      </w:pPr>
      <w:r>
        <w:pict>
          <v:shape id="_x0000_s1044" o:spid="_x0000_s1044" o:spt="75" type="#_x0000_t75" style="position:absolute;left:0pt;margin-left:-9.05pt;margin-top:4.7pt;height:301.65pt;width:459.05pt;z-index:251674624;mso-width-relative:page;mso-height-relative:page;" o:ole="t" filled="f" o:preferrelative="t" stroked="f" coordsize="21600,21600">
            <v:path/>
            <v:fill on="f" focussize="0,0"/>
            <v:stroke on="f" joinstyle="miter"/>
            <v:imagedata r:id="rId23" o:title=""/>
            <o:lock v:ext="edit" aspectratio="t"/>
          </v:shape>
          <o:OLEObject Type="Embed" ProgID="Excel.Sheet.8" ShapeID="_x0000_s1044" DrawAspect="Content" ObjectID="_1468075726" r:id="rId22">
            <o:LockedField>false</o:LockedField>
          </o:OLEObject>
        </w:pic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年度财政拨款基本支出</w:t>
      </w:r>
      <w:r>
        <w:rPr>
          <w:rFonts w:ascii="仿宋_GB2312" w:hAnsi="Times New Roman" w:eastAsia="仿宋_GB2312" w:cs="DengXian-Regular"/>
          <w:sz w:val="32"/>
          <w:szCs w:val="32"/>
        </w:rPr>
        <w:t>587.03</w:t>
      </w:r>
      <w:r>
        <w:rPr>
          <w:rFonts w:hint="eastAsia" w:ascii="仿宋_GB2312" w:hAnsi="Times New Roman" w:eastAsia="仿宋_GB2312" w:cs="DengXian-Regular"/>
          <w:sz w:val="32"/>
          <w:szCs w:val="32"/>
        </w:rPr>
        <w:t>万元，其中：人员经费</w:t>
      </w:r>
      <w:r>
        <w:rPr>
          <w:rFonts w:ascii="仿宋_GB2312" w:hAnsi="Times New Roman" w:eastAsia="仿宋_GB2312" w:cs="DengXian-Regular"/>
          <w:sz w:val="32"/>
          <w:szCs w:val="32"/>
        </w:rPr>
        <w:t xml:space="preserve"> 536.81</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50.22</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五、一般公共预算“三公”</w:t>
      </w:r>
      <w:r>
        <w:rPr>
          <w:rFonts w:ascii="黑体" w:hAnsi="Calibri" w:eastAsia="黑体"/>
          <w:sz w:val="32"/>
          <w:szCs w:val="32"/>
        </w:rPr>
        <w:t xml:space="preserve"> </w:t>
      </w:r>
      <w:r>
        <w:rPr>
          <w:rFonts w:hint="eastAsia" w:ascii="黑体" w:hAnsi="Calibri" w:eastAsia="黑体"/>
          <w:sz w:val="32"/>
          <w:szCs w:val="32"/>
        </w:rPr>
        <w:t>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年度“三公”经费支出共计</w:t>
      </w:r>
      <w:r>
        <w:rPr>
          <w:rFonts w:ascii="仿宋_GB2312" w:hAnsi="Times New Roman" w:eastAsia="仿宋_GB2312" w:cs="DengXian-Regular"/>
          <w:sz w:val="32"/>
          <w:szCs w:val="32"/>
        </w:rPr>
        <w:t>3.99</w:t>
      </w:r>
      <w:r>
        <w:rPr>
          <w:rFonts w:hint="eastAsia" w:ascii="仿宋_GB2312" w:hAnsi="Times New Roman" w:eastAsia="仿宋_GB2312" w:cs="DengXian-Regular"/>
          <w:sz w:val="32"/>
          <w:szCs w:val="32"/>
        </w:rPr>
        <w:t>万元，完成预算的</w:t>
      </w:r>
      <w:r>
        <w:rPr>
          <w:rFonts w:ascii="仿宋_GB2312" w:hAnsi="Times New Roman" w:eastAsia="仿宋_GB2312" w:cs="DengXian-Regular"/>
          <w:sz w:val="32"/>
          <w:szCs w:val="32"/>
        </w:rPr>
        <w:t>46.9%,</w:t>
      </w:r>
      <w:r>
        <w:rPr>
          <w:rFonts w:hint="eastAsia" w:ascii="仿宋_GB2312" w:hAnsi="Times New Roman" w:eastAsia="仿宋_GB2312" w:cs="DengXian-Regular"/>
          <w:sz w:val="32"/>
          <w:szCs w:val="32"/>
        </w:rPr>
        <w:t>较预算减少</w:t>
      </w:r>
      <w:r>
        <w:rPr>
          <w:rFonts w:ascii="仿宋_GB2312" w:hAnsi="Times New Roman" w:eastAsia="仿宋_GB2312" w:cs="DengXian-Regular"/>
          <w:sz w:val="32"/>
          <w:szCs w:val="32"/>
        </w:rPr>
        <w:t>4.52</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53.1%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ascii="仿宋_GB2312" w:hAnsi="Times New Roman" w:eastAsia="仿宋_GB2312" w:cs="DengXian-Regular"/>
          <w:sz w:val="32"/>
          <w:szCs w:val="32"/>
        </w:rPr>
        <w:t>16.09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80.1%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精神和厉行节约要求，从严控制“三公”经费开支，减少公务用车购置、招待费、公务用车维护费，因此比上年减少支出。</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参加其他单位组织的因公出国（境）团组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3.99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年度公务用车购置及运行维护费较预算减少</w:t>
      </w:r>
      <w:r>
        <w:rPr>
          <w:rFonts w:ascii="仿宋_GB2312" w:hAnsi="Times New Roman" w:eastAsia="仿宋_GB2312" w:cs="DengXian-Regular"/>
          <w:sz w:val="32"/>
          <w:szCs w:val="32"/>
        </w:rPr>
        <w:t>4.52</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53.1%,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ascii="仿宋_GB2312" w:hAnsi="Times New Roman" w:eastAsia="仿宋_GB2312" w:cs="DengXian-Regular"/>
          <w:sz w:val="32"/>
          <w:szCs w:val="32"/>
        </w:rPr>
        <w:t>16.09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80.1%,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精神和厉行节约要求，从严控制“三公”经费开支，减少公务用车购置</w:t>
      </w:r>
      <w:r>
        <w:rPr>
          <w:rFonts w:hint="eastAsia" w:ascii="仿宋_GB2312" w:hAnsi="Times New Roman" w:eastAsia="仿宋_GB2312" w:cs="DengXian-Regular"/>
          <w:sz w:val="32"/>
          <w:szCs w:val="32"/>
        </w:rPr>
        <w:t>经费支出</w:t>
      </w:r>
      <w:r>
        <w:rPr>
          <w:rFonts w:hint="eastAsia" w:ascii="仿宋_GB2312" w:eastAsia="仿宋_GB2312" w:cs="DengXian-Regular"/>
          <w:sz w:val="32"/>
          <w:szCs w:val="32"/>
        </w:rPr>
        <w:t>、招待费、公务用车维护费，认真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精神和厉行节约要求，从严控制公务用车运行维护费开支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年度公务用车购置量</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辆，发生“公务用车购置”经费支出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万元。公务用车购置费支出与年初预算持平；较上年减少</w:t>
      </w:r>
      <w:r>
        <w:rPr>
          <w:rFonts w:ascii="仿宋_GB2312" w:hAnsi="Times New Roman" w:eastAsia="仿宋_GB2312" w:cs="DengXian-Regular"/>
          <w:sz w:val="32"/>
          <w:szCs w:val="32"/>
        </w:rPr>
        <w:t>12.55</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主要是未发生“公务用车购置”经费支出。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年度单位公务用车保有量</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辆。公车运行维护费支出较预算减少</w:t>
      </w:r>
      <w:r>
        <w:rPr>
          <w:rFonts w:ascii="仿宋_GB2312" w:hAnsi="Times New Roman" w:eastAsia="仿宋_GB2312" w:cs="DengXian-Regular"/>
          <w:sz w:val="32"/>
          <w:szCs w:val="32"/>
        </w:rPr>
        <w:t>3.99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53.1%,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ascii="仿宋_GB2312" w:hAnsi="Times New Roman" w:eastAsia="仿宋_GB2312" w:cs="DengXian-Regular"/>
          <w:sz w:val="32"/>
          <w:szCs w:val="32"/>
        </w:rPr>
        <w:t>3.13</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44.0%</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精神和厉行节约要求，从严控制公务用车运行维护费开支</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因此比上年减少支出</w:t>
      </w:r>
      <w:r>
        <w:rPr>
          <w:rFonts w:ascii="仿宋_GB2312"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年度公务接待共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批次、</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人次。公务接待费支出与年初预算持平；较上年度</w:t>
      </w:r>
      <w:bookmarkStart w:id="0" w:name="_GoBack"/>
      <w:bookmarkEnd w:id="0"/>
      <w:r>
        <w:rPr>
          <w:rFonts w:hint="eastAsia" w:ascii="仿宋_GB2312" w:hAnsi="Times New Roman" w:eastAsia="仿宋_GB2312" w:cs="DengXian-Regular"/>
          <w:sz w:val="32"/>
          <w:szCs w:val="32"/>
        </w:rPr>
        <w:t>减少</w:t>
      </w:r>
      <w:r>
        <w:rPr>
          <w:rFonts w:ascii="仿宋_GB2312" w:hAnsi="Times New Roman" w:eastAsia="仿宋_GB2312" w:cs="DengXian-Regular"/>
          <w:sz w:val="32"/>
          <w:szCs w:val="32"/>
        </w:rPr>
        <w:t>0.41</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未发生公务接待费</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ascii="仿宋_GB2312" w:hAnsi="仿宋_GB2312" w:eastAsia="仿宋_GB2312" w:cs="仿宋_GB2312"/>
          <w:b/>
          <w:bCs/>
          <w:sz w:val="32"/>
          <w:szCs w:val="32"/>
        </w:rPr>
        <w:t xml:space="preserve">1. </w:t>
      </w:r>
      <w:r>
        <w:rPr>
          <w:rFonts w:hint="eastAsia" w:ascii="仿宋_GB2312" w:hAnsi="仿宋_GB2312" w:eastAsia="仿宋_GB2312" w:cs="仿宋_GB2312"/>
          <w:b/>
          <w:bCs/>
          <w:sz w:val="32"/>
          <w:szCs w:val="32"/>
        </w:rPr>
        <w:t>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年度一般公共预算项目支出全面开展绩效自评，其中，一级项目</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个，二级项目</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个，共涉及资金</w:t>
      </w:r>
      <w:r>
        <w:rPr>
          <w:rFonts w:ascii="仿宋_GB2312" w:hAnsi="仿宋_GB2312" w:eastAsia="仿宋_GB2312" w:cs="仿宋_GB2312"/>
          <w:sz w:val="32"/>
          <w:szCs w:val="32"/>
        </w:rPr>
        <w:t>165.54</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个政府性基金预算项目支出开展绩效自评，共涉及资金</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万元。组织对</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个项目开展了部门评价，涉及一般公共预算支出</w:t>
      </w:r>
      <w:r>
        <w:rPr>
          <w:rFonts w:ascii="仿宋_GB2312" w:hAnsi="仿宋_GB2312" w:eastAsia="仿宋_GB2312" w:cs="仿宋_GB2312"/>
          <w:sz w:val="32"/>
          <w:szCs w:val="32"/>
        </w:rPr>
        <w:t>165.54</w:t>
      </w:r>
      <w:r>
        <w:rPr>
          <w:rFonts w:hint="eastAsia" w:ascii="仿宋_GB2312" w:hAnsi="仿宋_GB2312" w:eastAsia="仿宋_GB2312" w:cs="仿宋_GB2312"/>
          <w:sz w:val="32"/>
          <w:szCs w:val="32"/>
        </w:rPr>
        <w:t>万元，政府性基金预算支出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万元。从评价情况来看，评价结果为良好。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ascii="仿宋_GB2312" w:hAnsi="仿宋_GB2312" w:eastAsia="仿宋_GB2312" w:cs="仿宋_GB2312"/>
          <w:b/>
          <w:bCs/>
          <w:sz w:val="32"/>
          <w:szCs w:val="32"/>
        </w:rPr>
        <w:t xml:space="preserve">2. </w:t>
      </w:r>
      <w:r>
        <w:rPr>
          <w:rFonts w:hint="eastAsia" w:ascii="仿宋_GB2312" w:hAnsi="仿宋_GB2312" w:eastAsia="仿宋_GB2312" w:cs="仿宋_GB2312"/>
          <w:b/>
          <w:bCs/>
          <w:sz w:val="32"/>
          <w:szCs w:val="32"/>
        </w:rPr>
        <w:t>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本部门在今年部门决算公开中反映特困离退休干部帮扶资金项目及</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离退休特需费项目等</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 xml:space="preserve">(1) </w:t>
      </w:r>
      <w:r>
        <w:rPr>
          <w:rFonts w:hint="eastAsia" w:ascii="仿宋_GB2312" w:hAnsi="仿宋_GB2312" w:eastAsia="仿宋_GB2312" w:cs="仿宋_GB2312"/>
          <w:sz w:val="32"/>
          <w:szCs w:val="32"/>
        </w:rPr>
        <w:t>“特困离退休干部帮扶资金”项目自评综述：根据年初设定的绩效目标，特困离退休干部帮扶资金项目绩效自评得分为</w:t>
      </w:r>
      <w:r>
        <w:rPr>
          <w:rFonts w:ascii="仿宋_GB2312" w:hAnsi="仿宋_GB2312" w:eastAsia="仿宋_GB2312" w:cs="仿宋_GB2312"/>
          <w:sz w:val="32"/>
          <w:szCs w:val="32"/>
        </w:rPr>
        <w:t>98</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。项目绩效目标完成情况：一是帮扶人数预期指标值</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人，实际完成值</w:t>
      </w:r>
      <w:r>
        <w:rPr>
          <w:rFonts w:ascii="仿宋_GB2312" w:hAnsi="仿宋_GB2312" w:eastAsia="仿宋_GB2312" w:cs="仿宋_GB2312"/>
          <w:sz w:val="32"/>
          <w:szCs w:val="32"/>
        </w:rPr>
        <w:t>18</w:t>
      </w:r>
      <w:r>
        <w:rPr>
          <w:rFonts w:hint="eastAsia" w:ascii="仿宋_GB2312" w:hAnsi="仿宋_GB2312" w:eastAsia="仿宋_GB2312" w:cs="仿宋_GB2312"/>
          <w:sz w:val="32"/>
          <w:szCs w:val="32"/>
        </w:rPr>
        <w:t>人；二是帮扶工作完成率预期指标值</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，实际完成值</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）“企业离休公用经费及老干部专项活动经费”项目自评综述：企业离休公用经费及老干部专项活动经费项目绩效自评得分为</w:t>
      </w:r>
      <w:r>
        <w:rPr>
          <w:rFonts w:ascii="仿宋_GB2312" w:hAnsi="仿宋_GB2312" w:eastAsia="仿宋_GB2312" w:cs="仿宋_GB2312"/>
          <w:sz w:val="32"/>
          <w:szCs w:val="32"/>
        </w:rPr>
        <w:t>96</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。项目绩效目标完成情况：一是慰问企业离休干部预期指标值</w:t>
      </w:r>
      <w:r>
        <w:rPr>
          <w:rFonts w:ascii="仿宋_GB2312" w:hAnsi="仿宋_GB2312" w:eastAsia="仿宋_GB2312" w:cs="仿宋_GB2312"/>
          <w:sz w:val="32"/>
          <w:szCs w:val="32"/>
        </w:rPr>
        <w:t>84</w:t>
      </w:r>
      <w:r>
        <w:rPr>
          <w:rFonts w:hint="eastAsia" w:ascii="仿宋_GB2312" w:hAnsi="仿宋_GB2312" w:eastAsia="仿宋_GB2312" w:cs="仿宋_GB2312"/>
          <w:sz w:val="32"/>
          <w:szCs w:val="32"/>
        </w:rPr>
        <w:t>人，实际完成值</w:t>
      </w:r>
      <w:r>
        <w:rPr>
          <w:rFonts w:ascii="仿宋_GB2312" w:hAnsi="仿宋_GB2312" w:eastAsia="仿宋_GB2312" w:cs="仿宋_GB2312"/>
          <w:sz w:val="32"/>
          <w:szCs w:val="32"/>
        </w:rPr>
        <w:t>79</w:t>
      </w:r>
      <w:r>
        <w:rPr>
          <w:rFonts w:hint="eastAsia" w:ascii="仿宋_GB2312" w:hAnsi="仿宋_GB2312" w:eastAsia="仿宋_GB2312" w:cs="仿宋_GB2312"/>
          <w:sz w:val="32"/>
          <w:szCs w:val="32"/>
        </w:rPr>
        <w:t>人；二是慰问工作按时完成率达到</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，实际完成值</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）“离退休干部特需经费”</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项目自评综述：根据年初设定的绩效目标，特困离退休干部帮扶资金项目绩效自评得分为</w:t>
      </w:r>
      <w:r>
        <w:rPr>
          <w:rFonts w:ascii="仿宋_GB2312" w:hAnsi="仿宋_GB2312" w:eastAsia="仿宋_GB2312" w:cs="仿宋_GB2312"/>
          <w:sz w:val="32"/>
          <w:szCs w:val="32"/>
        </w:rPr>
        <w:t>96</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150.54</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148.86</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99%</w:t>
      </w:r>
      <w:r>
        <w:rPr>
          <w:rFonts w:hint="eastAsia" w:ascii="仿宋_GB2312" w:hAnsi="仿宋_GB2312" w:eastAsia="仿宋_GB2312" w:cs="仿宋_GB2312"/>
          <w:sz w:val="32"/>
          <w:szCs w:val="32"/>
        </w:rPr>
        <w:t>。项目绩效目标完成情况：一是计划举办趣味运动会、书画展两次，实际完成值两次；二是活动覆盖率预期指标值</w:t>
      </w:r>
      <w:r>
        <w:rPr>
          <w:rFonts w:ascii="仿宋_GB2312" w:hAnsi="仿宋_GB2312" w:eastAsia="仿宋_GB2312" w:cs="仿宋_GB2312"/>
          <w:sz w:val="32"/>
          <w:szCs w:val="32"/>
        </w:rPr>
        <w:t>95%</w:t>
      </w:r>
      <w:r>
        <w:rPr>
          <w:rFonts w:hint="eastAsia" w:ascii="仿宋_GB2312" w:hAnsi="仿宋_GB2312" w:eastAsia="仿宋_GB2312" w:cs="仿宋_GB2312"/>
          <w:sz w:val="32"/>
          <w:szCs w:val="32"/>
        </w:rPr>
        <w:t>，实际完成值</w:t>
      </w:r>
      <w:r>
        <w:rPr>
          <w:rFonts w:ascii="仿宋_GB2312" w:hAnsi="仿宋_GB2312" w:eastAsia="仿宋_GB2312" w:cs="仿宋_GB2312"/>
          <w:sz w:val="32"/>
          <w:szCs w:val="32"/>
        </w:rPr>
        <w:t>96%</w:t>
      </w:r>
      <w:r>
        <w:rPr>
          <w:rFonts w:hint="eastAsia" w:ascii="仿宋_GB2312" w:hAnsi="仿宋_GB2312" w:eastAsia="仿宋_GB2312" w:cs="仿宋_GB2312"/>
          <w:sz w:val="32"/>
          <w:szCs w:val="32"/>
        </w:rPr>
        <w:t>。</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ascii="仿宋_GB2312" w:hAnsi="仿宋_GB2312" w:eastAsia="仿宋_GB2312" w:cs="仿宋_GB2312"/>
          <w:b/>
          <w:bCs/>
          <w:sz w:val="32"/>
          <w:szCs w:val="32"/>
        </w:rPr>
        <w:t xml:space="preserve">3. </w:t>
      </w: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3" w:firstLineChars="200"/>
        <w:rPr>
          <w:rFonts w:ascii="仿宋_GB2312" w:hAnsi="仿宋_GB2312" w:eastAsia="仿宋_GB2312" w:cs="仿宋_GB2312"/>
          <w:sz w:val="32"/>
          <w:szCs w:val="32"/>
        </w:rPr>
      </w:pPr>
      <w:r>
        <w:rPr>
          <w:rFonts w:ascii="仿宋_GB2312" w:hAnsi="仿宋_GB2312" w:eastAsia="仿宋_GB2312" w:cs="仿宋_GB2312"/>
          <w:b/>
          <w:bCs/>
          <w:sz w:val="32"/>
          <w:szCs w:val="32"/>
        </w:rPr>
        <w:t xml:space="preserve">  </w:t>
      </w:r>
      <w:r>
        <w:rPr>
          <w:rFonts w:hint="eastAsia" w:ascii="仿宋_GB2312" w:hAnsi="仿宋_GB2312" w:eastAsia="仿宋_GB2312" w:cs="仿宋_GB2312"/>
          <w:bCs/>
          <w:sz w:val="32"/>
          <w:szCs w:val="32"/>
        </w:rPr>
        <w:t>无绩效评价表</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年度机关运行经费支出</w:t>
      </w:r>
      <w:r>
        <w:rPr>
          <w:rFonts w:ascii="仿宋_GB2312" w:hAnsi="Times New Roman" w:eastAsia="仿宋_GB2312" w:cs="DengXian-Regular"/>
          <w:sz w:val="32"/>
          <w:szCs w:val="32"/>
        </w:rPr>
        <w:t>50.22</w:t>
      </w:r>
      <w:r>
        <w:rPr>
          <w:rFonts w:hint="eastAsia" w:ascii="仿宋_GB2312" w:hAnsi="Times New Roman" w:eastAsia="仿宋_GB2312" w:cs="DengXian-Regular"/>
          <w:sz w:val="32"/>
          <w:szCs w:val="32"/>
        </w:rPr>
        <w:t>万元，比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ascii="仿宋_GB2312" w:hAnsi="Times New Roman" w:eastAsia="仿宋_GB2312" w:cs="DengXian-Regular"/>
          <w:sz w:val="32"/>
          <w:szCs w:val="32"/>
        </w:rPr>
        <w:t>2.26</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4.3%</w:t>
      </w:r>
      <w:r>
        <w:rPr>
          <w:rFonts w:hint="eastAsia" w:ascii="仿宋_GB2312" w:hAnsi="Times New Roman" w:eastAsia="仿宋_GB2312" w:cs="DengXian-Regular"/>
          <w:sz w:val="32"/>
          <w:szCs w:val="32"/>
        </w:rPr>
        <w:t>。主要原因是公务用车运行经费减少。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年度政府采购支出总额</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月</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日，本部门共有车辆</w:t>
      </w:r>
      <w:r>
        <w:rPr>
          <w:rFonts w:ascii="仿宋_GB2312" w:hAnsi="Times New Roman" w:eastAsia="仿宋_GB2312" w:cs="DengXian-Regular"/>
          <w:sz w:val="32"/>
          <w:szCs w:val="32"/>
        </w:rPr>
        <w:t>2</w:t>
      </w:r>
      <w:r>
        <w:rPr>
          <w:rFonts w:hint="eastAsia" w:ascii="仿宋_GB2312" w:hAnsi="Times New Roman" w:eastAsia="仿宋_GB2312" w:cs="DengXian-Regular"/>
          <w:sz w:val="32"/>
          <w:szCs w:val="32"/>
        </w:rPr>
        <w:t>辆，比上年减少</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辆，主要是调出汽车</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辆。其中，副部（省）级及以上领导用车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辆，主要领导干部用车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辆，机要通信用车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辆，应急保障用车</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辆，执法执勤用车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辆，特种专业技术用车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辆，离退休干部用车</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辆，其他用车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台（套），与上年持平</w:t>
      </w: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，单位价值</w:t>
      </w:r>
      <w:r>
        <w:rPr>
          <w:rFonts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ascii="仿宋_GB2312" w:hAnsi="Times New Roman" w:eastAsia="仿宋_GB2312" w:cs="DengXian-Regular"/>
          <w:sz w:val="32"/>
          <w:szCs w:val="32"/>
        </w:rPr>
        <w:t xml:space="preserve">1. </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w:t>
      </w:r>
      <w:r>
        <w:rPr>
          <w:rFonts w:hint="eastAsia" w:ascii="仿宋_GB2312" w:eastAsia="仿宋_GB2312" w:cs="DengXian-Regular"/>
          <w:sz w:val="32"/>
          <w:szCs w:val="32"/>
        </w:rPr>
        <w:t>无政府采购收支及结转结余情况，无</w:t>
      </w:r>
      <w:r>
        <w:rPr>
          <w:rFonts w:hint="eastAsia" w:ascii="仿宋" w:hAnsi="仿宋" w:eastAsia="仿宋" w:cs="仿宋"/>
          <w:color w:val="000000"/>
          <w:kern w:val="0"/>
          <w:sz w:val="32"/>
          <w:szCs w:val="32"/>
        </w:rPr>
        <w:t>政府性基金预算财政拨款收入支出及结转和结余情况，无国有资本经营预算财政拨款支出情况</w:t>
      </w:r>
      <w:r>
        <w:rPr>
          <w:rFonts w:hint="eastAsia" w:ascii="宋体" w:hAnsi="宋体" w:cs="宋体"/>
          <w:color w:val="000000"/>
          <w:kern w:val="0"/>
          <w:sz w:val="22"/>
        </w:rPr>
        <w:t>，</w:t>
      </w:r>
      <w:r>
        <w:rPr>
          <w:rFonts w:hint="eastAsia" w:ascii="仿宋_GB2312" w:eastAsia="仿宋_GB2312" w:cs="DengXian-Regular"/>
          <w:sz w:val="32"/>
          <w:szCs w:val="32"/>
        </w:rPr>
        <w:t>故以空表列示。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 </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pict>
          <v:shape id="_x0000_s1045" o:spid="_x0000_s1045" o:spt="202" type="#_x0000_t202" style="position:absolute;left:0pt;margin-left:-80.45pt;margin-top:34.8pt;height:263.1pt;width:613.65pt;z-index:25166848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focussize="0,0"/>
            <v:stroke weight="0.5pt" color="#FFD966" joinstyle="round"/>
            <v:imagedata o:title=""/>
            <o:lock v:ext="edit"/>
            <v:textbo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v:shape>
        </w:pict>
      </w:r>
    </w:p>
    <w:p/>
    <w:p/>
    <w:p/>
    <w:p/>
    <w:p/>
    <w:p/>
    <w:p/>
    <w:p/>
    <w:p/>
    <w:p/>
    <w:p/>
    <w:p>
      <w:pPr>
        <w:tabs>
          <w:tab w:val="left" w:pos="886"/>
        </w:tabs>
        <w:jc w:val="left"/>
        <w:sectPr>
          <w:headerReference r:id="rId16"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17" w:type="default"/>
          <w:pgSz w:w="11906" w:h="16838"/>
          <w:pgMar w:top="2098" w:right="1474" w:bottom="1985" w:left="1588" w:header="851" w:footer="992" w:gutter="0"/>
          <w:pgNumType w:fmt="numberInDash"/>
          <w:cols w:space="425" w:num="1"/>
          <w:docGrid w:type="lines" w:linePitch="312" w:charSpace="0"/>
        </w:sectPr>
      </w:pPr>
      <w:r>
        <w:pict>
          <v:shape id="_x0000_s1046" o:spid="_x0000_s1046" o:spt="202" type="#_x0000_t202" style="position:absolute;left:0pt;margin-left:-82.05pt;margin-top:111.85pt;height:263.1pt;width:613.65pt;z-index:25166950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focussize="0,0"/>
            <v:stroke weight="0.5pt" color="#FFD96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2019</w:t>
                  </w:r>
                  <w:r>
                    <w:rPr>
                      <w:rFonts w:hint="eastAsia" w:ascii="黑体" w:hAnsi="黑体" w:eastAsia="黑体" w:cs="黑体"/>
                      <w:color w:val="000000"/>
                      <w:sz w:val="90"/>
                      <w:szCs w:val="90"/>
                    </w:rPr>
                    <w:t>年度部门决算报表</w:t>
                  </w:r>
                </w:p>
              </w:txbxContent>
            </v:textbox>
          </v:shape>
        </w:pict>
      </w:r>
    </w:p>
    <w:tbl>
      <w:tblPr>
        <w:tblStyle w:val="6"/>
        <w:tblpPr w:leftFromText="180" w:rightFromText="180" w:vertAnchor="text" w:horzAnchor="margin" w:tblpY="314"/>
        <w:tblOverlap w:val="never"/>
        <w:tblW w:w="9561" w:type="dxa"/>
        <w:tblInd w:w="0" w:type="dxa"/>
        <w:tblLayout w:type="fixed"/>
        <w:tblCellMar>
          <w:top w:w="0" w:type="dxa"/>
          <w:left w:w="0" w:type="dxa"/>
          <w:bottom w:w="0" w:type="dxa"/>
          <w:right w:w="0" w:type="dxa"/>
        </w:tblCellMar>
      </w:tblPr>
      <w:tblGrid>
        <w:gridCol w:w="2884"/>
        <w:gridCol w:w="731"/>
        <w:gridCol w:w="46"/>
        <w:gridCol w:w="946"/>
        <w:gridCol w:w="3252"/>
        <w:gridCol w:w="804"/>
        <w:gridCol w:w="898"/>
      </w:tblGrid>
      <w:tr>
        <w:tblPrEx>
          <w:tblCellMar>
            <w:top w:w="0" w:type="dxa"/>
            <w:left w:w="0" w:type="dxa"/>
            <w:bottom w:w="0" w:type="dxa"/>
            <w:right w:w="0" w:type="dxa"/>
          </w:tblCellMar>
        </w:tblPrEx>
        <w:trPr>
          <w:trHeight w:val="390" w:hRule="atLeast"/>
        </w:trPr>
        <w:tc>
          <w:tcPr>
            <w:tcW w:w="9561" w:type="dxa"/>
            <w:gridSpan w:val="7"/>
            <w:tcBorders>
              <w:top w:val="nil"/>
              <w:left w:val="nil"/>
              <w:bottom w:val="nil"/>
              <w:right w:val="nil"/>
            </w:tcBorders>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163" w:hRule="atLeast"/>
        </w:trPr>
        <w:tc>
          <w:tcPr>
            <w:tcW w:w="28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7"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4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954" w:type="dxa"/>
            <w:gridSpan w:val="3"/>
            <w:tcBorders>
              <w:top w:val="nil"/>
              <w:left w:val="nil"/>
              <w:bottom w:val="nil"/>
              <w:right w:val="nil"/>
            </w:tcBorders>
            <w:noWrap/>
            <w:tcMar>
              <w:top w:w="15" w:type="dxa"/>
              <w:left w:w="15" w:type="dxa"/>
              <w:right w:w="15" w:type="dxa"/>
            </w:tcMar>
            <w:vAlign w:val="bottom"/>
          </w:tcPr>
          <w:p>
            <w:pPr>
              <w:widowControl/>
              <w:ind w:left="-1" w:leftChars="-87" w:hanging="182" w:hangingChars="91"/>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01</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336" w:hRule="atLeast"/>
        </w:trPr>
        <w:tc>
          <w:tcPr>
            <w:tcW w:w="3661" w:type="dxa"/>
            <w:gridSpan w:val="3"/>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22"/>
              </w:rPr>
            </w:pPr>
            <w:r>
              <w:rPr>
                <w:rFonts w:hint="eastAsia" w:ascii="宋体" w:hAnsi="宋体" w:eastAsia="宋体" w:cs="宋体"/>
                <w:color w:val="000000"/>
                <w:kern w:val="0"/>
                <w:sz w:val="22"/>
              </w:rPr>
              <w:t>部门：中共石家庄市鹿泉区委老干部局</w:t>
            </w:r>
          </w:p>
        </w:tc>
        <w:tc>
          <w:tcPr>
            <w:tcW w:w="946"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22"/>
              </w:rPr>
            </w:pPr>
          </w:p>
        </w:tc>
        <w:tc>
          <w:tcPr>
            <w:tcW w:w="4954"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hint="eastAsia" w:ascii="宋体" w:hAnsi="宋体" w:eastAsia="宋体" w:cs="宋体"/>
                <w:color w:val="000000"/>
                <w:kern w:val="0"/>
                <w:sz w:val="22"/>
              </w:rPr>
              <w:t>金额单位：万元</w:t>
            </w:r>
          </w:p>
        </w:tc>
      </w:tr>
      <w:tr>
        <w:tblPrEx>
          <w:tblCellMar>
            <w:top w:w="0" w:type="dxa"/>
            <w:left w:w="0" w:type="dxa"/>
            <w:bottom w:w="0" w:type="dxa"/>
            <w:right w:w="0" w:type="dxa"/>
          </w:tblCellMar>
        </w:tblPrEx>
        <w:trPr>
          <w:trHeight w:val="225" w:hRule="atLeast"/>
        </w:trPr>
        <w:tc>
          <w:tcPr>
            <w:tcW w:w="4607"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954"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613"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ind w:right="220"/>
              <w:jc w:val="center"/>
              <w:textAlignment w:val="center"/>
              <w:rPr>
                <w:rFonts w:ascii="宋体" w:hAnsi="宋体" w:eastAsia="宋体" w:cs="宋体"/>
                <w:color w:val="000000"/>
                <w:sz w:val="22"/>
              </w:rPr>
            </w:pPr>
            <w:r>
              <w:rPr>
                <w:rFonts w:ascii="宋体" w:hAnsi="宋体" w:eastAsia="宋体" w:cs="宋体"/>
                <w:color w:val="000000"/>
                <w:sz w:val="22"/>
              </w:rPr>
              <w:t>724.03</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29</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30</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45"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31</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32</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ind w:left="183" w:leftChars="87"/>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33</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34</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35</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36</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718.84</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37</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16.33</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38</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39</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40</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13</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41</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14</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42</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15</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43</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44</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17</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45</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18</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46</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19</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47</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15.72</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20</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48</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21</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49</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22</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50</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23</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51</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24</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740.03</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52</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750.89</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25</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53</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26</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18.87</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54</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8.01</w:t>
            </w: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27</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55</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69" w:hRule="atLeast"/>
        </w:trPr>
        <w:tc>
          <w:tcPr>
            <w:tcW w:w="28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28</w:t>
            </w:r>
          </w:p>
        </w:tc>
        <w:tc>
          <w:tcPr>
            <w:tcW w:w="99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758.9</w:t>
            </w:r>
          </w:p>
        </w:tc>
        <w:tc>
          <w:tcPr>
            <w:tcW w:w="325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80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56</w:t>
            </w:r>
          </w:p>
        </w:tc>
        <w:tc>
          <w:tcPr>
            <w:tcW w:w="89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758.9</w:t>
            </w:r>
          </w:p>
        </w:tc>
      </w:tr>
      <w:tr>
        <w:tblPrEx>
          <w:tblCellMar>
            <w:top w:w="0" w:type="dxa"/>
            <w:left w:w="0" w:type="dxa"/>
            <w:bottom w:w="0" w:type="dxa"/>
            <w:right w:w="0" w:type="dxa"/>
          </w:tblCellMar>
        </w:tblPrEx>
        <w:trPr>
          <w:trHeight w:val="169" w:hRule="atLeast"/>
        </w:trPr>
        <w:tc>
          <w:tcPr>
            <w:tcW w:w="9561" w:type="dxa"/>
            <w:gridSpan w:val="7"/>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p>
      <w:pPr>
        <w:jc w:val="left"/>
      </w:pPr>
    </w:p>
    <w:tbl>
      <w:tblPr>
        <w:tblStyle w:val="6"/>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w:t>
            </w:r>
            <w:r>
              <w:pict>
                <v:group id="Group 83" o:spid="_x0000_s1047" o:spt="203" style="position:absolute;left:0pt;margin-left:-82.75pt;margin-top:-81.1pt;height:41.55pt;width:243.2pt;mso-position-vertical-relative:page;z-index:251672576;mso-width-relative:page;mso-height-relative:page;" coordorigin="4551,52615" coordsize="8546,1398203">
                  <o:lock v:ext="edit"/>
                  <v:rect id="矩形 13" o:spid="_x0000_s1048" o:spt="1" style="position:absolute;left:4551;top:52615;height:1175;width:8546;v-text-anchor:middle;" fillcolor="#D9D9D9" filled="t" o:preferrelative="t" stroked="f" coordsize="21600,21600">
                    <v:path/>
                    <v:fill on="t" focussize="0,0"/>
                    <v:stroke on="f"/>
                    <v:imagedata o:title=""/>
                    <o:lock v:ext="edit"/>
                  </v:rect>
                  <v:rect id="_x0000_s1049" o:spid="_x0000_s1049" o:spt="1" style="position:absolute;left:4577;top:52890;height:1123;width:8324;v-text-anchor:middle;" fillcolor="#AD002D" filled="t" o:preferrelative="t" stroked="t" coordsize="21600,21600">
                    <v:path/>
                    <v:fill on="t" focussize="0,0"/>
                    <v:stroke color="#B0761F" miterlimit="2"/>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Mincho" w:hAnsi="MS Mincho" w:eastAsia="MS Mincho" w:cs="MS Mincho"/>
                              <w:b/>
                              <w:bCs/>
                              <w:color w:val="FDEFBE"/>
                              <w:kern w:val="0"/>
                              <w:sz w:val="32"/>
                              <w:szCs w:val="32"/>
                            </w:rPr>
                            <w:t>☞</w:t>
                          </w:r>
                          <w:r>
                            <w:rPr>
                              <w:rFonts w:hint="eastAsia" w:ascii="楷体" w:hAnsi="楷体" w:eastAsia="楷体" w:cs="楷体"/>
                              <w:b/>
                              <w:bCs/>
                              <w:color w:val="FDEFBE"/>
                              <w:kern w:val="0"/>
                              <w:sz w:val="32"/>
                              <w:szCs w:val="32"/>
                            </w:rPr>
                            <w:t>决算报表</w:t>
                          </w:r>
                        </w:p>
                        <w:p>
                          <w:pPr>
                            <w:jc w:val="center"/>
                          </w:pPr>
                        </w:p>
                      </w:txbxContent>
                    </v:textbox>
                  </v:rect>
                  <w10:anchorlock/>
                </v:group>
              </w:pict>
            </w:r>
            <w:r>
              <w:rPr>
                <w:rFonts w:hint="eastAsia" w:ascii="黑体" w:hAnsi="宋体" w:eastAsia="黑体" w:cs="黑体"/>
                <w:color w:val="000000"/>
                <w:kern w:val="0"/>
                <w:sz w:val="32"/>
                <w:szCs w:val="32"/>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line="240" w:lineRule="atLeast"/>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02</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362" w:hRule="atLeast"/>
          <w:jc w:val="center"/>
        </w:trPr>
        <w:tc>
          <w:tcPr>
            <w:tcW w:w="3960" w:type="dxa"/>
            <w:gridSpan w:val="8"/>
            <w:tcBorders>
              <w:top w:val="nil"/>
              <w:left w:val="nil"/>
              <w:bottom w:val="nil"/>
              <w:right w:val="nil"/>
            </w:tcBorders>
            <w:tcMar>
              <w:top w:w="15" w:type="dxa"/>
              <w:left w:w="15" w:type="dxa"/>
              <w:right w:w="15" w:type="dxa"/>
            </w:tcMar>
            <w:vAlign w:val="center"/>
          </w:tcPr>
          <w:p>
            <w:pPr>
              <w:widowControl/>
              <w:spacing w:line="240" w:lineRule="atLeast"/>
              <w:rPr>
                <w:rFonts w:ascii="宋体" w:hAnsi="宋体" w:eastAsia="宋体" w:cs="Arial"/>
                <w:color w:val="000000"/>
                <w:sz w:val="22"/>
              </w:rPr>
            </w:pPr>
            <w:r>
              <w:rPr>
                <w:rFonts w:hint="eastAsia" w:ascii="宋体" w:hAnsi="宋体" w:eastAsia="宋体" w:cs="宋体"/>
                <w:color w:val="000000"/>
                <w:kern w:val="0"/>
                <w:sz w:val="22"/>
              </w:rPr>
              <w:t>部门：中共石家庄市鹿泉区委老干部局</w:t>
            </w:r>
          </w:p>
        </w:tc>
        <w:tc>
          <w:tcPr>
            <w:tcW w:w="816"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宋体" w:hAnsi="宋体" w:eastAsia="宋体" w:cs="Arial"/>
                <w:color w:val="000000"/>
                <w:sz w:val="22"/>
              </w:rPr>
            </w:pPr>
          </w:p>
        </w:tc>
        <w:tc>
          <w:tcPr>
            <w:tcW w:w="815"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宋体" w:hAnsi="宋体" w:eastAsia="宋体" w:cs="Arial"/>
                <w:color w:val="000000"/>
                <w:sz w:val="22"/>
              </w:rPr>
            </w:pPr>
          </w:p>
        </w:tc>
        <w:tc>
          <w:tcPr>
            <w:tcW w:w="815" w:type="dxa"/>
            <w:gridSpan w:val="2"/>
            <w:tcBorders>
              <w:top w:val="nil"/>
              <w:left w:val="nil"/>
              <w:bottom w:val="nil"/>
              <w:right w:val="nil"/>
            </w:tcBorders>
            <w:tcMar>
              <w:top w:w="15" w:type="dxa"/>
              <w:left w:w="15" w:type="dxa"/>
              <w:right w:w="15" w:type="dxa"/>
            </w:tcMar>
            <w:vAlign w:val="center"/>
          </w:tcPr>
          <w:p>
            <w:pPr>
              <w:widowControl/>
              <w:spacing w:line="240" w:lineRule="atLeast"/>
              <w:rPr>
                <w:rFonts w:ascii="宋体" w:hAnsi="宋体" w:eastAsia="宋体" w:cs="Arial"/>
                <w:color w:val="000000"/>
                <w:sz w:val="22"/>
              </w:rPr>
            </w:pPr>
          </w:p>
        </w:tc>
        <w:tc>
          <w:tcPr>
            <w:tcW w:w="2394" w:type="dxa"/>
            <w:gridSpan w:val="3"/>
            <w:tcBorders>
              <w:top w:val="nil"/>
              <w:left w:val="nil"/>
              <w:bottom w:val="nil"/>
              <w:right w:val="nil"/>
            </w:tcBorders>
            <w:tcMar>
              <w:top w:w="15" w:type="dxa"/>
              <w:left w:w="15" w:type="dxa"/>
              <w:right w:w="15" w:type="dxa"/>
            </w:tcMar>
            <w:vAlign w:val="center"/>
          </w:tcPr>
          <w:p>
            <w:pPr>
              <w:widowControl/>
              <w:spacing w:line="240" w:lineRule="atLeast"/>
              <w:jc w:val="right"/>
              <w:textAlignment w:val="center"/>
              <w:rPr>
                <w:rFonts w:ascii="宋体" w:hAnsi="宋体" w:eastAsia="宋体" w:cs="宋体"/>
                <w:color w:val="000000"/>
                <w:sz w:val="22"/>
              </w:rPr>
            </w:pPr>
            <w:r>
              <w:rPr>
                <w:rFonts w:hint="eastAsia" w:ascii="宋体" w:hAnsi="宋体" w:eastAsia="宋体" w:cs="宋体"/>
                <w:color w:val="000000"/>
                <w:kern w:val="0"/>
                <w:sz w:val="22"/>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ascii="宋体" w:hAnsi="宋体" w:eastAsia="宋体" w:cs="宋体"/>
                <w:color w:val="000000"/>
                <w:kern w:val="0"/>
                <w:sz w:val="22"/>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r>
              <w:rPr>
                <w:rFonts w:ascii="宋体" w:hAnsi="宋体" w:eastAsia="宋体" w:cs="宋体"/>
                <w:b/>
                <w:color w:val="000000"/>
                <w:sz w:val="22"/>
              </w:rPr>
              <w:t>740.03</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r>
              <w:rPr>
                <w:rFonts w:ascii="宋体" w:hAnsi="宋体" w:eastAsia="宋体" w:cs="宋体"/>
                <w:b/>
                <w:color w:val="000000"/>
                <w:sz w:val="22"/>
              </w:rPr>
              <w:t>724.03</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r>
              <w:rPr>
                <w:rFonts w:ascii="宋体" w:hAnsi="宋体" w:eastAsia="宋体" w:cs="宋体"/>
                <w:b/>
                <w:color w:val="000000"/>
                <w:sz w:val="22"/>
              </w:rPr>
              <w:t>16</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705.09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689.09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16</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20805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705.59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689.09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16</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2080503</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离退休人员管理机构</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672.42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656.42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16</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2080505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32.67</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32.67</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医疗卫生与计划生育支出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19.35</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19.35</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21011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19.35</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19.35</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2101101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19.35</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19.35</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221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15.59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15.59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22102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15.59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15.59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ascii="宋体" w:hAnsi="宋体" w:eastAsia="宋体" w:cs="宋体"/>
                <w:color w:val="000000"/>
                <w:sz w:val="22"/>
              </w:rPr>
              <w:t>2210201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left"/>
              <w:rPr>
                <w:rFonts w:ascii="宋体" w:hAnsi="宋体" w:eastAsia="宋体" w:cs="宋体"/>
                <w:color w:val="000000"/>
                <w:sz w:val="22"/>
              </w:rPr>
            </w:pPr>
            <w:r>
              <w:rPr>
                <w:rFonts w:hint="eastAsia" w:ascii="宋体" w:hAnsi="宋体" w:eastAsia="宋体" w:cs="宋体"/>
                <w:color w:val="000000"/>
                <w:sz w:val="22"/>
              </w:rPr>
              <w:t>住房公积金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15.59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ascii="宋体" w:hAnsi="宋体" w:eastAsia="宋体" w:cs="宋体"/>
                <w:color w:val="000000"/>
                <w:sz w:val="22"/>
              </w:rPr>
              <w:t>15.59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line="240" w:lineRule="atLeast"/>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宋体" w:hAnsi="宋体" w:eastAsia="宋体" w:cs="黑体"/>
                <w:b/>
                <w:color w:val="000000"/>
                <w:sz w:val="32"/>
                <w:szCs w:val="32"/>
              </w:rPr>
            </w:pPr>
            <w:r>
              <w:rPr>
                <w:rFonts w:hint="eastAsia" w:ascii="宋体" w:hAnsi="宋体" w:eastAsia="宋体" w:cs="黑体"/>
                <w:b/>
                <w:color w:val="000000"/>
                <w:kern w:val="0"/>
                <w:sz w:val="32"/>
                <w:szCs w:val="32"/>
                <w:shd w:val="pct10" w:color="auto" w:fill="FFFFFF"/>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53"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1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359"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18"/>
                <w:szCs w:val="18"/>
              </w:rPr>
            </w:pPr>
          </w:p>
        </w:tc>
        <w:tc>
          <w:tcPr>
            <w:tcW w:w="1411"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03</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313" w:hRule="atLeast"/>
          <w:jc w:val="center"/>
        </w:trPr>
        <w:tc>
          <w:tcPr>
            <w:tcW w:w="4786" w:type="dxa"/>
            <w:gridSpan w:val="6"/>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22"/>
              </w:rPr>
            </w:pPr>
            <w:r>
              <w:rPr>
                <w:rFonts w:hint="eastAsia" w:ascii="宋体" w:hAnsi="宋体" w:eastAsia="宋体" w:cs="宋体"/>
                <w:color w:val="000000"/>
                <w:kern w:val="0"/>
                <w:sz w:val="22"/>
              </w:rPr>
              <w:t>部门：中共石家庄市鹿泉区委老干部局</w:t>
            </w: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22"/>
              </w:rPr>
            </w:pPr>
          </w:p>
        </w:tc>
        <w:tc>
          <w:tcPr>
            <w:tcW w:w="1161" w:type="dxa"/>
            <w:tcBorders>
              <w:top w:val="nil"/>
              <w:left w:val="nil"/>
              <w:bottom w:val="nil"/>
              <w:right w:val="nil"/>
            </w:tcBorders>
            <w:noWrap/>
            <w:tcMar>
              <w:top w:w="15" w:type="dxa"/>
              <w:left w:w="15" w:type="dxa"/>
              <w:right w:w="15" w:type="dxa"/>
            </w:tcMar>
            <w:vAlign w:val="bottom"/>
          </w:tcPr>
          <w:p>
            <w:pPr>
              <w:rPr>
                <w:rFonts w:ascii="宋体" w:hAnsi="宋体" w:eastAsia="宋体" w:cs="Arial"/>
                <w:color w:val="000000"/>
                <w:sz w:val="22"/>
              </w:rPr>
            </w:pPr>
          </w:p>
        </w:tc>
        <w:tc>
          <w:tcPr>
            <w:tcW w:w="2572"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2"/>
              </w:rPr>
            </w:pPr>
            <w:r>
              <w:rPr>
                <w:rFonts w:hint="eastAsia" w:ascii="宋体" w:hAnsi="宋体" w:eastAsia="宋体" w:cs="宋体"/>
                <w:color w:val="000000"/>
                <w:kern w:val="0"/>
                <w:sz w:val="22"/>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r>
              <w:rPr>
                <w:rFonts w:ascii="宋体" w:hAnsi="宋体" w:eastAsia="宋体" w:cs="宋体"/>
                <w:b/>
                <w:color w:val="000000"/>
                <w:sz w:val="22"/>
              </w:rPr>
              <w:t>750.89</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r>
              <w:rPr>
                <w:rFonts w:ascii="宋体" w:hAnsi="宋体" w:eastAsia="宋体" w:cs="宋体"/>
                <w:b/>
                <w:color w:val="000000"/>
                <w:sz w:val="22"/>
              </w:rPr>
              <w:t>587.03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r>
              <w:rPr>
                <w:rFonts w:ascii="宋体" w:hAnsi="宋体" w:eastAsia="宋体" w:cs="宋体"/>
                <w:b/>
                <w:color w:val="000000"/>
                <w:sz w:val="22"/>
              </w:rPr>
              <w:t>163.86</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社会保障和就业支出</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718.84</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554.97</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163.86</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20805</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行政事业单位离退休</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718.84</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554.97</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163.86</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2080503</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离退休人员管理机构</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681.71</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517.85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163.86</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2080505</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机关事业单位基本养老保险缴费支出</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37.12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37.12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210</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卫生健康支出</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21011</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行政事业单位医疗</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2101101</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行政单位医疗</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221</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住房保障支出</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22102</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住房改革支出</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2210201</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住房公积金</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515"/>
        <w:gridCol w:w="720"/>
        <w:gridCol w:w="720"/>
        <w:gridCol w:w="767"/>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51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76"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04</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90" w:hRule="atLeast"/>
          <w:jc w:val="center"/>
        </w:trPr>
        <w:tc>
          <w:tcPr>
            <w:tcW w:w="4009"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部门：中共石家庄市鹿泉区委老干部局</w:t>
            </w:r>
          </w:p>
        </w:tc>
        <w:tc>
          <w:tcPr>
            <w:tcW w:w="251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76"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w:t>
            </w:r>
            <w:r>
              <w:rPr>
                <w:rFonts w:ascii="宋体" w:hAnsi="宋体" w:eastAsia="宋体" w:cs="宋体"/>
                <w:color w:val="000000"/>
                <w:kern w:val="0"/>
                <w:sz w:val="22"/>
              </w:rPr>
              <w:t xml:space="preserve">     </w:t>
            </w:r>
            <w:r>
              <w:rPr>
                <w:rFonts w:hint="eastAsia" w:ascii="宋体" w:hAnsi="宋体" w:eastAsia="宋体" w:cs="宋体"/>
                <w:color w:val="000000"/>
                <w:kern w:val="0"/>
                <w:sz w:val="22"/>
              </w:rPr>
              <w:t>入</w:t>
            </w:r>
          </w:p>
        </w:tc>
        <w:tc>
          <w:tcPr>
            <w:tcW w:w="5511" w:type="dxa"/>
            <w:gridSpan w:val="5"/>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w:t>
            </w:r>
            <w:r>
              <w:rPr>
                <w:rFonts w:ascii="宋体" w:hAnsi="宋体" w:eastAsia="宋体" w:cs="宋体"/>
                <w:color w:val="000000"/>
                <w:kern w:val="0"/>
                <w:sz w:val="22"/>
              </w:rPr>
              <w:t xml:space="preserve">     </w:t>
            </w:r>
            <w:r>
              <w:rPr>
                <w:rFonts w:hint="eastAsia" w:ascii="宋体" w:hAnsi="宋体" w:eastAsia="宋体" w:cs="宋体"/>
                <w:color w:val="000000"/>
                <w:kern w:val="0"/>
                <w:sz w:val="22"/>
              </w:rPr>
              <w:t>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51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2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6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51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2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2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6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r>
              <w:rPr>
                <w:rFonts w:ascii="宋体" w:hAnsi="宋体" w:eastAsia="宋体" w:cs="宋体"/>
                <w:color w:val="000000"/>
                <w:sz w:val="20"/>
                <w:szCs w:val="20"/>
              </w:rPr>
              <w:t>724.03</w:t>
            </w: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一、一般公共服务支出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30</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二、外交支出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31</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三、国防支出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32</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四、公共安全支出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33</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五、教育支出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34</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六、科学技术支出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35</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七、文化旅游体育与传媒支出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36</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八、社会保障和就业支出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37</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702.84</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702.84</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九、卫生健康支出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38</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16.33</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16.33</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十、节能环保支出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39</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十一、城乡社区支出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40</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十二、农林水支出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41</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十三、交通运输支出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42</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十四、资源勘探信息等支出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43</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十五、商业服务业等支出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44</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十六、金融支出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45</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十七、援助其他地区支出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46</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十八、自然资源海洋气象等支出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47</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十九、住房保障支出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48</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15.72</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15.72</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二十、粮油物资储备支出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49</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二十一、灾害防治及应急管理支出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50</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二十二、其他支出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51</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二十四、债务付息支出</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52</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r>
              <w:rPr>
                <w:rFonts w:ascii="宋体" w:hAnsi="宋体" w:eastAsia="宋体" w:cs="宋体"/>
                <w:color w:val="000000"/>
                <w:sz w:val="20"/>
                <w:szCs w:val="20"/>
              </w:rPr>
              <w:t>724.03</w:t>
            </w: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15"/>
                <w:szCs w:val="15"/>
              </w:rPr>
            </w:pPr>
            <w:r>
              <w:rPr>
                <w:rFonts w:hint="eastAsia" w:ascii="宋体" w:hAnsi="宋体" w:eastAsia="宋体" w:cs="宋体"/>
                <w:b/>
                <w:color w:val="000000"/>
                <w:kern w:val="0"/>
                <w:sz w:val="15"/>
                <w:szCs w:val="15"/>
              </w:rPr>
              <w:t>本年支出合计</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53</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734.89</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734.89</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r>
              <w:rPr>
                <w:rFonts w:ascii="宋体" w:hAnsi="宋体" w:eastAsia="宋体" w:cs="宋体"/>
                <w:color w:val="000000"/>
                <w:sz w:val="20"/>
                <w:szCs w:val="20"/>
              </w:rPr>
              <w:t>18.87</w:t>
            </w: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rPr>
              <w:t>年末财政拨款结转和结余</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54</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8.01</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8.01</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r>
              <w:rPr>
                <w:rFonts w:ascii="宋体" w:hAnsi="宋体" w:eastAsia="宋体" w:cs="宋体"/>
                <w:color w:val="000000"/>
                <w:sz w:val="20"/>
                <w:szCs w:val="20"/>
              </w:rPr>
              <w:t>18.87</w:t>
            </w: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5"/>
                <w:szCs w:val="15"/>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55</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5"/>
                <w:szCs w:val="15"/>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56</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5"/>
                <w:szCs w:val="15"/>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57</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0"/>
                <w:szCs w:val="20"/>
              </w:rPr>
            </w:pPr>
            <w:r>
              <w:rPr>
                <w:rFonts w:ascii="宋体" w:hAnsi="宋体" w:eastAsia="宋体" w:cs="宋体"/>
                <w:color w:val="000000"/>
                <w:sz w:val="20"/>
                <w:szCs w:val="20"/>
              </w:rPr>
              <w:t>742.9</w:t>
            </w:r>
          </w:p>
        </w:tc>
        <w:tc>
          <w:tcPr>
            <w:tcW w:w="25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15"/>
                <w:szCs w:val="15"/>
              </w:rPr>
            </w:pPr>
            <w:r>
              <w:rPr>
                <w:rFonts w:hint="eastAsia" w:ascii="宋体" w:hAnsi="宋体" w:eastAsia="宋体" w:cs="宋体"/>
                <w:b/>
                <w:color w:val="000000"/>
                <w:kern w:val="0"/>
                <w:sz w:val="15"/>
                <w:szCs w:val="15"/>
              </w:rPr>
              <w:t>总计</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58</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742.9</w:t>
            </w:r>
          </w:p>
        </w:tc>
        <w:tc>
          <w:tcPr>
            <w:tcW w:w="767"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0"/>
                <w:szCs w:val="20"/>
              </w:rPr>
            </w:pPr>
            <w:r>
              <w:rPr>
                <w:rFonts w:ascii="宋体" w:hAnsi="宋体" w:eastAsia="宋体" w:cs="宋体"/>
                <w:color w:val="000000"/>
                <w:sz w:val="20"/>
                <w:szCs w:val="20"/>
              </w:rPr>
              <w:t>742.9</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11084" w:type="dxa"/>
        <w:jc w:val="center"/>
        <w:tblLayout w:type="autofit"/>
        <w:tblCellMar>
          <w:top w:w="0" w:type="dxa"/>
          <w:left w:w="0" w:type="dxa"/>
          <w:bottom w:w="0" w:type="dxa"/>
          <w:right w:w="0" w:type="dxa"/>
        </w:tblCellMar>
      </w:tblPr>
      <w:tblGrid>
        <w:gridCol w:w="1726"/>
        <w:gridCol w:w="1776"/>
        <w:gridCol w:w="72"/>
        <w:gridCol w:w="2112"/>
        <w:gridCol w:w="1980"/>
        <w:gridCol w:w="1800"/>
        <w:gridCol w:w="1618"/>
      </w:tblGrid>
      <w:tr>
        <w:tblPrEx>
          <w:tblCellMar>
            <w:top w:w="0" w:type="dxa"/>
            <w:left w:w="0" w:type="dxa"/>
            <w:bottom w:w="0" w:type="dxa"/>
            <w:right w:w="0" w:type="dxa"/>
          </w:tblCellMar>
        </w:tblPrEx>
        <w:trPr>
          <w:trHeight w:val="600" w:hRule="atLeast"/>
          <w:jc w:val="center"/>
        </w:trPr>
        <w:tc>
          <w:tcPr>
            <w:tcW w:w="11084"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72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77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1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8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418"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05</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686"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部门：中共石家庄市鹿泉区委老干部局</w:t>
            </w:r>
          </w:p>
        </w:tc>
        <w:tc>
          <w:tcPr>
            <w:tcW w:w="198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418"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686"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398"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72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960" w:type="dxa"/>
            <w:gridSpan w:val="3"/>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98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0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61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72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960" w:type="dxa"/>
            <w:gridSpan w:val="3"/>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98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0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1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72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960" w:type="dxa"/>
            <w:gridSpan w:val="3"/>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98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0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1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568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68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r>
              <w:rPr>
                <w:rFonts w:ascii="宋体" w:hAnsi="宋体" w:eastAsia="宋体" w:cs="宋体"/>
                <w:b/>
                <w:color w:val="000000"/>
                <w:sz w:val="22"/>
              </w:rPr>
              <w:t>734.89</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r>
              <w:rPr>
                <w:rFonts w:ascii="宋体" w:hAnsi="宋体" w:eastAsia="宋体" w:cs="宋体"/>
                <w:b/>
                <w:color w:val="000000"/>
                <w:sz w:val="22"/>
              </w:rPr>
              <w:t>587.03</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r>
              <w:rPr>
                <w:rFonts w:ascii="宋体" w:hAnsi="宋体" w:eastAsia="宋体" w:cs="宋体"/>
                <w:b/>
                <w:color w:val="000000"/>
                <w:sz w:val="22"/>
              </w:rPr>
              <w:t>147.86</w:t>
            </w: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社会保障和就业支出</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702.84</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554.97</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147.86</w:t>
            </w: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20805</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行政事业单位离退休</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702.84</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554.97</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147.86</w:t>
            </w: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2080503</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离退休人员管理机构</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665.71</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517.85</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147.86</w:t>
            </w: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2080505</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机关事业单位基本养老保险缴费支出</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37.12</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37.12</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210</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卫生健康支出</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21011</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行政事业单位医疗</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2101101</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行政单位医疗</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16.33</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221</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住房保障支出</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22102</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hint="eastAsia" w:ascii="宋体" w:hAnsi="宋体" w:eastAsia="宋体" w:cs="Arial"/>
                <w:color w:val="000000"/>
                <w:sz w:val="22"/>
              </w:rPr>
              <w:t>住房改革支出</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2210201</w:t>
            </w:r>
          </w:p>
        </w:tc>
        <w:tc>
          <w:tcPr>
            <w:tcW w:w="3960" w:type="dxa"/>
            <w:gridSpan w:val="3"/>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hAnsi="宋体" w:eastAsia="宋体" w:cs="Arial"/>
                <w:color w:val="000000"/>
                <w:sz w:val="22"/>
              </w:rPr>
            </w:pPr>
            <w:r>
              <w:rPr>
                <w:rFonts w:ascii="宋体" w:hAnsi="宋体" w:eastAsia="宋体" w:cs="Arial"/>
                <w:color w:val="000000"/>
                <w:sz w:val="22"/>
              </w:rPr>
              <w:t xml:space="preserve">  </w:t>
            </w:r>
            <w:r>
              <w:rPr>
                <w:rFonts w:hint="eastAsia" w:ascii="宋体" w:hAnsi="宋体" w:eastAsia="宋体" w:cs="Arial"/>
                <w:color w:val="000000"/>
                <w:sz w:val="22"/>
              </w:rPr>
              <w:t>住房公积金</w:t>
            </w:r>
          </w:p>
        </w:tc>
        <w:tc>
          <w:tcPr>
            <w:tcW w:w="198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80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r>
              <w:rPr>
                <w:rFonts w:ascii="宋体" w:hAnsi="宋体" w:eastAsia="宋体" w:cs="宋体"/>
                <w:color w:val="000000"/>
                <w:sz w:val="22"/>
              </w:rPr>
              <w:t>15.72</w:t>
            </w:r>
          </w:p>
        </w:tc>
        <w:tc>
          <w:tcPr>
            <w:tcW w:w="161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w:t>
            </w:r>
            <w:r>
              <w:rPr>
                <w:rFonts w:ascii="宋体" w:hAnsi="宋体" w:eastAsia="宋体" w:cs="宋体"/>
                <w:color w:val="000000"/>
                <w:kern w:val="0"/>
                <w:sz w:val="18"/>
                <w:szCs w:val="18"/>
              </w:rPr>
              <w:t>06</w:t>
            </w:r>
            <w:r>
              <w:rPr>
                <w:rFonts w:hint="eastAsia" w:ascii="宋体" w:hAnsi="宋体" w:eastAsia="宋体" w:cs="宋体"/>
                <w:color w:val="000000"/>
                <w:kern w:val="0"/>
                <w:sz w:val="18"/>
                <w:szCs w:val="18"/>
              </w:rPr>
              <w:t>表</w:t>
            </w:r>
          </w:p>
        </w:tc>
      </w:tr>
      <w:tr>
        <w:tblPrEx>
          <w:tblCellMar>
            <w:top w:w="0" w:type="dxa"/>
            <w:left w:w="0" w:type="dxa"/>
            <w:bottom w:w="0" w:type="dxa"/>
            <w:right w:w="0" w:type="dxa"/>
          </w:tblCellMar>
        </w:tblPrEx>
        <w:trPr>
          <w:trHeight w:val="339" w:hRule="atLeast"/>
          <w:jc w:val="center"/>
        </w:trPr>
        <w:tc>
          <w:tcPr>
            <w:tcW w:w="4266"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部门：中国石家庄市鹿泉区委老干部局</w:t>
            </w: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337.57</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38.17</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基本工资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82.54</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办公费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2.93</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国内债务付息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津贴补贴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62.21</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印刷费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国外债务付息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奖金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117.75</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咨询费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0.6</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r>
              <w:rPr>
                <w:rFonts w:ascii="宋体" w:hAnsi="宋体" w:eastAsia="宋体" w:cs="宋体"/>
                <w:color w:val="000000"/>
                <w:sz w:val="20"/>
                <w:szCs w:val="20"/>
              </w:rPr>
              <w:t>12.05</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伙食补助费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手续费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绩效工资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4.63</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水费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办公设备购置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r>
              <w:rPr>
                <w:rFonts w:ascii="宋体" w:hAnsi="宋体" w:eastAsia="宋体" w:cs="宋体"/>
                <w:color w:val="000000"/>
                <w:sz w:val="20"/>
                <w:szCs w:val="20"/>
              </w:rPr>
              <w:t>4.1</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机关事业单位基本养老保险缴费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37.12</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电费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专用设备购置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r>
              <w:rPr>
                <w:rFonts w:ascii="宋体" w:hAnsi="宋体" w:eastAsia="宋体" w:cs="宋体"/>
                <w:color w:val="000000"/>
                <w:sz w:val="20"/>
                <w:szCs w:val="20"/>
              </w:rPr>
              <w:t>5.18</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职业年金缴费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邮电费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10.6</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基础设施建设</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职工基本医疗保险缴费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16.33</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取暖费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8.4</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大型修缮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公务员医疗补助缴费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物业管理费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其他社会保障缴费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0.63</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差旅费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0.29</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物资储备</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住房公积金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16.35</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因公出国（境）费用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土地补偿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医疗费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维修（护）费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安置补助</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租赁费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199.24</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会议费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拆迁补偿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离休费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112.15</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培训费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公务用车购置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退休费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4.57</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公务接待费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退职（役）费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专用材料费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抚恤金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72.97</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被装购置费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无形资产购置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生活补助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9.55</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专用燃料费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r>
              <w:rPr>
                <w:rFonts w:ascii="宋体" w:hAnsi="宋体" w:eastAsia="宋体" w:cs="宋体"/>
                <w:color w:val="000000"/>
                <w:sz w:val="20"/>
                <w:szCs w:val="20"/>
              </w:rPr>
              <w:t>2.78</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救济费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劳务费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医疗费补助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委托业务费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赠与</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助学金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工会经费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1.52</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奖励金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福利费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3.15</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个人农业生产补贴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公务用车运行维护费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3.99</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其他交通费用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6.68</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税金及附加费用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其他商品和服务支出</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ascii="宋体" w:hAnsi="宋体" w:eastAsia="宋体" w:cs="宋体"/>
                <w:color w:val="000000"/>
                <w:sz w:val="20"/>
                <w:szCs w:val="20"/>
              </w:rPr>
              <w:t>536.81</w:t>
            </w:r>
          </w:p>
        </w:tc>
        <w:tc>
          <w:tcPr>
            <w:tcW w:w="5657"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center"/>
              <w:rPr>
                <w:rFonts w:ascii="宋体" w:hAnsi="宋体" w:eastAsia="宋体" w:cs="宋体"/>
                <w:color w:val="000000"/>
                <w:sz w:val="20"/>
                <w:szCs w:val="20"/>
              </w:rPr>
            </w:pPr>
            <w:r>
              <w:rPr>
                <w:rFonts w:ascii="宋体" w:hAnsi="宋体" w:eastAsia="宋体" w:cs="宋体"/>
                <w:color w:val="000000"/>
                <w:sz w:val="20"/>
                <w:szCs w:val="20"/>
              </w:rPr>
              <w:t>50.22</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07</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0" w:type="auto"/>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部门：中共石家庄市鹿泉区委老干部局</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8.51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8.1</w:t>
            </w:r>
          </w:p>
        </w:tc>
        <w:tc>
          <w:tcPr>
            <w:tcW w:w="0" w:type="auto"/>
            <w:tcBorders>
              <w:top w:val="nil"/>
              <w:left w:val="nil"/>
              <w:bottom w:val="single" w:color="000000" w:sz="4" w:space="0"/>
              <w:right w:val="single" w:color="auto"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0.41</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3.99</w:t>
            </w: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3.99</w:t>
            </w: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3.99</w:t>
            </w:r>
          </w:p>
        </w:tc>
        <w:tc>
          <w:tcPr>
            <w:tcW w:w="0" w:type="auto"/>
            <w:tcBorders>
              <w:top w:val="nil"/>
              <w:left w:val="nil"/>
              <w:bottom w:val="single" w:color="auto" w:sz="4" w:space="0"/>
              <w:right w:val="single" w:color="auto"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hAnsi="仿宋_GB2312" w:eastAsia="仿宋_GB2312" w:cs="仿宋_GB2312"/>
        </w:rPr>
        <w:tab/>
      </w:r>
      <w:r>
        <w:tab/>
      </w:r>
      <w:r>
        <w:tab/>
      </w:r>
      <w:r>
        <w:tab/>
      </w:r>
      <w:r>
        <w:tab/>
      </w:r>
      <w:r>
        <w:tab/>
      </w:r>
      <w:r>
        <w:tab/>
      </w:r>
      <w:r>
        <w:tab/>
      </w:r>
      <w:r>
        <w:tab/>
      </w:r>
      <w:r>
        <w:tab/>
      </w:r>
      <w:r>
        <w:tab/>
      </w:r>
      <w:r>
        <w:br w:type="page"/>
      </w:r>
    </w:p>
    <w:tbl>
      <w:tblPr>
        <w:tblStyle w:val="6"/>
        <w:tblW w:w="9512" w:type="dxa"/>
        <w:jc w:val="center"/>
        <w:tblLayout w:type="autofit"/>
        <w:tblCellMar>
          <w:top w:w="0" w:type="dxa"/>
          <w:left w:w="0" w:type="dxa"/>
          <w:bottom w:w="0" w:type="dxa"/>
          <w:right w:w="0" w:type="dxa"/>
        </w:tblCellMar>
      </w:tblPr>
      <w:tblGrid>
        <w:gridCol w:w="53"/>
        <w:gridCol w:w="301"/>
        <w:gridCol w:w="685"/>
        <w:gridCol w:w="1874"/>
        <w:gridCol w:w="1099"/>
        <w:gridCol w:w="1099"/>
        <w:gridCol w:w="1099"/>
        <w:gridCol w:w="1099"/>
        <w:gridCol w:w="1099"/>
        <w:gridCol w:w="1104"/>
      </w:tblGrid>
      <w:tr>
        <w:tblPrEx>
          <w:tblCellMar>
            <w:top w:w="0" w:type="dxa"/>
            <w:left w:w="0" w:type="dxa"/>
            <w:bottom w:w="0" w:type="dxa"/>
            <w:right w:w="0" w:type="dxa"/>
          </w:tblCellMar>
        </w:tblPrEx>
        <w:trPr>
          <w:trHeight w:val="780" w:hRule="atLeast"/>
          <w:jc w:val="center"/>
        </w:trPr>
        <w:tc>
          <w:tcPr>
            <w:tcW w:w="9512"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6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27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08</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gridSpan w:val="6"/>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部门：中共石家庄市鹿泉区委老干部局</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24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24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73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25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760"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275"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2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4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24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25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76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75"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5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76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75"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5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76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27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Cs w:val="21"/>
        </w:rPr>
        <w:t>注：本部门本年度无相关政府性基金预算财政拨款收入、支出及结转和结余情况，按要求空表列示。</w:t>
      </w:r>
      <w:r>
        <w:rPr>
          <w:rFonts w:ascii="宋体" w:hAnsi="宋体" w:cs="宋体"/>
          <w:color w:val="000000"/>
          <w:kern w:val="0"/>
          <w:szCs w:val="21"/>
        </w:rPr>
        <w:t xml:space="preserve">         </w:t>
      </w:r>
      <w:r>
        <w:br w:type="page"/>
      </w:r>
    </w:p>
    <w:tbl>
      <w:tblPr>
        <w:tblStyle w:val="6"/>
        <w:tblW w:w="9915" w:type="dxa"/>
        <w:jc w:val="center"/>
        <w:tblLayout w:type="autofit"/>
        <w:tblCellMar>
          <w:top w:w="0" w:type="dxa"/>
          <w:left w:w="0" w:type="dxa"/>
          <w:bottom w:w="0" w:type="dxa"/>
          <w:right w:w="0" w:type="dxa"/>
        </w:tblCellMar>
      </w:tblPr>
      <w:tblGrid>
        <w:gridCol w:w="918"/>
        <w:gridCol w:w="52"/>
        <w:gridCol w:w="52"/>
        <w:gridCol w:w="5556"/>
        <w:gridCol w:w="685"/>
        <w:gridCol w:w="1326"/>
        <w:gridCol w:w="1326"/>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09</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中共石家庄市鹿泉区委老干部局</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23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9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9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9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9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9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 w:val="22"/>
        </w:rPr>
        <w:t>注：本部门本年度无国有资本经营预算财政拨款支出情况，</w:t>
      </w:r>
      <w:r>
        <w:rPr>
          <w:rFonts w:hint="eastAsia" w:ascii="宋体" w:hAnsi="宋体" w:cs="宋体"/>
          <w:color w:val="000000"/>
          <w:kern w:val="0"/>
          <w:szCs w:val="21"/>
        </w:rPr>
        <w:t>按要求空表列示。</w:t>
      </w:r>
      <w:r>
        <w:rPr>
          <w:rFonts w:ascii="宋体" w:hAnsi="宋体" w:cs="宋体"/>
          <w:color w:val="000000"/>
          <w:kern w:val="0"/>
          <w:szCs w:val="21"/>
        </w:rPr>
        <w:t xml:space="preserve"> </w:t>
      </w:r>
      <w:r>
        <w:br w:type="page"/>
      </w:r>
    </w:p>
    <w:p>
      <w:r>
        <w:pict>
          <v:rect id="_x0000_s1050" o:spid="_x0000_s1050" o:spt="1" style="position:absolute;left:0pt;margin-left:-70.5pt;margin-top:-85.25pt;height:841.15pt;width:595.1pt;z-index:25167052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modern"/>
    <w:pitch w:val="default"/>
    <w:sig w:usb0="800002BF" w:usb1="38CF7CFA" w:usb2="00000016" w:usb3="00000000" w:csb0="00040001" w:csb1="00000000"/>
  </w:font>
  <w:font w:name="MS Mincho">
    <w:altName w:val="Yu Gothic UI"/>
    <w:panose1 w:val="02020609040205080304"/>
    <w:charset w:val="80"/>
    <w:family w:val="modern"/>
    <w:pitch w:val="default"/>
    <w:sig w:usb0="00000000" w:usb1="00000000" w:usb2="00000012" w:usb3="00000000" w:csb0="0002009F"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6AAF1C96"/>
    <w:rsid w:val="00021FB6"/>
    <w:rsid w:val="00055D56"/>
    <w:rsid w:val="00062A02"/>
    <w:rsid w:val="0007063E"/>
    <w:rsid w:val="00073392"/>
    <w:rsid w:val="00073F4E"/>
    <w:rsid w:val="00082A74"/>
    <w:rsid w:val="00086C89"/>
    <w:rsid w:val="000A39FB"/>
    <w:rsid w:val="000C49EE"/>
    <w:rsid w:val="000E3EA6"/>
    <w:rsid w:val="00117746"/>
    <w:rsid w:val="00143D8D"/>
    <w:rsid w:val="00163F95"/>
    <w:rsid w:val="0017098E"/>
    <w:rsid w:val="00180A9A"/>
    <w:rsid w:val="00182216"/>
    <w:rsid w:val="001829C0"/>
    <w:rsid w:val="00184809"/>
    <w:rsid w:val="001854A8"/>
    <w:rsid w:val="00192112"/>
    <w:rsid w:val="001B0127"/>
    <w:rsid w:val="001C12D5"/>
    <w:rsid w:val="001C69F7"/>
    <w:rsid w:val="001D6F97"/>
    <w:rsid w:val="001D79D7"/>
    <w:rsid w:val="001F495B"/>
    <w:rsid w:val="00221121"/>
    <w:rsid w:val="002211A9"/>
    <w:rsid w:val="002650EC"/>
    <w:rsid w:val="00284835"/>
    <w:rsid w:val="00287B52"/>
    <w:rsid w:val="00287CC5"/>
    <w:rsid w:val="00295A39"/>
    <w:rsid w:val="002A6C46"/>
    <w:rsid w:val="002C19B5"/>
    <w:rsid w:val="002E7FF2"/>
    <w:rsid w:val="003004EC"/>
    <w:rsid w:val="00301224"/>
    <w:rsid w:val="00316272"/>
    <w:rsid w:val="003521E2"/>
    <w:rsid w:val="00355B55"/>
    <w:rsid w:val="00363719"/>
    <w:rsid w:val="0038160E"/>
    <w:rsid w:val="00394C79"/>
    <w:rsid w:val="003A4EE8"/>
    <w:rsid w:val="003A6773"/>
    <w:rsid w:val="003B3994"/>
    <w:rsid w:val="003D5F31"/>
    <w:rsid w:val="00404FB0"/>
    <w:rsid w:val="00422390"/>
    <w:rsid w:val="004265B2"/>
    <w:rsid w:val="00442CC2"/>
    <w:rsid w:val="00446244"/>
    <w:rsid w:val="00453800"/>
    <w:rsid w:val="004718A1"/>
    <w:rsid w:val="00473C20"/>
    <w:rsid w:val="004A397E"/>
    <w:rsid w:val="004C5BD6"/>
    <w:rsid w:val="004D61CB"/>
    <w:rsid w:val="004E201A"/>
    <w:rsid w:val="004F4A98"/>
    <w:rsid w:val="005011D6"/>
    <w:rsid w:val="00503F2E"/>
    <w:rsid w:val="0052088A"/>
    <w:rsid w:val="00552226"/>
    <w:rsid w:val="0055750B"/>
    <w:rsid w:val="00566120"/>
    <w:rsid w:val="005716AF"/>
    <w:rsid w:val="00580E5A"/>
    <w:rsid w:val="00582E6D"/>
    <w:rsid w:val="005954D5"/>
    <w:rsid w:val="005A067C"/>
    <w:rsid w:val="005A53FA"/>
    <w:rsid w:val="005D1293"/>
    <w:rsid w:val="006208C9"/>
    <w:rsid w:val="00637D8A"/>
    <w:rsid w:val="00644D5F"/>
    <w:rsid w:val="00646B62"/>
    <w:rsid w:val="00657F86"/>
    <w:rsid w:val="00667A43"/>
    <w:rsid w:val="006727AD"/>
    <w:rsid w:val="0067590D"/>
    <w:rsid w:val="00691425"/>
    <w:rsid w:val="006A391C"/>
    <w:rsid w:val="006A516E"/>
    <w:rsid w:val="006B0830"/>
    <w:rsid w:val="006D6F9C"/>
    <w:rsid w:val="006F533C"/>
    <w:rsid w:val="00713AF8"/>
    <w:rsid w:val="00716E2B"/>
    <w:rsid w:val="00725BAB"/>
    <w:rsid w:val="00733CCC"/>
    <w:rsid w:val="0075605A"/>
    <w:rsid w:val="00770F18"/>
    <w:rsid w:val="00773B74"/>
    <w:rsid w:val="0078290C"/>
    <w:rsid w:val="0078592E"/>
    <w:rsid w:val="0079506E"/>
    <w:rsid w:val="00796440"/>
    <w:rsid w:val="007C06CA"/>
    <w:rsid w:val="007E1138"/>
    <w:rsid w:val="008163FB"/>
    <w:rsid w:val="008205C5"/>
    <w:rsid w:val="0082605B"/>
    <w:rsid w:val="008278A5"/>
    <w:rsid w:val="00840920"/>
    <w:rsid w:val="00855C36"/>
    <w:rsid w:val="00857DBE"/>
    <w:rsid w:val="008701BC"/>
    <w:rsid w:val="0087229E"/>
    <w:rsid w:val="00883D92"/>
    <w:rsid w:val="008A5362"/>
    <w:rsid w:val="008C627C"/>
    <w:rsid w:val="008D268D"/>
    <w:rsid w:val="008D7A65"/>
    <w:rsid w:val="008F21F1"/>
    <w:rsid w:val="008F221B"/>
    <w:rsid w:val="008F5A2D"/>
    <w:rsid w:val="00903F22"/>
    <w:rsid w:val="00904A97"/>
    <w:rsid w:val="00920F36"/>
    <w:rsid w:val="00921419"/>
    <w:rsid w:val="00921602"/>
    <w:rsid w:val="00921B82"/>
    <w:rsid w:val="00957EA1"/>
    <w:rsid w:val="00961B20"/>
    <w:rsid w:val="00966E5B"/>
    <w:rsid w:val="009776C8"/>
    <w:rsid w:val="009B4045"/>
    <w:rsid w:val="009B4EF0"/>
    <w:rsid w:val="009D271F"/>
    <w:rsid w:val="00A03ADB"/>
    <w:rsid w:val="00A17AD3"/>
    <w:rsid w:val="00A265D6"/>
    <w:rsid w:val="00A318C2"/>
    <w:rsid w:val="00A6664E"/>
    <w:rsid w:val="00A929C2"/>
    <w:rsid w:val="00AB7619"/>
    <w:rsid w:val="00AC06A0"/>
    <w:rsid w:val="00AC09D1"/>
    <w:rsid w:val="00AC4AAF"/>
    <w:rsid w:val="00AD097F"/>
    <w:rsid w:val="00B05FD2"/>
    <w:rsid w:val="00B469F5"/>
    <w:rsid w:val="00B71DD5"/>
    <w:rsid w:val="00B844F4"/>
    <w:rsid w:val="00BA06A1"/>
    <w:rsid w:val="00BA46B2"/>
    <w:rsid w:val="00BA770A"/>
    <w:rsid w:val="00BB2D17"/>
    <w:rsid w:val="00BD00E8"/>
    <w:rsid w:val="00BE2E77"/>
    <w:rsid w:val="00BE6917"/>
    <w:rsid w:val="00C02665"/>
    <w:rsid w:val="00C054DE"/>
    <w:rsid w:val="00C3452C"/>
    <w:rsid w:val="00C511FD"/>
    <w:rsid w:val="00C53366"/>
    <w:rsid w:val="00C679A9"/>
    <w:rsid w:val="00C73F0D"/>
    <w:rsid w:val="00C7541C"/>
    <w:rsid w:val="00C766CE"/>
    <w:rsid w:val="00C84AEB"/>
    <w:rsid w:val="00C97E20"/>
    <w:rsid w:val="00CA6B8E"/>
    <w:rsid w:val="00CC0FAA"/>
    <w:rsid w:val="00CD0736"/>
    <w:rsid w:val="00CE3DD4"/>
    <w:rsid w:val="00D027D9"/>
    <w:rsid w:val="00D04629"/>
    <w:rsid w:val="00D057C9"/>
    <w:rsid w:val="00D1570F"/>
    <w:rsid w:val="00D32830"/>
    <w:rsid w:val="00D416E6"/>
    <w:rsid w:val="00D7686C"/>
    <w:rsid w:val="00D8267E"/>
    <w:rsid w:val="00DA04C6"/>
    <w:rsid w:val="00DB7153"/>
    <w:rsid w:val="00DB7F05"/>
    <w:rsid w:val="00DC2627"/>
    <w:rsid w:val="00DC3981"/>
    <w:rsid w:val="00DE2332"/>
    <w:rsid w:val="00DF0EB2"/>
    <w:rsid w:val="00E014A2"/>
    <w:rsid w:val="00E028C3"/>
    <w:rsid w:val="00E14F77"/>
    <w:rsid w:val="00E2274F"/>
    <w:rsid w:val="00E3076B"/>
    <w:rsid w:val="00E36978"/>
    <w:rsid w:val="00E62140"/>
    <w:rsid w:val="00E63939"/>
    <w:rsid w:val="00E72B61"/>
    <w:rsid w:val="00E82A1E"/>
    <w:rsid w:val="00E9053C"/>
    <w:rsid w:val="00EA05EC"/>
    <w:rsid w:val="00EB666E"/>
    <w:rsid w:val="00EC06F4"/>
    <w:rsid w:val="00EE4E36"/>
    <w:rsid w:val="00EE5465"/>
    <w:rsid w:val="00EE5E0C"/>
    <w:rsid w:val="00F00A88"/>
    <w:rsid w:val="00F01606"/>
    <w:rsid w:val="00F156BA"/>
    <w:rsid w:val="00F22442"/>
    <w:rsid w:val="00F45060"/>
    <w:rsid w:val="00F529D0"/>
    <w:rsid w:val="00F665F4"/>
    <w:rsid w:val="00FD225F"/>
    <w:rsid w:val="05B00A30"/>
    <w:rsid w:val="0B011416"/>
    <w:rsid w:val="0DFB7A2C"/>
    <w:rsid w:val="31C2036A"/>
    <w:rsid w:val="320D02A5"/>
    <w:rsid w:val="348E566F"/>
    <w:rsid w:val="3A226944"/>
    <w:rsid w:val="3AEE6A48"/>
    <w:rsid w:val="3C1620AA"/>
    <w:rsid w:val="3D8F080F"/>
    <w:rsid w:val="435461E2"/>
    <w:rsid w:val="44CE1FA4"/>
    <w:rsid w:val="487F73ED"/>
    <w:rsid w:val="4A347EAE"/>
    <w:rsid w:val="52600405"/>
    <w:rsid w:val="529B4319"/>
    <w:rsid w:val="57773DD6"/>
    <w:rsid w:val="578B79AB"/>
    <w:rsid w:val="5C4F709E"/>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0"/>
    <w:uiPriority w:val="99"/>
    <w:rPr>
      <w:rFonts w:ascii="仿宋_GB2312" w:hAnsi="仿宋_GB2312" w:eastAsia="仿宋_GB2312" w:cs="仿宋_GB2312"/>
      <w:sz w:val="32"/>
      <w:szCs w:val="32"/>
      <w:lang w:val="zh-CN"/>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locked/>
    <w:uiPriority w:val="99"/>
    <w:rPr>
      <w:rFonts w:ascii="等线" w:hAnsi="等线" w:eastAsia="等线" w:cs="Times New Roman"/>
      <w:b/>
      <w:bCs/>
      <w:kern w:val="44"/>
      <w:sz w:val="44"/>
      <w:szCs w:val="44"/>
    </w:rPr>
  </w:style>
  <w:style w:type="character" w:customStyle="1" w:styleId="10">
    <w:name w:val="Body Text Char"/>
    <w:basedOn w:val="8"/>
    <w:link w:val="3"/>
    <w:semiHidden/>
    <w:qFormat/>
    <w:locked/>
    <w:uiPriority w:val="99"/>
    <w:rPr>
      <w:rFonts w:ascii="等线" w:hAnsi="等线" w:eastAsia="等线" w:cs="Times New Roman"/>
    </w:rPr>
  </w:style>
  <w:style w:type="character" w:customStyle="1" w:styleId="11">
    <w:name w:val="Footer Char"/>
    <w:basedOn w:val="8"/>
    <w:link w:val="4"/>
    <w:locked/>
    <w:uiPriority w:val="99"/>
    <w:rPr>
      <w:rFonts w:cs="Times New Roman"/>
      <w:sz w:val="18"/>
      <w:szCs w:val="18"/>
    </w:rPr>
  </w:style>
  <w:style w:type="character" w:customStyle="1" w:styleId="12">
    <w:name w:val="Header Char"/>
    <w:basedOn w:val="8"/>
    <w:link w:val="5"/>
    <w:locked/>
    <w:uiPriority w:val="99"/>
    <w:rPr>
      <w:rFonts w:ascii="等线" w:hAnsi="等线" w:eastAsia="等线" w:cs="Times New Roman"/>
      <w:sz w:val="18"/>
      <w:szCs w:val="18"/>
    </w:rPr>
  </w:style>
  <w:style w:type="paragraph" w:customStyle="1" w:styleId="13">
    <w:name w:val="列出段落1"/>
    <w:basedOn w:val="1"/>
    <w:qFormat/>
    <w:uiPriority w:val="99"/>
    <w:pPr>
      <w:spacing w:before="2"/>
      <w:ind w:left="119" w:right="434" w:firstLine="643"/>
    </w:pPr>
    <w:rPr>
      <w:rFonts w:ascii="仿宋_GB2312" w:hAnsi="仿宋_GB2312" w:eastAsia="仿宋_GB2312" w:cs="仿宋_GB2312"/>
      <w:lang w:val="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image" Target="media/image3.emf"/><Relationship Id="rId22" Type="http://schemas.openxmlformats.org/officeDocument/2006/relationships/oleObject" Target="embeddings/Workbook2.xls"/><Relationship Id="rId21" Type="http://schemas.openxmlformats.org/officeDocument/2006/relationships/image" Target="media/image2.png"/><Relationship Id="rId20" Type="http://schemas.openxmlformats.org/officeDocument/2006/relationships/image" Target="media/image1.emf"/><Relationship Id="rId2" Type="http://schemas.openxmlformats.org/officeDocument/2006/relationships/settings" Target="settings.xml"/><Relationship Id="rId19" Type="http://schemas.openxmlformats.org/officeDocument/2006/relationships/oleObject" Target="embeddings/Workbook1.xls"/><Relationship Id="rId18" Type="http://schemas.openxmlformats.org/officeDocument/2006/relationships/theme" Target="theme/theme1.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1"/>
    <customShpInfo spid="_x0000_s1032"/>
    <customShpInfo spid="_x0000_s1030"/>
    <customShpInfo spid="_x0000_s1034"/>
    <customShpInfo spid="_x0000_s1035"/>
    <customShpInfo spid="_x0000_s1033"/>
    <customShpInfo spid="_x0000_s1036"/>
    <customShpInfo spid="_x0000_s1037"/>
    <customShpInfo spid="_x0000_s1038"/>
    <customShpInfo spid="_x0000_s1039"/>
    <customShpInfo spid="_x0000_s1040"/>
    <customShpInfo spid="_x0000_s1042"/>
    <customShpInfo spid="_x0000_s1043"/>
    <customShpInfo spid="_x0000_s1041"/>
    <customShpInfo spid="_x0000_s1044"/>
    <customShpInfo spid="_x0000_s1045"/>
    <customShpInfo spid="_x0000_s1046"/>
    <customShpInfo spid="_x0000_s1048"/>
    <customShpInfo spid="_x0000_s1049"/>
    <customShpInfo spid="_x0000_s1047"/>
    <customShpInfo spid="_x0000_s1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30</Pages>
  <Words>1731</Words>
  <Characters>9871</Characters>
  <Lines>0</Lines>
  <Paragraphs>0</Paragraphs>
  <TotalTime>222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86131</cp:lastModifiedBy>
  <cp:lastPrinted>2020-07-30T02:37:00Z</cp:lastPrinted>
  <dcterms:modified xsi:type="dcterms:W3CDTF">2023-10-12T02:17:32Z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