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中共石家庄市鹿泉区委老干部局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文件精神，遵循“科学性、规范性、客观性和公正性”的原则，中共石家庄市鹿泉区委老干部局</w:t>
      </w:r>
      <w:r>
        <w:rPr>
          <w:rFonts w:hint="eastAsia" w:ascii="仿宋" w:hAnsi="仿宋" w:eastAsia="仿宋"/>
          <w:sz w:val="32"/>
          <w:szCs w:val="32"/>
          <w:lang w:eastAsia="zh-CN"/>
        </w:rPr>
        <w:t>部门对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default"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1.部门职能</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2.负责指导、督促、检查全区的离退休干部工作；组织和协调有关部门做好离退休干部工作。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4.加强对全区离退休干部的政治引领和教育管理。负责做好新形势下离退休干部党组织建设工作,拟订离退休干部思想政治工作的制度办法和措施;组织开展离退休干部党组织书记的教育培训工作。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5.指导全区老干部活动中心等活动阵地建设与管理。</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6.指导各乡（镇、区）和区直各部门组织离退休干部利用自身优势,在政治、经济、文化和青少年教育等各领域发挥作用,增添正能量。</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7.了解离退休干部对医疗保健方面的意见和要求。组织指导离退休干部开展健康科学的文化健身、保健讲座、参观学习等活动。</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8.负责易地安置离休干部服务管理工作。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9.会同有关部门拟订治丧办法,指导逝世老干部的善后工作,协助承办区委交办的丧葬事宜。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10.承担区老干部工作领导小组、区关心下一代工作委员会的日常工作。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11.完成区委交办的其他任务。</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2.组织机构及人员</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中共石家庄市鹿泉区委老干部局是由财政拨款的正科级行政单位，下设办公室，其所属事业单位为石家庄市鹿泉区老干部活动中心。部门共有15个编制，其中行政编6名，事业编9名。</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1.部门收支预算情况</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按照预算管理有关规定，目前我省部门预算的编制实行综合预算管理，即全部收入和支出都反映在预算中。中共石家庄市鹿泉区委老干部局机关及所属事业单位的收支包含在部门预算中。</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反映本部门当年全部收入。石家庄市鹿泉区委老干部局2022年预算收入总计541.03万元，其中：一般公共预算收入541.03元，基金预算收入0万元，财政专户核拨收入0万元，其他来源收入（单位资金）0万元，上年结转结余0万元。</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收支预算总表支出栏、基本支出表、项目支出表按经济分类和支出功能分类科目编制，反映鹿泉区老干部局年度部门预算中支出预算的总体情况。2022年支出预算541.03万元，其中基本支出448.03万元，包括人员经费390.22万元和日常公用经费57.81万元；项目支出93万元，主要为离退休特需经费、企业离休公用经费及老干部专项活动经费、特困离退休干部帮扶资金。</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2.部门收支决算情况</w:t>
      </w:r>
    </w:p>
    <w:p>
      <w:pPr>
        <w:keepNext w:val="0"/>
        <w:keepLines w:val="0"/>
        <w:pageBreakBefore w:val="0"/>
        <w:widowControl w:val="0"/>
        <w:kinsoku/>
        <w:wordWrap/>
        <w:overflowPunct/>
        <w:topLinePunct w:val="0"/>
        <w:autoSpaceDE/>
        <w:autoSpaceDN/>
        <w:bidi w:val="0"/>
        <w:adjustRightInd w:val="0"/>
        <w:snapToGrid w:val="0"/>
        <w:spacing w:line="578" w:lineRule="exact"/>
        <w:ind w:left="638" w:leftChars="304" w:firstLine="0" w:firstLineChars="0"/>
        <w:textAlignment w:val="auto"/>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本部门</w:t>
      </w:r>
      <w:r>
        <w:rPr>
          <w:rFonts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602.58万元</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收入决算情况说明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年度收入合计</w:t>
      </w:r>
      <w:r>
        <w:rPr>
          <w:rFonts w:hint="eastAsia" w:ascii="仿宋_GB2312" w:hAnsi="Times New Roman" w:eastAsia="仿宋_GB2312" w:cs="Wingdings"/>
          <w:sz w:val="32"/>
          <w:szCs w:val="32"/>
          <w:lang w:val="en-US" w:eastAsia="zh-CN"/>
        </w:rPr>
        <w:t>602.58</w:t>
      </w:r>
      <w:r>
        <w:rPr>
          <w:rFonts w:hint="eastAsia" w:ascii="仿宋_GB2312" w:hAnsi="Times New Roman" w:eastAsia="仿宋_GB2312" w:cs="Wingdings"/>
          <w:sz w:val="32"/>
          <w:szCs w:val="32"/>
        </w:rPr>
        <w:t>万元，其中：财政拨款收入</w:t>
      </w:r>
      <w:r>
        <w:rPr>
          <w:rFonts w:hint="eastAsia" w:ascii="仿宋_GB2312" w:hAnsi="Times New Roman" w:eastAsia="仿宋_GB2312" w:cs="Wingdings"/>
          <w:sz w:val="32"/>
          <w:szCs w:val="32"/>
          <w:lang w:val="en-US" w:eastAsia="zh-CN"/>
        </w:rPr>
        <w:t>602.58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上级补助收入0万元，占0%；</w:t>
      </w:r>
      <w:r>
        <w:rPr>
          <w:rFonts w:hint="eastAsia" w:ascii="仿宋_GB2312" w:hAnsi="Times New Roman" w:eastAsia="仿宋_GB2312" w:cs="Wingdings"/>
          <w:sz w:val="32"/>
          <w:szCs w:val="32"/>
        </w:rPr>
        <w:t>事业收入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附属单位上缴收入0万元，占0%；</w:t>
      </w:r>
      <w:r>
        <w:rPr>
          <w:rFonts w:hint="eastAsia" w:ascii="仿宋_GB2312" w:hAnsi="Times New Roman" w:eastAsia="仿宋_GB2312" w:cs="Wingdings"/>
          <w:sz w:val="32"/>
          <w:szCs w:val="32"/>
        </w:rPr>
        <w:t>其他收入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支出决算情况说明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default" w:ascii="仿宋" w:hAnsi="仿宋" w:eastAsia="仿宋" w:cs="黑体"/>
          <w:kern w:val="2"/>
          <w:sz w:val="32"/>
          <w:szCs w:val="32"/>
          <w:highlight w:val="yellow"/>
          <w:lang w:val="en-US" w:eastAsia="zh-CN" w:bidi="ar-SA"/>
        </w:rPr>
      </w:pPr>
      <w:r>
        <w:rPr>
          <w:rFonts w:hint="eastAsia" w:ascii="仿宋_GB2312" w:hAnsi="Times New Roman" w:eastAsia="仿宋_GB2312" w:cs="Wingdings"/>
          <w:sz w:val="32"/>
          <w:szCs w:val="32"/>
        </w:rPr>
        <w:t>本部门202</w:t>
      </w: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年度支出合计</w:t>
      </w:r>
      <w:r>
        <w:rPr>
          <w:rFonts w:hint="eastAsia" w:ascii="仿宋_GB2312" w:hAnsi="Times New Roman" w:eastAsia="仿宋_GB2312" w:cs="Wingdings"/>
          <w:sz w:val="32"/>
          <w:szCs w:val="32"/>
          <w:lang w:val="en-US" w:eastAsia="zh-CN"/>
        </w:rPr>
        <w:t>602.58</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586.06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97.3</w:t>
      </w:r>
      <w:r>
        <w:rPr>
          <w:rFonts w:hint="eastAsia" w:ascii="仿宋_GB2312" w:hAnsi="Times New Roman" w:eastAsia="仿宋_GB2312" w:cs="Wingdings"/>
          <w:sz w:val="32"/>
          <w:szCs w:val="32"/>
        </w:rPr>
        <w:t>%；项目支</w:t>
      </w:r>
      <w:r>
        <w:rPr>
          <w:rFonts w:hint="eastAsia" w:ascii="仿宋_GB2312" w:hAnsi="Times New Roman" w:eastAsia="仿宋_GB2312" w:cs="仿宋_GB2312"/>
          <w:sz w:val="32"/>
          <w:szCs w:val="32"/>
        </w:rPr>
        <w:t>出</w:t>
      </w:r>
      <w:r>
        <w:rPr>
          <w:rFonts w:hint="eastAsia" w:ascii="仿宋_GB2312" w:hAnsi="Times New Roman" w:eastAsia="仿宋_GB2312" w:cs="仿宋_GB2312"/>
          <w:sz w:val="32"/>
          <w:szCs w:val="32"/>
          <w:lang w:val="en-US" w:eastAsia="zh-CN"/>
        </w:rPr>
        <w:t>16.52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上缴上级支出0万元，占0%；</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对附属单位补助支出0万元，占0%</w:t>
      </w:r>
      <w:r>
        <w:rPr>
          <w:rFonts w:hint="eastAsia" w:ascii="仿宋_GB2312" w:hAnsi="Times New Roman" w:eastAsia="仿宋_GB2312" w:cs="仿宋_GB2312"/>
          <w:sz w:val="32"/>
          <w:szCs w:val="32"/>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1.总体绩效目标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1次，走访慰问老干部2次；利用重大节日举办文艺演出1次；举办老年大学书画展1次；开展基层老干部文体活动1次。</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2.分项绩效目标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一、加强离退休干部思想政治建设，组织开展各项有益身心健康的活动</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贯彻落实国家关于离退休干部的方针政策，组织离退休干部阅文和学习并参加报告会、通报会、参观经济建设等政治活动，重大节日走访慰问，全面落实老干部政治待遇。落实离退休干部生活待遇“3+2”机制，让每位老干部感受到政治上的关心、生活上的爱护。</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绩效指标：组织组织全区老干部政治理论学习5次；举办文艺演出1次；举办老年大学书画展1次；开展基层老干部文体活动1次。</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二、认真落实企业离休干部政治生活待遇。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绩效目标：认真落实企业离休干部政治生活待遇，充分体现党和政府对企业离休干部的关怀。</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绩效指标：中秋节、春节期间慰问企业离休干部和副处以上离退休干部，组织召开处级老干部情况通报及座谈会。</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578" w:lineRule="exact"/>
        <w:ind w:left="0" w:leftChars="0" w:right="0" w:firstLine="64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（一）自评的组织工作</w:t>
      </w:r>
    </w:p>
    <w:p>
      <w:pPr>
        <w:pStyle w:val="6"/>
        <w:keepNext w:val="0"/>
        <w:keepLines w:val="0"/>
        <w:pageBreakBefore w:val="0"/>
        <w:widowControl w:val="0"/>
        <w:kinsoku/>
        <w:wordWrap/>
        <w:overflowPunct/>
        <w:topLinePunct w:val="0"/>
        <w:autoSpaceDE/>
        <w:autoSpaceDN/>
        <w:bidi w:val="0"/>
        <w:spacing w:line="578" w:lineRule="exact"/>
        <w:textAlignment w:val="auto"/>
        <w:rPr>
          <w:rFonts w:ascii="仿宋" w:hAnsi="仿宋" w:eastAsia="仿宋"/>
          <w:sz w:val="32"/>
          <w:szCs w:val="32"/>
          <w:highlight w:val="yellow"/>
        </w:rPr>
      </w:pPr>
      <w:r>
        <w:rPr>
          <w:rFonts w:hint="eastAsia" w:ascii="仿宋" w:hAnsi="仿宋" w:eastAsia="仿宋" w:cs="黑体"/>
          <w:kern w:val="2"/>
          <w:sz w:val="32"/>
          <w:szCs w:val="32"/>
          <w:lang w:val="en-US" w:eastAsia="zh-CN" w:bidi="ar-SA"/>
        </w:rPr>
        <w:t>根据《关于全面实施预算绩效管理的实施意见》（鹿发﹝2019﹞8号）文件要求，对自评工作进行研究和部署。</w:t>
      </w:r>
    </w:p>
    <w:p>
      <w:pPr>
        <w:keepNext w:val="0"/>
        <w:keepLines w:val="0"/>
        <w:pageBreakBefore w:val="0"/>
        <w:widowControl w:val="0"/>
        <w:numPr>
          <w:ilvl w:val="0"/>
          <w:numId w:val="2"/>
        </w:numPr>
        <w:kinsoku/>
        <w:wordWrap/>
        <w:overflowPunct/>
        <w:topLinePunct w:val="0"/>
        <w:autoSpaceDE/>
        <w:autoSpaceDN/>
        <w:bidi w:val="0"/>
        <w:spacing w:line="578"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对照各实施项目的内容逐条逐项自评。部门整体支出绩效数据采集的主要依据有：年度预算报告、决算报表、单位年终考核汇编等资料。</w:t>
      </w:r>
    </w:p>
    <w:p>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经过一年的工作，已经实现了贯彻落实党和国家关于离退休干部的方针政策的目标。全面落实全区离休干部政治、生活待遇，组织离退休干部开展有益身心健康的各项文体活动，充分发挥离退休干部的政治、经验、威望等优势，为我区各项事业发展发挥作用。全年利用重大节日举办文艺演出1次；举办老年大学书画展1次；开展基层老干部文体活动1次。安排照顾离退休干部晚年生活，解决离退休干部思想政治建设、党支部建设、各类文体活动的经费开支。</w:t>
      </w:r>
    </w:p>
    <w:p>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分项绩效目标实现情况及指标分析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离退休特需费项目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：根据年初设定的绩效目标，离退休特需费项目绩效自评得分为</w:t>
      </w:r>
      <w:r>
        <w:rPr>
          <w:rFonts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16.52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20.65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。项目绩效目标完成情况：举办老干部春秋</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次趣味运动会、书画展、文艺演出等活动。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企业离休公用经费及老干部专项活动经费项目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万元，主要原因：</w:t>
      </w:r>
      <w:r>
        <w:rPr>
          <w:rFonts w:hint="eastAsia" w:ascii="仿宋_GB2312" w:hAnsi="仿宋_GB2312" w:eastAsia="仿宋_GB2312" w:cs="仿宋_GB2312"/>
          <w:sz w:val="32"/>
          <w:szCs w:val="32"/>
          <w:lang w:val="en-US" w:eastAsia="zh-CN"/>
        </w:rPr>
        <w:t>未收到财政资金。</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特困离退休干部帮扶资金项目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万元，主要原因：</w:t>
      </w:r>
      <w:r>
        <w:rPr>
          <w:rFonts w:hint="eastAsia" w:ascii="仿宋_GB2312" w:hAnsi="仿宋_GB2312" w:eastAsia="仿宋_GB2312" w:cs="仿宋_GB2312"/>
          <w:sz w:val="32"/>
          <w:szCs w:val="32"/>
          <w:lang w:val="en-US" w:eastAsia="zh-CN"/>
        </w:rPr>
        <w:t>未收到财政资金。</w:t>
      </w:r>
    </w:p>
    <w:tbl>
      <w:tblPr>
        <w:tblStyle w:val="4"/>
        <w:tblW w:w="1026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15"/>
        <w:gridCol w:w="2334"/>
        <w:gridCol w:w="750"/>
        <w:gridCol w:w="756"/>
        <w:gridCol w:w="1092"/>
        <w:gridCol w:w="1022"/>
        <w:gridCol w:w="1022"/>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rPr>
        <w:tc>
          <w:tcPr>
            <w:tcW w:w="1026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0261"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121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233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c>
          <w:tcPr>
            <w:tcW w:w="75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75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9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3"/>
                <w:lang w:val="en-US" w:eastAsia="zh-CN" w:bidi="ar"/>
              </w:rPr>
              <w:t>一、</w:t>
            </w:r>
            <w:r>
              <w:rPr>
                <w:rStyle w:val="14"/>
                <w:rFonts w:eastAsia="宋体"/>
                <w:lang w:val="en-US" w:eastAsia="zh-CN" w:bidi="ar"/>
              </w:rPr>
              <w:t xml:space="preserve"> </w:t>
            </w:r>
            <w:r>
              <w:rPr>
                <w:rStyle w:val="13"/>
                <w:lang w:val="en-US" w:eastAsia="zh-CN" w:bidi="ar"/>
              </w:rPr>
              <w:t>基本情况</w:t>
            </w:r>
          </w:p>
        </w:tc>
        <w:tc>
          <w:tcPr>
            <w:tcW w:w="2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5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离退休特需费（非专项资金）</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11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308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16.52</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22"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16.52</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16.52</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22"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16.52</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7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22"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安排照顾离退休干部晚年生活，解决离退休干部特殊困难补助及思想政治建设、党支部建设、各类文体活动的经费开支。</w:t>
            </w:r>
          </w:p>
        </w:tc>
        <w:tc>
          <w:tcPr>
            <w:tcW w:w="313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举办老干部春秋两次趣味运动会、书画展、文艺演出等活动</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3"/>
                <w:lang w:val="en-US" w:eastAsia="zh-CN" w:bidi="ar"/>
              </w:rPr>
              <w:t>四、</w:t>
            </w:r>
            <w:r>
              <w:rPr>
                <w:rStyle w:val="14"/>
                <w:rFonts w:eastAsia="宋体"/>
                <w:lang w:val="en-US" w:eastAsia="zh-CN" w:bidi="ar"/>
              </w:rPr>
              <w:t xml:space="preserve"> </w:t>
            </w:r>
            <w:r>
              <w:rPr>
                <w:rStyle w:val="13"/>
                <w:lang w:val="en-US" w:eastAsia="zh-CN" w:bidi="ar"/>
              </w:rPr>
              <w:t>年度绩效指标完成情况</w:t>
            </w:r>
          </w:p>
        </w:tc>
        <w:tc>
          <w:tcPr>
            <w:tcW w:w="2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7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参加活动人数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2000人</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1000</w:t>
            </w:r>
            <w:r>
              <w:rPr>
                <w:rFonts w:hint="eastAsia" w:ascii="宋体" w:hAnsi="宋体" w:eastAsia="宋体" w:cs="宋体"/>
                <w:i w:val="0"/>
                <w:color w:val="000000"/>
                <w:kern w:val="0"/>
                <w:sz w:val="16"/>
                <w:szCs w:val="16"/>
                <w:u w:val="none"/>
                <w:lang w:val="en-US" w:eastAsia="zh-CN" w:bidi="ar"/>
              </w:rPr>
              <w:t>人</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参加活动覆盖率</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举办活动时间</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春节、重阳节、中秋节等重大节日</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均按时完成</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参加活动人均费用</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Style w:val="15"/>
                <w:lang w:val="en-US" w:eastAsia="zh-CN" w:bidi="ar"/>
              </w:rPr>
              <w:t>元</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eastAsia" w:cs="Calibri"/>
                <w:i w:val="0"/>
                <w:color w:val="000000"/>
                <w:kern w:val="0"/>
                <w:sz w:val="16"/>
                <w:szCs w:val="16"/>
                <w:u w:val="none"/>
                <w:lang w:val="en-US" w:eastAsia="zh-CN" w:bidi="ar"/>
              </w:rPr>
              <w:t>82.6</w:t>
            </w:r>
            <w:r>
              <w:rPr>
                <w:rStyle w:val="15"/>
                <w:lang w:val="en-US" w:eastAsia="zh-CN" w:bidi="ar"/>
              </w:rPr>
              <w:t>元</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eastAsia" w:cs="Calibri"/>
                <w:i w:val="0"/>
                <w:color w:val="000000"/>
                <w:kern w:val="0"/>
                <w:sz w:val="16"/>
                <w:szCs w:val="16"/>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7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离退休干部生活质量提高</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生活质量稳步提高</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生活质量稳步提高</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增强影响力</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2000</w:t>
            </w:r>
            <w:r>
              <w:rPr>
                <w:rStyle w:val="13"/>
                <w:lang w:val="en-US" w:eastAsia="zh-CN" w:bidi="ar"/>
              </w:rPr>
              <w:t>人</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2000</w:t>
            </w:r>
            <w:r>
              <w:rPr>
                <w:rStyle w:val="13"/>
                <w:lang w:val="en-US" w:eastAsia="zh-CN" w:bidi="ar"/>
              </w:rPr>
              <w:t>人</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3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8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受助对象满意度</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&gt;=90%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&gt;=90%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lang w:val="en-US"/>
              </w:rPr>
            </w:pPr>
            <w:r>
              <w:rPr>
                <w:rFonts w:hint="eastAsia" w:cs="Calibri"/>
                <w:i w:val="0"/>
                <w:color w:val="000000"/>
                <w:kern w:val="0"/>
                <w:sz w:val="16"/>
                <w:szCs w:val="16"/>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4"/>
                <w:rFonts w:eastAsia="宋体"/>
                <w:lang w:val="en-US" w:eastAsia="zh-CN" w:bidi="ar"/>
              </w:rPr>
              <w:t xml:space="preserve"> </w:t>
            </w:r>
            <w:r>
              <w:rPr>
                <w:rStyle w:val="13"/>
                <w:lang w:val="en-US" w:eastAsia="zh-CN" w:bidi="ar"/>
              </w:rPr>
              <w:t>存在问题、原因及下一步整改措施</w:t>
            </w:r>
          </w:p>
        </w:tc>
        <w:tc>
          <w:tcPr>
            <w:tcW w:w="904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组织基层老干部文体活动偏少，主要原因老干部居住分散、文体活动场所少，以后多增加基层文体活动场所和增加文体活动内容。</w:t>
            </w:r>
          </w:p>
        </w:tc>
      </w:tr>
    </w:tbl>
    <w:p>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p>
    <w:tbl>
      <w:tblPr>
        <w:tblStyle w:val="4"/>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15"/>
        <w:gridCol w:w="2270"/>
        <w:gridCol w:w="738"/>
        <w:gridCol w:w="1039"/>
        <w:gridCol w:w="1110"/>
        <w:gridCol w:w="1080"/>
        <w:gridCol w:w="738"/>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企业离休公用经费及老干部专项活动经费 （非专项资金）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体现区委、区政府对老干部的关爱，每年中秋节春节期间慰问企业离休干部和副处以上离退休干部，组织召开处级老干部情况通报及座谈会。</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中秋节春节期间慰问企业离休干部和副处以上离退休干部共2次，组织召开处级老干部情况通报及座谈会1次。</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慰问离退休干部人数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慰问离退休干部覆盖率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慰问离退休干部及时性</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中秋节、春节</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慰问标准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r>
              <w:rPr>
                <w:rFonts w:hint="eastAsia" w:ascii="宋体" w:hAnsi="宋体" w:eastAsia="宋体" w:cs="宋体"/>
                <w:i w:val="0"/>
                <w:color w:val="000000"/>
                <w:kern w:val="0"/>
                <w:sz w:val="16"/>
                <w:szCs w:val="16"/>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增强影响力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r>
              <w:rPr>
                <w:rFonts w:hint="eastAsia" w:ascii="宋体" w:hAnsi="宋体" w:eastAsia="宋体" w:cs="宋体"/>
                <w:i w:val="0"/>
                <w:color w:val="000000"/>
                <w:kern w:val="0"/>
                <w:sz w:val="16"/>
                <w:szCs w:val="16"/>
                <w:u w:val="none"/>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未收到财政拨款</w:t>
            </w:r>
          </w:p>
        </w:tc>
      </w:tr>
    </w:tbl>
    <w:p>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p>
    <w:tbl>
      <w:tblPr>
        <w:tblStyle w:val="4"/>
        <w:tblW w:w="102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15"/>
        <w:gridCol w:w="2270"/>
        <w:gridCol w:w="738"/>
        <w:gridCol w:w="1039"/>
        <w:gridCol w:w="1110"/>
        <w:gridCol w:w="1080"/>
        <w:gridCol w:w="738"/>
        <w:gridCol w:w="2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rPr>
        <w:tc>
          <w:tcPr>
            <w:tcW w:w="102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特困离退休干部帮扶资金（非专项资金）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帮助特困离退休干部及遗属解决生活方面实际困难</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为16名离退休干部发放困难补助</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特困离退休发放补助人数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特困离退休补助发放覆盖率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对特困离退休困难补助发放时间</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r>
              <w:rPr>
                <w:rStyle w:val="16"/>
                <w:lang w:val="en-US" w:eastAsia="zh-CN" w:bidi="ar"/>
              </w:rPr>
              <w:t>季度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帮扶离退休干部人均发放金额</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3125</w:t>
            </w:r>
            <w:r>
              <w:rPr>
                <w:rStyle w:val="16"/>
                <w:lang w:val="en-US" w:eastAsia="zh-CN" w:bidi="ar"/>
              </w:rPr>
              <w:t>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为特困离退休老干部提供关心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生活水平提高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增强影响力</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关心关爱老干部</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帮扶离退休干部满意率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90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未收到财政拨款</w:t>
            </w:r>
          </w:p>
        </w:tc>
      </w:tr>
    </w:tbl>
    <w:p>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w:t>
      </w:r>
      <w:r>
        <w:rPr>
          <w:rFonts w:hint="eastAsia" w:ascii="仿宋" w:hAnsi="仿宋" w:eastAsia="仿宋"/>
          <w:sz w:val="32"/>
          <w:szCs w:val="32"/>
          <w:lang w:val="en-US" w:eastAsia="zh-CN"/>
        </w:rPr>
        <w:t>最终得分90</w:t>
      </w:r>
      <w:r>
        <w:rPr>
          <w:rFonts w:hint="eastAsia" w:ascii="仿宋" w:hAnsi="仿宋" w:eastAsia="仿宋"/>
          <w:sz w:val="32"/>
          <w:szCs w:val="32"/>
        </w:rPr>
        <w:t>分，综合绩效评价等级</w:t>
      </w:r>
      <w:r>
        <w:rPr>
          <w:rFonts w:hint="eastAsia" w:ascii="仿宋" w:hAnsi="仿宋" w:eastAsia="仿宋"/>
          <w:sz w:val="32"/>
          <w:szCs w:val="32"/>
          <w:lang w:val="en-US" w:eastAsia="zh-CN"/>
        </w:rPr>
        <w:t>为优秀</w:t>
      </w:r>
      <w:r>
        <w:rPr>
          <w:rFonts w:hint="eastAsia" w:ascii="仿宋" w:hAnsi="仿宋" w:eastAsia="仿宋"/>
          <w:sz w:val="32"/>
          <w:szCs w:val="32"/>
        </w:rPr>
        <w:t>。</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 w:hAnsi="仿宋" w:eastAsia="仿宋"/>
          <w:b/>
          <w:bCs/>
          <w:sz w:val="32"/>
          <w:szCs w:val="32"/>
        </w:rPr>
      </w:pPr>
      <w:r>
        <w:rPr>
          <w:rFonts w:hint="eastAsia" w:ascii="仿宋_GB2312" w:hAnsi="仿宋_GB2312" w:eastAsia="仿宋_GB2312" w:cs="仿宋_GB2312"/>
          <w:sz w:val="32"/>
          <w:szCs w:val="32"/>
        </w:rPr>
        <w:t>组织基层老干部文体活动偏少，主要原因老干部居住分散、文体活动场所少。</w:t>
      </w:r>
    </w:p>
    <w:p>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 w:hAnsi="仿宋" w:eastAsia="仿宋"/>
          <w:b/>
          <w:bCs/>
          <w:sz w:val="32"/>
          <w:szCs w:val="32"/>
        </w:rPr>
      </w:pPr>
      <w:r>
        <w:rPr>
          <w:rFonts w:hint="eastAsia" w:ascii="仿宋_GB2312" w:hAnsi="仿宋_GB2312" w:eastAsia="仿宋_GB2312" w:cs="仿宋_GB2312"/>
          <w:sz w:val="32"/>
          <w:szCs w:val="32"/>
        </w:rPr>
        <w:t>以后多增加基层文体活动场所和增加文体活动内容</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4"/>
        </w:numPr>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老干部局局长：付志勇</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老干部局副局长：张新国</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老干部局办公室主任：田文志</w:t>
      </w:r>
      <w:bookmarkStart w:id="0" w:name="_GoBack"/>
      <w:bookmarkEnd w:id="0"/>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13115981"/>
    <w:multiLevelType w:val="singleLevel"/>
    <w:tmpl w:val="13115981"/>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7F904F27"/>
    <w:multiLevelType w:val="singleLevel"/>
    <w:tmpl w:val="7F904F27"/>
    <w:lvl w:ilvl="0" w:tentative="0">
      <w:start w:val="2"/>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1BA03B7"/>
    <w:rsid w:val="02106AB0"/>
    <w:rsid w:val="02782E75"/>
    <w:rsid w:val="02B148B4"/>
    <w:rsid w:val="02B43A28"/>
    <w:rsid w:val="02D92B98"/>
    <w:rsid w:val="03184A6B"/>
    <w:rsid w:val="033C55BA"/>
    <w:rsid w:val="03532ED6"/>
    <w:rsid w:val="046F331E"/>
    <w:rsid w:val="05D110AF"/>
    <w:rsid w:val="07956271"/>
    <w:rsid w:val="081262B4"/>
    <w:rsid w:val="09721397"/>
    <w:rsid w:val="09F362C6"/>
    <w:rsid w:val="0A5A636D"/>
    <w:rsid w:val="0ABF7484"/>
    <w:rsid w:val="0BAC708E"/>
    <w:rsid w:val="0BB63BED"/>
    <w:rsid w:val="0C422D4A"/>
    <w:rsid w:val="0C825A4B"/>
    <w:rsid w:val="0CA10CEB"/>
    <w:rsid w:val="0D996268"/>
    <w:rsid w:val="0DA74756"/>
    <w:rsid w:val="0EAC61A6"/>
    <w:rsid w:val="0EB97A43"/>
    <w:rsid w:val="0EBD2122"/>
    <w:rsid w:val="0F214EAE"/>
    <w:rsid w:val="0F3F3A68"/>
    <w:rsid w:val="0F6B0FF1"/>
    <w:rsid w:val="0F8734D3"/>
    <w:rsid w:val="11B71E6A"/>
    <w:rsid w:val="130276E5"/>
    <w:rsid w:val="132E1CC7"/>
    <w:rsid w:val="14F41319"/>
    <w:rsid w:val="169C68C2"/>
    <w:rsid w:val="174E6BFA"/>
    <w:rsid w:val="17576171"/>
    <w:rsid w:val="19135940"/>
    <w:rsid w:val="1AAF0063"/>
    <w:rsid w:val="1AD41596"/>
    <w:rsid w:val="1BE140DE"/>
    <w:rsid w:val="1BFD2346"/>
    <w:rsid w:val="1D795A43"/>
    <w:rsid w:val="1E382E02"/>
    <w:rsid w:val="1E752840"/>
    <w:rsid w:val="1EBC1E46"/>
    <w:rsid w:val="1FEB117F"/>
    <w:rsid w:val="20517B6C"/>
    <w:rsid w:val="20737F6F"/>
    <w:rsid w:val="218314BD"/>
    <w:rsid w:val="22C015D5"/>
    <w:rsid w:val="22E573BD"/>
    <w:rsid w:val="248C197D"/>
    <w:rsid w:val="24F265D8"/>
    <w:rsid w:val="25215CEC"/>
    <w:rsid w:val="252959AF"/>
    <w:rsid w:val="277A6671"/>
    <w:rsid w:val="292D35B7"/>
    <w:rsid w:val="29724EFB"/>
    <w:rsid w:val="29AA4A28"/>
    <w:rsid w:val="2A594280"/>
    <w:rsid w:val="2B910539"/>
    <w:rsid w:val="2BB70394"/>
    <w:rsid w:val="2C107D06"/>
    <w:rsid w:val="2C13274B"/>
    <w:rsid w:val="2D784A5A"/>
    <w:rsid w:val="2E3670F0"/>
    <w:rsid w:val="2E8F4132"/>
    <w:rsid w:val="30EF2173"/>
    <w:rsid w:val="322B3880"/>
    <w:rsid w:val="322C5F36"/>
    <w:rsid w:val="33EB6CFF"/>
    <w:rsid w:val="343805CE"/>
    <w:rsid w:val="35A12947"/>
    <w:rsid w:val="36444889"/>
    <w:rsid w:val="37387040"/>
    <w:rsid w:val="37787446"/>
    <w:rsid w:val="3917352A"/>
    <w:rsid w:val="3B625C0A"/>
    <w:rsid w:val="3BB758CE"/>
    <w:rsid w:val="3CEE1963"/>
    <w:rsid w:val="3DFA2C84"/>
    <w:rsid w:val="3E1D3CC7"/>
    <w:rsid w:val="3E662FCB"/>
    <w:rsid w:val="3E870B04"/>
    <w:rsid w:val="401719D1"/>
    <w:rsid w:val="41846B8C"/>
    <w:rsid w:val="42277C7B"/>
    <w:rsid w:val="42B55EC1"/>
    <w:rsid w:val="42F53609"/>
    <w:rsid w:val="4306442D"/>
    <w:rsid w:val="43AA1406"/>
    <w:rsid w:val="43BC0428"/>
    <w:rsid w:val="44B731FF"/>
    <w:rsid w:val="461425F9"/>
    <w:rsid w:val="46364C43"/>
    <w:rsid w:val="471570FD"/>
    <w:rsid w:val="4778739E"/>
    <w:rsid w:val="48416362"/>
    <w:rsid w:val="485532E1"/>
    <w:rsid w:val="48596EF3"/>
    <w:rsid w:val="486C545C"/>
    <w:rsid w:val="492F6D9C"/>
    <w:rsid w:val="49350196"/>
    <w:rsid w:val="49E73D69"/>
    <w:rsid w:val="4A1B21CB"/>
    <w:rsid w:val="4A850315"/>
    <w:rsid w:val="4B6B07A5"/>
    <w:rsid w:val="4C0858DC"/>
    <w:rsid w:val="4C9C27FE"/>
    <w:rsid w:val="4CD46C7F"/>
    <w:rsid w:val="4E014C03"/>
    <w:rsid w:val="4E146EBC"/>
    <w:rsid w:val="4E23436A"/>
    <w:rsid w:val="4E4176EA"/>
    <w:rsid w:val="4E971516"/>
    <w:rsid w:val="4FE43BE0"/>
    <w:rsid w:val="50475B6C"/>
    <w:rsid w:val="512260B4"/>
    <w:rsid w:val="52A80B82"/>
    <w:rsid w:val="52BD6ACB"/>
    <w:rsid w:val="52C17A0D"/>
    <w:rsid w:val="55537534"/>
    <w:rsid w:val="561A74F1"/>
    <w:rsid w:val="567F57F9"/>
    <w:rsid w:val="569E04D8"/>
    <w:rsid w:val="572B789D"/>
    <w:rsid w:val="58DE6100"/>
    <w:rsid w:val="594514AF"/>
    <w:rsid w:val="597244E8"/>
    <w:rsid w:val="5AB85AA2"/>
    <w:rsid w:val="5AC07E6D"/>
    <w:rsid w:val="5BFE22EC"/>
    <w:rsid w:val="5C674146"/>
    <w:rsid w:val="5CB64695"/>
    <w:rsid w:val="5CFE2F33"/>
    <w:rsid w:val="5D645C28"/>
    <w:rsid w:val="5EB71C30"/>
    <w:rsid w:val="5FA16748"/>
    <w:rsid w:val="5FC46A90"/>
    <w:rsid w:val="614E018D"/>
    <w:rsid w:val="62DB7CFC"/>
    <w:rsid w:val="62FC15D4"/>
    <w:rsid w:val="638F6C11"/>
    <w:rsid w:val="64CB4FC8"/>
    <w:rsid w:val="650308A9"/>
    <w:rsid w:val="663858C3"/>
    <w:rsid w:val="66AF0CE5"/>
    <w:rsid w:val="670248EE"/>
    <w:rsid w:val="68281111"/>
    <w:rsid w:val="6AB414C5"/>
    <w:rsid w:val="6AC537CF"/>
    <w:rsid w:val="6B4465B4"/>
    <w:rsid w:val="6C18229B"/>
    <w:rsid w:val="6D287C2B"/>
    <w:rsid w:val="6E526FC2"/>
    <w:rsid w:val="6E5B14A6"/>
    <w:rsid w:val="700543A9"/>
    <w:rsid w:val="708B788E"/>
    <w:rsid w:val="711B255E"/>
    <w:rsid w:val="7317199D"/>
    <w:rsid w:val="7453144D"/>
    <w:rsid w:val="75417DB2"/>
    <w:rsid w:val="77C1521D"/>
    <w:rsid w:val="79055F80"/>
    <w:rsid w:val="792065D5"/>
    <w:rsid w:val="798877CB"/>
    <w:rsid w:val="79EF1003"/>
    <w:rsid w:val="7BB51E06"/>
    <w:rsid w:val="7BB62938"/>
    <w:rsid w:val="7BF278A5"/>
    <w:rsid w:val="7C387F7C"/>
    <w:rsid w:val="7CF9420C"/>
    <w:rsid w:val="7D49326E"/>
    <w:rsid w:val="7DD1626B"/>
    <w:rsid w:val="7E2E29E3"/>
    <w:rsid w:val="7E4B72F6"/>
    <w:rsid w:val="7F5873C4"/>
    <w:rsid w:val="7FA51ED7"/>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99"/>
    <w:pPr>
      <w:spacing w:line="500" w:lineRule="exact"/>
      <w:ind w:firstLine="560"/>
    </w:pPr>
    <w:rPr>
      <w:rFonts w:eastAsia="方正仿宋_GBK"/>
      <w:sz w:val="28"/>
    </w:rPr>
  </w:style>
  <w:style w:type="paragraph" w:customStyle="1" w:styleId="7">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8">
    <w:name w:val="单元格样式1"/>
    <w:basedOn w:val="1"/>
    <w:qFormat/>
    <w:uiPriority w:val="99"/>
    <w:pPr>
      <w:jc w:val="center"/>
    </w:pPr>
    <w:rPr>
      <w:rFonts w:ascii="方正书宋_GBK" w:hAnsi="方正书宋_GBK" w:eastAsia="方正书宋_GBK" w:cs="方正书宋_GBK"/>
      <w:b/>
      <w:sz w:val="21"/>
    </w:rPr>
  </w:style>
  <w:style w:type="paragraph" w:customStyle="1" w:styleId="9">
    <w:name w:val="单元格样式2"/>
    <w:basedOn w:val="1"/>
    <w:qFormat/>
    <w:uiPriority w:val="99"/>
    <w:rPr>
      <w:rFonts w:ascii="方正书宋_GBK" w:hAnsi="方正书宋_GBK" w:eastAsia="方正书宋_GBK" w:cs="方正书宋_GBK"/>
      <w:sz w:val="21"/>
    </w:rPr>
  </w:style>
  <w:style w:type="paragraph" w:customStyle="1" w:styleId="10">
    <w:name w:val="单元格样式3"/>
    <w:basedOn w:val="1"/>
    <w:qFormat/>
    <w:uiPriority w:val="99"/>
    <w:pPr>
      <w:jc w:val="center"/>
    </w:pPr>
    <w:rPr>
      <w:rFonts w:ascii="方正书宋_GBK" w:hAnsi="方正书宋_GBK" w:eastAsia="方正书宋_GBK" w:cs="方正书宋_GBK"/>
      <w:sz w:val="21"/>
    </w:rPr>
  </w:style>
  <w:style w:type="paragraph" w:customStyle="1" w:styleId="11">
    <w:name w:val="插入文本样式-插入总体目标文件"/>
    <w:basedOn w:val="1"/>
    <w:qFormat/>
    <w:uiPriority w:val="99"/>
    <w:pPr>
      <w:spacing w:line="500" w:lineRule="exact"/>
      <w:ind w:firstLine="560"/>
    </w:pPr>
    <w:rPr>
      <w:rFonts w:eastAsia="方正仿宋_GBK"/>
      <w:sz w:val="28"/>
    </w:rPr>
  </w:style>
  <w:style w:type="paragraph" w:customStyle="1" w:styleId="12">
    <w:name w:val="插入文本样式-插入职责分类绩效目标文件"/>
    <w:basedOn w:val="1"/>
    <w:qFormat/>
    <w:uiPriority w:val="99"/>
    <w:pPr>
      <w:spacing w:line="500" w:lineRule="exact"/>
      <w:ind w:firstLine="560"/>
    </w:pPr>
    <w:rPr>
      <w:rFonts w:eastAsia="方正仿宋_GBK"/>
      <w:sz w:val="28"/>
    </w:rPr>
  </w:style>
  <w:style w:type="character" w:customStyle="1" w:styleId="13">
    <w:name w:val="font41"/>
    <w:basedOn w:val="5"/>
    <w:uiPriority w:val="0"/>
    <w:rPr>
      <w:rFonts w:hint="eastAsia" w:ascii="宋体" w:hAnsi="宋体" w:eastAsia="宋体" w:cs="宋体"/>
      <w:color w:val="000000"/>
      <w:sz w:val="16"/>
      <w:szCs w:val="16"/>
      <w:u w:val="none"/>
    </w:rPr>
  </w:style>
  <w:style w:type="character" w:customStyle="1" w:styleId="14">
    <w:name w:val="font71"/>
    <w:basedOn w:val="5"/>
    <w:uiPriority w:val="0"/>
    <w:rPr>
      <w:rFonts w:ascii="Calibri" w:hAnsi="Calibri" w:cs="Calibri"/>
      <w:color w:val="000000"/>
      <w:sz w:val="16"/>
      <w:szCs w:val="16"/>
      <w:u w:val="none"/>
    </w:rPr>
  </w:style>
  <w:style w:type="character" w:customStyle="1" w:styleId="15">
    <w:name w:val="font51"/>
    <w:basedOn w:val="5"/>
    <w:qFormat/>
    <w:uiPriority w:val="0"/>
    <w:rPr>
      <w:rFonts w:hint="eastAsia" w:ascii="宋体" w:hAnsi="宋体" w:eastAsia="宋体" w:cs="宋体"/>
      <w:color w:val="000000"/>
      <w:sz w:val="16"/>
      <w:szCs w:val="16"/>
      <w:u w:val="none"/>
    </w:rPr>
  </w:style>
  <w:style w:type="character" w:customStyle="1" w:styleId="16">
    <w:name w:val="font61"/>
    <w:basedOn w:val="5"/>
    <w:qFormat/>
    <w:uiPriority w:val="0"/>
    <w:rPr>
      <w:rFonts w:hint="eastAsia" w:ascii="宋体" w:hAnsi="宋体" w:eastAsia="宋体" w:cs="宋体"/>
      <w:color w:val="000000"/>
      <w:sz w:val="16"/>
      <w:szCs w:val="16"/>
      <w:u w:val="none"/>
    </w:rPr>
  </w:style>
  <w:style w:type="paragraph" w:customStyle="1" w:styleId="17">
    <w:name w:val="Normal Indent1"/>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3</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86131</cp:lastModifiedBy>
  <cp:lastPrinted>2022-01-19T07:24:00Z</cp:lastPrinted>
  <dcterms:modified xsi:type="dcterms:W3CDTF">2023-09-27T06:27:48Z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