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石家庄市鹿泉区人民检察院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部门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石家庄市鹿泉区人民检察院</w:t>
      </w:r>
      <w:r>
        <w:rPr>
          <w:rFonts w:hint="eastAsia" w:ascii="仿宋" w:hAnsi="仿宋" w:eastAsia="仿宋"/>
          <w:sz w:val="32"/>
          <w:szCs w:val="32"/>
          <w:lang w:eastAsia="zh-CN"/>
        </w:rPr>
        <w:t>部门对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、深入贯彻习近平新时代中国特色社会主义思想，深入贯彻党的路线方针和决策部署，坚持党对检察工作的绝对领导，坚决维护习近平总书记的核心地位，坚决维护党中央权威和集中统一领导。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、依法向区人民代表大会及其常务委员会提出议案。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、贯彻落实检察工作方针、总体规划，研究制定检察工作计划并组织实施。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、依照法律规定对直接受理的刑事案件行使侦查权。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5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、负责对管辖的各类刑事案件依法审查批准逮捕、决定逮捕、提起公诉。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、负责应由本院承办的刑事、民事、行政诉讼活动及刑事、民事、行政判决和裁定等生效法律文书执行的法律监督工作。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7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、负责应由本院承办的提起公益诉讼工作。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8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、依法受理核准追诉案件，审查是否上报。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9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、负责应由本院承办的对看守所、社区矫正等执法活动的法律监督工作。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10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、受理向本院的控告申诉。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11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、组织检察工作中法律政策具体应用问题的研究；组织开展检察理论研究工作。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12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、负责检察人员思想政治教育和业务培训工作；按照权限管理检察官和其他工作人员。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13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、负责本院检务督察工作。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14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、负责本院检务保障以及检察技术、信息化建设工作。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default" w:ascii="仿宋_GB2312" w:eastAsia="仿宋_GB2312" w:cs="仿宋_GB2312"/>
          <w:kern w:val="0"/>
          <w:sz w:val="32"/>
          <w:szCs w:val="32"/>
          <w:lang w:val="en-US" w:eastAsia="zh-CN" w:bidi="ar-SA"/>
        </w:rPr>
        <w:t>15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 w:bidi="ar-SA"/>
        </w:rPr>
        <w:t>、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完成其他应当由本院负责的工作。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ascii="仿宋_GB2312" w:hAnsi="Times New Roman" w:eastAsia="仿宋_GB2312" w:cs="仿宋_GB2312"/>
          <w:sz w:val="32"/>
          <w:szCs w:val="32"/>
        </w:rPr>
        <w:t>2022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年度财政拨款基本支出</w:t>
      </w:r>
      <w:r>
        <w:rPr>
          <w:rFonts w:hint="default" w:ascii="仿宋_GB2312" w:hAnsi="Times New Roman" w:eastAsia="仿宋_GB2312" w:cs="仿宋_GB2312"/>
          <w:sz w:val="32"/>
          <w:szCs w:val="32"/>
          <w:lang w:val="en-US"/>
        </w:rPr>
        <w:t>1510.06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Times New Roman" w:eastAsia="仿宋_GB2312" w:cs="仿宋_GB2312"/>
          <w:sz w:val="32"/>
          <w:szCs w:val="32"/>
        </w:rPr>
        <w:t>人员经费</w:t>
      </w:r>
      <w:r>
        <w:rPr>
          <w:rFonts w:hint="default" w:ascii="仿宋_GB2312" w:hAnsi="Times New Roman" w:eastAsia="仿宋_GB2312" w:cs="仿宋_GB2312"/>
          <w:sz w:val="32"/>
          <w:szCs w:val="32"/>
          <w:lang w:val="en-US"/>
        </w:rPr>
        <w:t>1232.93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万元，主要包括基本工资、津贴补贴、奖金、机关事业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部门</w:t>
      </w:r>
      <w:r>
        <w:rPr>
          <w:rFonts w:hint="eastAsia" w:ascii="仿宋_GB2312" w:hAnsi="Times New Roman" w:eastAsia="仿宋_GB2312" w:cs="仿宋_GB2312"/>
          <w:sz w:val="32"/>
          <w:szCs w:val="32"/>
        </w:rPr>
        <w:t>基本养老保险缴费、职工基本医疗保险缴费、公务员医疗补助缴费、住房公积金、其他社会保障缴费、离休费、退休费、生活补助支出。公用经费</w:t>
      </w:r>
      <w:r>
        <w:rPr>
          <w:rFonts w:ascii="仿宋_GB2312" w:hAnsi="Times New Roman" w:eastAsia="仿宋_GB2312" w:cs="仿宋_GB2312"/>
          <w:sz w:val="32"/>
          <w:szCs w:val="32"/>
        </w:rPr>
        <w:t xml:space="preserve"> </w:t>
      </w:r>
      <w:r>
        <w:rPr>
          <w:rFonts w:hint="default" w:ascii="仿宋_GB2312" w:hAnsi="Times New Roman" w:eastAsia="仿宋_GB2312" w:cs="仿宋_GB2312"/>
          <w:sz w:val="32"/>
          <w:szCs w:val="32"/>
          <w:lang w:val="en-US"/>
        </w:rPr>
        <w:t>277.12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万元，主要包括办公费、印刷费、水费、邮电费、取暖费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Times New Roman" w:eastAsia="仿宋_GB2312" w:cs="仿宋_GB2312"/>
          <w:sz w:val="32"/>
          <w:szCs w:val="32"/>
        </w:rPr>
        <w:t>会议费、培训费、委托业务费、工会经费、福利费、公务用车运行维护费、其他交通费用、其他商品和服务支出。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部门整体支出绩效目标、指标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一是进一步服务好经济社会发展。充分发挥检察职能作用，将检察工作和服务鹿泉工作大局相结合，主动担责、认真履责、扎实尽责，凝聚社会共识与合力，为鹿泉经济高质量发展贡献检察智慧和检察力量。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二是积极参与扫黑除恶专项斗争。充分发挥批捕、起诉作用，进一步完善涉嫌职务犯罪案件线索发现、移送机制，深挖彻查、坚决打击黑恶势力的“关系网”和“保护伞”。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三是全力维护社会和谐稳定。坚决依法打击严重暴力犯罪、多发性侵财犯罪和利用网络实施的犯罪，积极推进刑事和解、量刑建议等改革，健全检察环节社会矛盾排查化解、执法办案风险评估等机制，健全涉检信访工作长效机制，配合有关部门加强社区矫正人员帮教管理，积极参与社区矫正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我院成立了以主管检察长、办公室、财务人员组成的预算项目绩效运行监控小组，</w:t>
      </w:r>
      <w:r>
        <w:rPr>
          <w:rFonts w:hint="eastAsia" w:ascii="仿宋_GB2312" w:eastAsia="仿宋_GB2312"/>
          <w:sz w:val="32"/>
          <w:szCs w:val="32"/>
        </w:rPr>
        <w:t>对自评工作进行研究和部署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定期对绩效监控情况进行收集、汇总、整理、分析。在绩效监控过程中，对于项目进行较慢、出现绩效目标偏差、发现存在问题的及时进行整改，调整绩效目标，扎实推进绩效监控工作有序开展，提高财政资金使用效益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auto"/>
          <w:sz w:val="32"/>
          <w:szCs w:val="32"/>
        </w:rPr>
        <w:t>三、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color w:val="auto"/>
          <w:sz w:val="32"/>
          <w:szCs w:val="32"/>
        </w:rPr>
        <w:t>绩效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总体绩效目标实现情况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_GB2312"/>
          <w:color w:val="FF0000"/>
          <w:sz w:val="32"/>
          <w:szCs w:val="32"/>
          <w:lang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充分发挥检察职能作用，积极参与扫黑除恶专项斗争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</w:rPr>
        <w:t>充分发挥批捕、起诉作用，进一步完善涉嫌职务犯罪案件线索发现、移送机制，深挖彻查、坚决打击黑恶势力的“关系网”和“保护伞”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</w:rPr>
        <w:t>积极推进刑事和解、量刑建议等改革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分项绩效目标实现情况及指标分析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、办公办案技术综合楼外墙保养维修项目完成情况：根据年初设定的绩效目标，完成对办公办案技术综合楼外墙约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300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平方米维修改造，瓷砖外墙增加保温层与真石漆，楼顶完成防水维修，保障了我部门工作人员人身安全及私产安全以。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、执法业务经费项目完成情况：根据年初设定的绩效目标，保障办案业务费资金支出，持续做优刑事检察，做强民事检察，做实行政检察，做好公益诉讼检察。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、办公楼占地补偿项目完成情况：按照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年度小麦及玉米市场价拨付贺庄村委会、三街村委会占地补偿款。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、检察院检务大厅建设项目完成情况：已完成项目评审工作，并支付尾款。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FF000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、国家赔偿费用项目完成情况：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年度我单位未受理国家赔偿案件，故未发生经费支出。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color w:val="FF000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/>
        </w:rPr>
        <w:t>2022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年度绩效自评项目共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个，其中评价等级为“优”项目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个，评价等级为“良”的项目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个，评价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等级为“一般”项目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  <w:lang w:val="en-US" w:eastAsia="zh-CN"/>
        </w:rPr>
        <w:t>通过整体支出绩效自评发现存在的主要问题有制度不够完善，支出进度较慢。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outlineLvl w:val="9"/>
        <w:rPr>
          <w:rFonts w:hint="default" w:ascii="仿宋" w:hAnsi="仿宋" w:eastAsia="仿宋"/>
          <w:b/>
          <w:bCs/>
          <w:color w:val="FF0000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一是加强制度管理，</w:t>
      </w:r>
      <w:r>
        <w:rPr>
          <w:rFonts w:hint="eastAsia" w:ascii="仿宋" w:hAnsi="仿宋" w:eastAsia="仿宋"/>
          <w:sz w:val="32"/>
          <w:szCs w:val="32"/>
          <w:lang w:eastAsia="zh-CN"/>
        </w:rPr>
        <w:t>将事前评估、目标管理、运行监控、绩效评价、结果应用等各项改革措施，有效融入预算管理的全过程。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二是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积极调整绩效目标，对业务数量较多范围较大的项目，</w:t>
      </w:r>
      <w:r>
        <w:rPr>
          <w:rFonts w:hint="eastAsia" w:ascii="仿宋" w:hAnsi="仿宋" w:eastAsia="仿宋"/>
          <w:sz w:val="32"/>
          <w:szCs w:val="32"/>
          <w:lang w:eastAsia="zh-CN"/>
        </w:rPr>
        <w:t>通过加快履行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支付手续，使其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尽快发挥资金效益。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六、评价工作组人员名单及签字（姓名、工作单位、职务、职称）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A7C3C3"/>
    <w:multiLevelType w:val="singleLevel"/>
    <w:tmpl w:val="88A7C3C3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5B4920"/>
    <w:rsid w:val="007E6C1F"/>
    <w:rsid w:val="00AF566A"/>
    <w:rsid w:val="00B6553A"/>
    <w:rsid w:val="01B104CA"/>
    <w:rsid w:val="02106AB0"/>
    <w:rsid w:val="023F1CAC"/>
    <w:rsid w:val="029B2AF3"/>
    <w:rsid w:val="02B43A28"/>
    <w:rsid w:val="030E7341"/>
    <w:rsid w:val="046F331E"/>
    <w:rsid w:val="05A90AA2"/>
    <w:rsid w:val="05EF2274"/>
    <w:rsid w:val="065611C8"/>
    <w:rsid w:val="07956271"/>
    <w:rsid w:val="07F273B7"/>
    <w:rsid w:val="080F2AB7"/>
    <w:rsid w:val="092E08B3"/>
    <w:rsid w:val="09721397"/>
    <w:rsid w:val="0BB63BED"/>
    <w:rsid w:val="0C781134"/>
    <w:rsid w:val="0CB81E16"/>
    <w:rsid w:val="0E52071B"/>
    <w:rsid w:val="0EB97A43"/>
    <w:rsid w:val="0EBD2122"/>
    <w:rsid w:val="0F214EAE"/>
    <w:rsid w:val="10E83F25"/>
    <w:rsid w:val="11B71E6A"/>
    <w:rsid w:val="1273629C"/>
    <w:rsid w:val="1311239A"/>
    <w:rsid w:val="133B2914"/>
    <w:rsid w:val="16652B3B"/>
    <w:rsid w:val="1689531E"/>
    <w:rsid w:val="18D716F8"/>
    <w:rsid w:val="19372051"/>
    <w:rsid w:val="19506F0E"/>
    <w:rsid w:val="19D23341"/>
    <w:rsid w:val="1A2118C3"/>
    <w:rsid w:val="1AAF0063"/>
    <w:rsid w:val="1AC816E8"/>
    <w:rsid w:val="1B312DED"/>
    <w:rsid w:val="1BE140DE"/>
    <w:rsid w:val="1DC87921"/>
    <w:rsid w:val="1E4B3DEE"/>
    <w:rsid w:val="1F1165FD"/>
    <w:rsid w:val="214C3B99"/>
    <w:rsid w:val="217C066F"/>
    <w:rsid w:val="248C197D"/>
    <w:rsid w:val="2521690F"/>
    <w:rsid w:val="252959AF"/>
    <w:rsid w:val="257C1618"/>
    <w:rsid w:val="277A6671"/>
    <w:rsid w:val="292D35B7"/>
    <w:rsid w:val="29CD390A"/>
    <w:rsid w:val="2A594280"/>
    <w:rsid w:val="2A7863B7"/>
    <w:rsid w:val="2B7D380A"/>
    <w:rsid w:val="2BD67372"/>
    <w:rsid w:val="2D0274FE"/>
    <w:rsid w:val="2D69768D"/>
    <w:rsid w:val="2D6C4A5A"/>
    <w:rsid w:val="2D952344"/>
    <w:rsid w:val="2EA0774F"/>
    <w:rsid w:val="308D2152"/>
    <w:rsid w:val="312C124D"/>
    <w:rsid w:val="3176227D"/>
    <w:rsid w:val="318C0217"/>
    <w:rsid w:val="31C02BC5"/>
    <w:rsid w:val="32DE7880"/>
    <w:rsid w:val="33521D7C"/>
    <w:rsid w:val="33EB6CFF"/>
    <w:rsid w:val="340956D3"/>
    <w:rsid w:val="34471280"/>
    <w:rsid w:val="34E4448C"/>
    <w:rsid w:val="34F41E97"/>
    <w:rsid w:val="35A12947"/>
    <w:rsid w:val="365F44AF"/>
    <w:rsid w:val="367514C8"/>
    <w:rsid w:val="37387040"/>
    <w:rsid w:val="376F0BAE"/>
    <w:rsid w:val="381C7C9E"/>
    <w:rsid w:val="39390FD0"/>
    <w:rsid w:val="3997579D"/>
    <w:rsid w:val="3ABB0399"/>
    <w:rsid w:val="3B1510B6"/>
    <w:rsid w:val="3B4229FA"/>
    <w:rsid w:val="3B625C0A"/>
    <w:rsid w:val="3BA02E0F"/>
    <w:rsid w:val="3CEE1963"/>
    <w:rsid w:val="40B35BFB"/>
    <w:rsid w:val="40C428A0"/>
    <w:rsid w:val="41547CBB"/>
    <w:rsid w:val="41D62938"/>
    <w:rsid w:val="43493307"/>
    <w:rsid w:val="44B628CE"/>
    <w:rsid w:val="44BE7533"/>
    <w:rsid w:val="46606356"/>
    <w:rsid w:val="47840B29"/>
    <w:rsid w:val="48882F4F"/>
    <w:rsid w:val="49CC589B"/>
    <w:rsid w:val="4A25117F"/>
    <w:rsid w:val="4B423704"/>
    <w:rsid w:val="4B854484"/>
    <w:rsid w:val="4BD43D3E"/>
    <w:rsid w:val="4C9C27FE"/>
    <w:rsid w:val="4D197523"/>
    <w:rsid w:val="4EA63BD4"/>
    <w:rsid w:val="50713446"/>
    <w:rsid w:val="5094460D"/>
    <w:rsid w:val="51044E5A"/>
    <w:rsid w:val="512260B4"/>
    <w:rsid w:val="529A4AFB"/>
    <w:rsid w:val="52BD6ACB"/>
    <w:rsid w:val="54CD685C"/>
    <w:rsid w:val="55537534"/>
    <w:rsid w:val="55C80E52"/>
    <w:rsid w:val="561A74F1"/>
    <w:rsid w:val="597244E8"/>
    <w:rsid w:val="598159D0"/>
    <w:rsid w:val="59F21EE6"/>
    <w:rsid w:val="5A3C0E9E"/>
    <w:rsid w:val="5BFA1DAF"/>
    <w:rsid w:val="5D897DB2"/>
    <w:rsid w:val="5DD6076B"/>
    <w:rsid w:val="5EB71C30"/>
    <w:rsid w:val="60C61A62"/>
    <w:rsid w:val="614A56E1"/>
    <w:rsid w:val="6428404C"/>
    <w:rsid w:val="65755C17"/>
    <w:rsid w:val="65B919C6"/>
    <w:rsid w:val="669009C6"/>
    <w:rsid w:val="66AF0CE5"/>
    <w:rsid w:val="6A7D3C54"/>
    <w:rsid w:val="6AC537CF"/>
    <w:rsid w:val="6B924681"/>
    <w:rsid w:val="6BB8240B"/>
    <w:rsid w:val="6BE61CB0"/>
    <w:rsid w:val="6C5B501C"/>
    <w:rsid w:val="6C695BF0"/>
    <w:rsid w:val="6C863646"/>
    <w:rsid w:val="6CEA1F69"/>
    <w:rsid w:val="6D3A0161"/>
    <w:rsid w:val="6E5B14A6"/>
    <w:rsid w:val="6F740BC9"/>
    <w:rsid w:val="6F8D4160"/>
    <w:rsid w:val="70AF5ADC"/>
    <w:rsid w:val="711B255E"/>
    <w:rsid w:val="712E639E"/>
    <w:rsid w:val="716C1033"/>
    <w:rsid w:val="727D024B"/>
    <w:rsid w:val="7317199D"/>
    <w:rsid w:val="735D00EE"/>
    <w:rsid w:val="748130A1"/>
    <w:rsid w:val="74D715AB"/>
    <w:rsid w:val="75777019"/>
    <w:rsid w:val="76DA1AE1"/>
    <w:rsid w:val="78166CD2"/>
    <w:rsid w:val="78EC20BB"/>
    <w:rsid w:val="7BB51E06"/>
    <w:rsid w:val="7BDC01BF"/>
    <w:rsid w:val="7BDC5E2B"/>
    <w:rsid w:val="7C387F7C"/>
    <w:rsid w:val="7CE07032"/>
    <w:rsid w:val="7DCE0984"/>
    <w:rsid w:val="7E7949E6"/>
    <w:rsid w:val="7FAE3173"/>
    <w:rsid w:val="7FB83B83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5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</cp:lastModifiedBy>
  <cp:lastPrinted>2022-01-19T07:24:00Z</cp:lastPrinted>
  <dcterms:modified xsi:type="dcterms:W3CDTF">2023-09-28T08:50:25Z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B9C3F54B774341A6BFBD419267C7EEAA</vt:lpwstr>
  </property>
</Properties>
</file>