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hint="eastAsia" w:ascii="方正小标宋简体" w:hAnsi="方正小标宋简体" w:eastAsia="方正小标宋简体" w:cs="方正小标宋简体"/>
          <w:b/>
          <w:bCs/>
          <w:sz w:val="44"/>
          <w:szCs w:val="44"/>
          <w:lang w:eastAsia="zh-CN"/>
        </w:rPr>
      </w:pPr>
      <w:r>
        <w:rPr>
          <w:rFonts w:hint="eastAsia" w:ascii="方正小标宋简体" w:hAnsi="方正小标宋简体" w:eastAsia="方正小标宋简体" w:cs="方正小标宋简体"/>
          <w:b/>
          <w:bCs/>
          <w:sz w:val="44"/>
          <w:szCs w:val="44"/>
          <w:lang w:eastAsia="zh-CN"/>
        </w:rPr>
        <w:t>石家庄市鹿泉区卫生健康局</w:t>
      </w:r>
    </w:p>
    <w:p>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lang w:eastAsia="zh-CN"/>
        </w:rPr>
        <w:t>部门</w:t>
      </w:r>
      <w:r>
        <w:rPr>
          <w:rFonts w:hint="eastAsia" w:ascii="方正小标宋简体" w:hAnsi="方正小标宋简体" w:eastAsia="方正小标宋简体" w:cs="方正小标宋简体"/>
          <w:b/>
          <w:bCs/>
          <w:sz w:val="44"/>
          <w:szCs w:val="44"/>
          <w:lang w:val="en-US" w:eastAsia="zh-CN"/>
        </w:rPr>
        <w:t>2022年度整体支出绩效</w:t>
      </w:r>
      <w:r>
        <w:rPr>
          <w:rFonts w:hint="eastAsia" w:ascii="方正小标宋简体" w:hAnsi="方正小标宋简体" w:eastAsia="方正小标宋简体" w:cs="方正小标宋简体"/>
          <w:b/>
          <w:bCs/>
          <w:sz w:val="44"/>
          <w:szCs w:val="44"/>
        </w:rPr>
        <w:t>自评报告</w:t>
      </w:r>
    </w:p>
    <w:p>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贯彻落实</w:t>
      </w:r>
      <w:r>
        <w:rPr>
          <w:rFonts w:hint="eastAsia" w:ascii="仿宋" w:hAnsi="仿宋" w:eastAsia="仿宋" w:cs="仿宋"/>
          <w:sz w:val="32"/>
          <w:szCs w:val="32"/>
          <w:lang w:eastAsia="zh-CN"/>
        </w:rPr>
        <w:t>石家庄市鹿泉区人民政府《关于全面实施预算绩效管理的实施意见》（鹿发﹝</w:t>
      </w:r>
      <w:r>
        <w:rPr>
          <w:rFonts w:hint="eastAsia" w:ascii="仿宋" w:hAnsi="仿宋" w:eastAsia="仿宋" w:cs="仿宋"/>
          <w:sz w:val="32"/>
          <w:szCs w:val="32"/>
          <w:lang w:val="en-US" w:eastAsia="zh-CN"/>
        </w:rPr>
        <w:t>2019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8号</w:t>
      </w:r>
      <w:r>
        <w:rPr>
          <w:rFonts w:hint="eastAsia" w:ascii="仿宋" w:hAnsi="仿宋" w:eastAsia="仿宋" w:cs="仿宋"/>
          <w:sz w:val="32"/>
          <w:szCs w:val="32"/>
          <w:lang w:eastAsia="zh-CN"/>
        </w:rPr>
        <w:t>）</w:t>
      </w:r>
      <w:r>
        <w:rPr>
          <w:rFonts w:hint="eastAsia" w:ascii="仿宋" w:hAnsi="仿宋" w:eastAsia="仿宋" w:cs="仿宋"/>
          <w:sz w:val="32"/>
          <w:szCs w:val="32"/>
        </w:rPr>
        <w:t>文件精神，遵循“科学性、规范性、客观性和公正性”的原则，</w:t>
      </w:r>
      <w:r>
        <w:rPr>
          <w:rFonts w:hint="eastAsia" w:ascii="仿宋" w:hAnsi="仿宋" w:eastAsia="仿宋" w:cs="仿宋"/>
          <w:sz w:val="32"/>
          <w:szCs w:val="32"/>
          <w:lang w:eastAsia="zh-CN"/>
        </w:rPr>
        <w:t>卫健局部门对</w:t>
      </w:r>
      <w:r>
        <w:rPr>
          <w:rFonts w:hint="eastAsia" w:ascii="仿宋" w:hAnsi="仿宋" w:eastAsia="仿宋" w:cs="仿宋"/>
          <w:sz w:val="32"/>
          <w:szCs w:val="32"/>
          <w:lang w:val="en-US" w:eastAsia="zh-CN"/>
        </w:rPr>
        <w:t>2022年</w:t>
      </w:r>
      <w:r>
        <w:rPr>
          <w:rFonts w:hint="eastAsia" w:ascii="仿宋" w:hAnsi="仿宋" w:eastAsia="仿宋" w:cs="仿宋"/>
          <w:sz w:val="32"/>
          <w:szCs w:val="32"/>
          <w:lang w:eastAsia="zh-CN"/>
        </w:rPr>
        <w:t>整体支出情况</w:t>
      </w:r>
      <w:r>
        <w:rPr>
          <w:rFonts w:hint="eastAsia" w:ascii="仿宋" w:hAnsi="仿宋" w:eastAsia="仿宋" w:cs="仿宋"/>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textAlignment w:val="auto"/>
        <w:outlineLvl w:val="9"/>
        <w:rPr>
          <w:rFonts w:hint="eastAsia" w:ascii="方正仿宋_GBK" w:hAnsi="方正仿宋_GBK" w:eastAsia="方正仿宋_GBK" w:cs="方正仿宋_GBK"/>
          <w:b/>
          <w:bCs/>
          <w:sz w:val="32"/>
          <w:szCs w:val="32"/>
        </w:rPr>
      </w:pPr>
      <w:r>
        <w:rPr>
          <w:rFonts w:hint="eastAsia" w:ascii="方正仿宋_GBK" w:hAnsi="方正仿宋_GBK" w:eastAsia="方正仿宋_GBK" w:cs="方正仿宋_GBK"/>
          <w:sz w:val="32"/>
          <w:szCs w:val="32"/>
        </w:rPr>
        <w:t xml:space="preserve">   </w:t>
      </w:r>
      <w:r>
        <w:rPr>
          <w:rFonts w:hint="eastAsia" w:ascii="黑体" w:hAnsi="黑体" w:eastAsia="黑体"/>
          <w:sz w:val="32"/>
          <w:szCs w:val="32"/>
        </w:rPr>
        <w:t xml:space="preserve"> 一、</w:t>
      </w:r>
      <w:r>
        <w:rPr>
          <w:rFonts w:hint="eastAsia" w:ascii="黑体" w:hAnsi="黑体" w:eastAsia="黑体"/>
          <w:sz w:val="32"/>
          <w:szCs w:val="32"/>
          <w:lang w:eastAsia="zh-CN"/>
        </w:rPr>
        <w:t>部门</w:t>
      </w:r>
      <w:r>
        <w:rPr>
          <w:rFonts w:hint="eastAsia" w:ascii="黑体" w:hAnsi="黑体" w:eastAsia="黑体"/>
          <w:sz w:val="32"/>
          <w:szCs w:val="32"/>
        </w:rPr>
        <w:t>基本情况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（一）</w:t>
      </w:r>
      <w:r>
        <w:rPr>
          <w:rFonts w:hint="eastAsia" w:ascii="仿宋" w:hAnsi="仿宋" w:eastAsia="仿宋" w:cs="仿宋"/>
          <w:b/>
          <w:bCs/>
          <w:sz w:val="32"/>
          <w:szCs w:val="32"/>
          <w:lang w:eastAsia="zh-CN"/>
        </w:rPr>
        <w:t>部门</w:t>
      </w:r>
      <w:r>
        <w:rPr>
          <w:rFonts w:hint="eastAsia" w:ascii="仿宋" w:hAnsi="仿宋" w:eastAsia="仿宋" w:cs="仿宋"/>
          <w:b/>
          <w:bCs/>
          <w:sz w:val="32"/>
          <w:szCs w:val="32"/>
        </w:rPr>
        <w:t>概况</w:t>
      </w:r>
    </w:p>
    <w:p>
      <w:pPr>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 w:hAnsi="仿宋" w:eastAsia="仿宋" w:cs="仿宋"/>
          <w:color w:val="auto"/>
          <w:kern w:val="0"/>
          <w:sz w:val="32"/>
          <w:szCs w:val="32"/>
          <w:highlight w:val="none"/>
        </w:rPr>
      </w:pPr>
      <w:r>
        <w:rPr>
          <w:rFonts w:hint="eastAsia" w:ascii="仿宋" w:hAnsi="仿宋" w:eastAsia="仿宋" w:cs="仿宋"/>
          <w:kern w:val="0"/>
          <w:sz w:val="32"/>
          <w:szCs w:val="32"/>
          <w:highlight w:val="none"/>
        </w:rPr>
        <w:t>贯彻落实党中央和省、市、区委关于卫生健康工作的方针政策和决策部署，坚持和加强党对卫生健康工作的集中统一领导。主要职责是：</w:t>
      </w:r>
      <w:r>
        <w:rPr>
          <w:rFonts w:hint="eastAsia" w:ascii="仿宋" w:hAnsi="仿宋" w:eastAsia="仿宋" w:cs="仿宋"/>
          <w:kern w:val="0"/>
          <w:sz w:val="32"/>
          <w:szCs w:val="32"/>
          <w:highlight w:val="none"/>
          <w:lang w:eastAsia="zh-CN"/>
        </w:rPr>
        <w:t>（</w:t>
      </w:r>
      <w:r>
        <w:rPr>
          <w:rFonts w:hint="eastAsia" w:ascii="仿宋" w:hAnsi="仿宋" w:eastAsia="仿宋" w:cs="仿宋"/>
          <w:kern w:val="0"/>
          <w:sz w:val="32"/>
          <w:szCs w:val="32"/>
          <w:highlight w:val="none"/>
          <w:lang w:val="en-US" w:eastAsia="zh-CN"/>
        </w:rPr>
        <w:t>1</w:t>
      </w:r>
      <w:r>
        <w:rPr>
          <w:rFonts w:hint="eastAsia" w:ascii="仿宋" w:hAnsi="仿宋" w:eastAsia="仿宋" w:cs="仿宋"/>
          <w:kern w:val="0"/>
          <w:sz w:val="32"/>
          <w:szCs w:val="32"/>
          <w:highlight w:val="none"/>
          <w:lang w:eastAsia="zh-CN"/>
        </w:rPr>
        <w:t>）</w:t>
      </w:r>
      <w:r>
        <w:rPr>
          <w:rFonts w:hint="eastAsia" w:ascii="仿宋" w:hAnsi="仿宋" w:eastAsia="仿宋" w:cs="仿宋"/>
          <w:kern w:val="0"/>
          <w:sz w:val="32"/>
          <w:szCs w:val="32"/>
          <w:highlight w:val="none"/>
        </w:rPr>
        <w:t>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r>
        <w:rPr>
          <w:rFonts w:hint="eastAsia" w:ascii="仿宋" w:hAnsi="仿宋" w:eastAsia="仿宋" w:cs="仿宋"/>
          <w:kern w:val="0"/>
          <w:sz w:val="32"/>
          <w:szCs w:val="32"/>
          <w:highlight w:val="none"/>
          <w:lang w:val="en-US" w:eastAsia="zh-CN"/>
        </w:rPr>
        <w:t>2</w:t>
      </w:r>
      <w:r>
        <w:rPr>
          <w:rFonts w:hint="eastAsia" w:ascii="仿宋" w:hAnsi="仿宋" w:eastAsia="仿宋" w:cs="仿宋"/>
          <w:kern w:val="0"/>
          <w:sz w:val="32"/>
          <w:szCs w:val="32"/>
          <w:highlight w:val="none"/>
        </w:rPr>
        <w:t>）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w:t>
      </w:r>
      <w:r>
        <w:rPr>
          <w:rFonts w:hint="eastAsia" w:ascii="仿宋" w:hAnsi="仿宋" w:eastAsia="仿宋" w:cs="仿宋"/>
          <w:kern w:val="0"/>
          <w:sz w:val="32"/>
          <w:szCs w:val="32"/>
          <w:highlight w:val="none"/>
          <w:lang w:eastAsia="zh-CN"/>
        </w:rPr>
        <w:t>措施</w:t>
      </w:r>
      <w:r>
        <w:rPr>
          <w:rFonts w:hint="eastAsia" w:ascii="仿宋" w:hAnsi="仿宋" w:eastAsia="仿宋" w:cs="仿宋"/>
          <w:kern w:val="0"/>
          <w:sz w:val="32"/>
          <w:szCs w:val="32"/>
          <w:highlight w:val="none"/>
        </w:rPr>
        <w:t>，提出医疗服务和药品价格政策的建议。（</w:t>
      </w:r>
      <w:r>
        <w:rPr>
          <w:rFonts w:hint="eastAsia" w:ascii="仿宋" w:hAnsi="仿宋" w:eastAsia="仿宋" w:cs="仿宋"/>
          <w:kern w:val="0"/>
          <w:sz w:val="32"/>
          <w:szCs w:val="32"/>
          <w:highlight w:val="none"/>
          <w:lang w:val="en-US" w:eastAsia="zh-CN"/>
        </w:rPr>
        <w:t>3</w:t>
      </w:r>
      <w:r>
        <w:rPr>
          <w:rFonts w:hint="eastAsia" w:ascii="仿宋" w:hAnsi="仿宋" w:eastAsia="仿宋" w:cs="仿宋"/>
          <w:kern w:val="0"/>
          <w:sz w:val="32"/>
          <w:szCs w:val="32"/>
          <w:highlight w:val="none"/>
        </w:rPr>
        <w:t>）制定并组织落实疾病预防控制规划、国家免疫规划以及危害人民健康的公共卫生问题的干预措施。负责卫生应急工作，组织指导突发公共卫生事件的预防控制和各类突发公共事件的医疗卫生救援。（</w:t>
      </w:r>
      <w:r>
        <w:rPr>
          <w:rFonts w:hint="eastAsia" w:ascii="仿宋" w:hAnsi="仿宋" w:eastAsia="仿宋" w:cs="仿宋"/>
          <w:kern w:val="0"/>
          <w:sz w:val="32"/>
          <w:szCs w:val="32"/>
          <w:highlight w:val="none"/>
          <w:lang w:val="en-US" w:eastAsia="zh-CN"/>
        </w:rPr>
        <w:t>4</w:t>
      </w:r>
      <w:r>
        <w:rPr>
          <w:rFonts w:hint="eastAsia" w:ascii="仿宋" w:hAnsi="仿宋" w:eastAsia="仿宋" w:cs="仿宋"/>
          <w:kern w:val="0"/>
          <w:sz w:val="32"/>
          <w:szCs w:val="32"/>
          <w:highlight w:val="none"/>
        </w:rPr>
        <w:t>）组织拟订并协调落实应对人口老龄化政策措施，负责推进老年健康服务体系建设和医养结合工作。（</w:t>
      </w:r>
      <w:r>
        <w:rPr>
          <w:rFonts w:hint="eastAsia" w:ascii="仿宋" w:hAnsi="仿宋" w:eastAsia="仿宋" w:cs="仿宋"/>
          <w:kern w:val="0"/>
          <w:sz w:val="32"/>
          <w:szCs w:val="32"/>
          <w:highlight w:val="none"/>
          <w:lang w:val="en-US" w:eastAsia="zh-CN"/>
        </w:rPr>
        <w:t>5</w:t>
      </w:r>
      <w:r>
        <w:rPr>
          <w:rFonts w:hint="eastAsia" w:ascii="仿宋" w:hAnsi="仿宋" w:eastAsia="仿宋" w:cs="仿宋"/>
          <w:kern w:val="0"/>
          <w:sz w:val="32"/>
          <w:szCs w:val="32"/>
          <w:highlight w:val="none"/>
        </w:rPr>
        <w:t>）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r>
        <w:rPr>
          <w:rFonts w:hint="eastAsia" w:ascii="仿宋" w:hAnsi="仿宋" w:eastAsia="仿宋" w:cs="仿宋"/>
          <w:kern w:val="0"/>
          <w:sz w:val="32"/>
          <w:szCs w:val="32"/>
          <w:highlight w:val="none"/>
          <w:lang w:val="en-US" w:eastAsia="zh-CN"/>
        </w:rPr>
        <w:t>6</w:t>
      </w:r>
      <w:r>
        <w:rPr>
          <w:rFonts w:hint="eastAsia" w:ascii="仿宋" w:hAnsi="仿宋" w:eastAsia="仿宋" w:cs="仿宋"/>
          <w:kern w:val="0"/>
          <w:sz w:val="32"/>
          <w:szCs w:val="32"/>
          <w:highlight w:val="none"/>
        </w:rPr>
        <w:t>）负责职责范围内的职业卫生、放射卫生、环境卫生、学校卫生、公共场所卫生、饮用水卫生等公共卫生的监督管理，负责传染病防治监督，健全卫生健康综合监督体系。牵头《烟草控制框架公约》履约工作。（</w:t>
      </w:r>
      <w:r>
        <w:rPr>
          <w:rFonts w:hint="eastAsia" w:ascii="仿宋" w:hAnsi="仿宋" w:eastAsia="仿宋" w:cs="仿宋"/>
          <w:kern w:val="0"/>
          <w:sz w:val="32"/>
          <w:szCs w:val="32"/>
          <w:highlight w:val="none"/>
          <w:lang w:val="en-US" w:eastAsia="zh-CN"/>
        </w:rPr>
        <w:t>7</w:t>
      </w:r>
      <w:r>
        <w:rPr>
          <w:rFonts w:hint="eastAsia" w:ascii="仿宋" w:hAnsi="仿宋" w:eastAsia="仿宋" w:cs="仿宋"/>
          <w:kern w:val="0"/>
          <w:sz w:val="32"/>
          <w:szCs w:val="32"/>
          <w:highlight w:val="none"/>
        </w:rPr>
        <w:t>）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r>
        <w:rPr>
          <w:rFonts w:hint="eastAsia" w:ascii="仿宋" w:hAnsi="仿宋" w:eastAsia="仿宋" w:cs="仿宋"/>
          <w:kern w:val="0"/>
          <w:sz w:val="32"/>
          <w:szCs w:val="32"/>
          <w:highlight w:val="none"/>
          <w:lang w:val="en-US" w:eastAsia="zh-CN"/>
        </w:rPr>
        <w:t>8</w:t>
      </w:r>
      <w:r>
        <w:rPr>
          <w:rFonts w:hint="eastAsia" w:ascii="仿宋" w:hAnsi="仿宋" w:eastAsia="仿宋" w:cs="仿宋"/>
          <w:kern w:val="0"/>
          <w:sz w:val="32"/>
          <w:szCs w:val="32"/>
          <w:highlight w:val="none"/>
        </w:rPr>
        <w:t>）负责计划生育管理和服务工作，开展人口监测预警，研究提出人口与家庭发展相关政策</w:t>
      </w:r>
      <w:r>
        <w:rPr>
          <w:rFonts w:hint="eastAsia" w:ascii="仿宋" w:hAnsi="仿宋" w:eastAsia="仿宋" w:cs="仿宋"/>
          <w:color w:val="auto"/>
          <w:kern w:val="0"/>
          <w:sz w:val="32"/>
          <w:szCs w:val="32"/>
          <w:highlight w:val="none"/>
        </w:rPr>
        <w:t>建议，落实计划生育政策。（</w:t>
      </w:r>
      <w:r>
        <w:rPr>
          <w:rFonts w:hint="eastAsia" w:ascii="仿宋" w:hAnsi="仿宋" w:eastAsia="仿宋" w:cs="仿宋"/>
          <w:color w:val="auto"/>
          <w:kern w:val="0"/>
          <w:sz w:val="32"/>
          <w:szCs w:val="32"/>
          <w:highlight w:val="none"/>
          <w:lang w:val="en-US" w:eastAsia="zh-CN"/>
        </w:rPr>
        <w:t>9</w:t>
      </w:r>
      <w:r>
        <w:rPr>
          <w:rFonts w:hint="eastAsia" w:ascii="仿宋" w:hAnsi="仿宋" w:eastAsia="仿宋" w:cs="仿宋"/>
          <w:color w:val="auto"/>
          <w:kern w:val="0"/>
          <w:sz w:val="32"/>
          <w:szCs w:val="32"/>
          <w:highlight w:val="none"/>
        </w:rPr>
        <w:t>）负责全区卫生健康工作，负责基层医疗卫生、妇幼健康服务体系和全科医生队伍建设。推进卫生健康科技创新发展。（</w:t>
      </w:r>
      <w:r>
        <w:rPr>
          <w:rFonts w:hint="eastAsia" w:ascii="仿宋" w:hAnsi="仿宋" w:eastAsia="仿宋" w:cs="仿宋"/>
          <w:color w:val="auto"/>
          <w:kern w:val="0"/>
          <w:sz w:val="32"/>
          <w:szCs w:val="32"/>
          <w:highlight w:val="none"/>
          <w:lang w:val="en-US" w:eastAsia="zh-CN"/>
        </w:rPr>
        <w:t>10</w:t>
      </w:r>
      <w:r>
        <w:rPr>
          <w:rFonts w:hint="eastAsia" w:ascii="仿宋" w:hAnsi="仿宋" w:eastAsia="仿宋" w:cs="仿宋"/>
          <w:color w:val="auto"/>
          <w:kern w:val="0"/>
          <w:sz w:val="32"/>
          <w:szCs w:val="32"/>
          <w:highlight w:val="none"/>
        </w:rPr>
        <w:t>）拟订中医药中长期发展规划，并纳入卫生健康事业发展总体规划和战略目标。（</w:t>
      </w:r>
      <w:r>
        <w:rPr>
          <w:rFonts w:hint="eastAsia" w:ascii="仿宋" w:hAnsi="仿宋" w:eastAsia="仿宋" w:cs="仿宋"/>
          <w:color w:val="auto"/>
          <w:kern w:val="0"/>
          <w:sz w:val="32"/>
          <w:szCs w:val="32"/>
          <w:highlight w:val="none"/>
          <w:lang w:val="en-US" w:eastAsia="zh-CN"/>
        </w:rPr>
        <w:t>11</w:t>
      </w:r>
      <w:r>
        <w:rPr>
          <w:rFonts w:hint="eastAsia" w:ascii="仿宋" w:hAnsi="仿宋" w:eastAsia="仿宋" w:cs="仿宋"/>
          <w:color w:val="auto"/>
          <w:kern w:val="0"/>
          <w:sz w:val="32"/>
          <w:szCs w:val="32"/>
          <w:highlight w:val="none"/>
        </w:rPr>
        <w:t>）负责区直部门有关干部医疗管理工作，负责重要会议与重大活动的医疗卫生保障工作。</w:t>
      </w:r>
      <w:r>
        <w:rPr>
          <w:rFonts w:hint="eastAsia" w:ascii="仿宋" w:hAnsi="仿宋" w:eastAsia="仿宋" w:cs="仿宋"/>
          <w:color w:val="auto"/>
          <w:kern w:val="0"/>
          <w:sz w:val="32"/>
          <w:szCs w:val="32"/>
          <w:highlight w:val="none"/>
          <w:lang w:eastAsia="zh-CN"/>
        </w:rPr>
        <w:t>（</w:t>
      </w:r>
      <w:r>
        <w:rPr>
          <w:rFonts w:hint="eastAsia" w:ascii="仿宋" w:hAnsi="仿宋" w:eastAsia="仿宋" w:cs="仿宋"/>
          <w:color w:val="auto"/>
          <w:kern w:val="0"/>
          <w:sz w:val="32"/>
          <w:szCs w:val="32"/>
          <w:highlight w:val="none"/>
          <w:lang w:val="en-US" w:eastAsia="zh-CN"/>
        </w:rPr>
        <w:t>12</w:t>
      </w:r>
      <w:r>
        <w:rPr>
          <w:rFonts w:hint="eastAsia" w:ascii="仿宋" w:hAnsi="仿宋" w:eastAsia="仿宋" w:cs="仿宋"/>
          <w:color w:val="auto"/>
          <w:kern w:val="0"/>
          <w:sz w:val="32"/>
          <w:szCs w:val="32"/>
          <w:highlight w:val="none"/>
          <w:lang w:eastAsia="zh-CN"/>
        </w:rPr>
        <w:t>）</w:t>
      </w:r>
      <w:r>
        <w:rPr>
          <w:rFonts w:hint="eastAsia" w:ascii="仿宋" w:hAnsi="仿宋" w:eastAsia="仿宋" w:cs="仿宋"/>
          <w:color w:val="auto"/>
          <w:kern w:val="0"/>
          <w:sz w:val="32"/>
          <w:szCs w:val="32"/>
          <w:highlight w:val="none"/>
        </w:rPr>
        <w:t>承办区委、区政府交办的其他事项。</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人员情况：在编人员</w:t>
      </w:r>
      <w:r>
        <w:rPr>
          <w:rFonts w:hint="eastAsia" w:ascii="仿宋" w:hAnsi="仿宋" w:eastAsia="仿宋" w:cs="仿宋"/>
          <w:color w:val="auto"/>
          <w:sz w:val="32"/>
          <w:szCs w:val="32"/>
          <w:lang w:val="en-US" w:eastAsia="zh-CN"/>
        </w:rPr>
        <w:t>33人。</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资产：截至2022年12月31日，我单位资产总额（账面净值）1580.12万元，负债总额27.10万元，净资产1553.02万元 。</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部门收支预决算情况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right="0" w:rightChars="0" w:firstLine="643" w:firstLineChars="200"/>
        <w:textAlignment w:val="auto"/>
        <w:outlineLvl w:val="9"/>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 xml:space="preserve"> </w:t>
      </w:r>
      <w:r>
        <w:rPr>
          <w:rFonts w:hint="eastAsia" w:ascii="仿宋" w:hAnsi="仿宋" w:eastAsia="仿宋" w:cs="仿宋"/>
          <w:color w:val="auto"/>
          <w:sz w:val="32"/>
          <w:szCs w:val="32"/>
        </w:rPr>
        <w:t>本部门2022年度财政拨款本年收入</w:t>
      </w:r>
      <w:r>
        <w:rPr>
          <w:rFonts w:hint="eastAsia" w:ascii="仿宋" w:hAnsi="仿宋" w:eastAsia="仿宋" w:cs="仿宋"/>
          <w:color w:val="auto"/>
          <w:sz w:val="32"/>
          <w:szCs w:val="32"/>
          <w:lang w:val="en-US" w:eastAsia="zh-CN"/>
        </w:rPr>
        <w:t>24710.84</w:t>
      </w:r>
      <w:r>
        <w:rPr>
          <w:rFonts w:hint="eastAsia" w:ascii="仿宋" w:hAnsi="仿宋" w:eastAsia="仿宋" w:cs="仿宋"/>
          <w:color w:val="auto"/>
          <w:sz w:val="32"/>
          <w:szCs w:val="32"/>
        </w:rPr>
        <w:t>万元，完成年初预算的</w:t>
      </w:r>
      <w:r>
        <w:rPr>
          <w:rFonts w:hint="eastAsia" w:ascii="仿宋" w:hAnsi="仿宋" w:eastAsia="仿宋" w:cs="仿宋"/>
          <w:color w:val="auto"/>
          <w:sz w:val="32"/>
          <w:szCs w:val="32"/>
          <w:lang w:val="en-US" w:eastAsia="zh-CN"/>
        </w:rPr>
        <w:t>115.7</w:t>
      </w:r>
      <w:r>
        <w:rPr>
          <w:rFonts w:hint="eastAsia" w:ascii="仿宋" w:hAnsi="仿宋" w:eastAsia="仿宋" w:cs="仿宋"/>
          <w:color w:val="auto"/>
          <w:sz w:val="32"/>
          <w:szCs w:val="32"/>
        </w:rPr>
        <w:t>%,比年初预算增加</w:t>
      </w:r>
      <w:r>
        <w:rPr>
          <w:rFonts w:hint="eastAsia" w:ascii="仿宋" w:hAnsi="仿宋" w:eastAsia="仿宋" w:cs="仿宋"/>
          <w:color w:val="auto"/>
          <w:sz w:val="32"/>
          <w:szCs w:val="32"/>
          <w:lang w:val="en-US" w:eastAsia="zh-CN"/>
        </w:rPr>
        <w:t>3362.03</w:t>
      </w:r>
      <w:r>
        <w:rPr>
          <w:rFonts w:hint="eastAsia" w:ascii="仿宋" w:hAnsi="仿宋" w:eastAsia="仿宋" w:cs="仿宋"/>
          <w:color w:val="auto"/>
          <w:sz w:val="32"/>
          <w:szCs w:val="32"/>
        </w:rPr>
        <w:t>万元，决算数大于预算数主要原因是</w:t>
      </w:r>
      <w:r>
        <w:rPr>
          <w:rFonts w:hint="eastAsia" w:ascii="仿宋" w:hAnsi="仿宋" w:eastAsia="仿宋" w:cs="仿宋"/>
          <w:color w:val="auto"/>
          <w:sz w:val="32"/>
          <w:szCs w:val="32"/>
          <w:lang w:eastAsia="zh-CN"/>
        </w:rPr>
        <w:t>一是根据疫情防控需求，相关专项费用年中追加，二是我们其他业务年中上级资金下达较多</w:t>
      </w:r>
      <w:r>
        <w:rPr>
          <w:rFonts w:hint="eastAsia" w:ascii="仿宋" w:hAnsi="仿宋" w:eastAsia="仿宋" w:cs="仿宋"/>
          <w:color w:val="auto"/>
          <w:sz w:val="32"/>
          <w:szCs w:val="32"/>
        </w:rPr>
        <w:t>；本年支出</w:t>
      </w:r>
      <w:r>
        <w:rPr>
          <w:rFonts w:hint="eastAsia" w:ascii="仿宋" w:hAnsi="仿宋" w:eastAsia="仿宋" w:cs="仿宋"/>
          <w:color w:val="auto"/>
          <w:sz w:val="32"/>
          <w:szCs w:val="32"/>
          <w:lang w:val="en-US" w:eastAsia="zh-CN"/>
        </w:rPr>
        <w:t>24741.11</w:t>
      </w:r>
      <w:r>
        <w:rPr>
          <w:rFonts w:hint="eastAsia" w:ascii="仿宋" w:hAnsi="仿宋" w:eastAsia="仿宋" w:cs="仿宋"/>
          <w:color w:val="auto"/>
          <w:sz w:val="32"/>
          <w:szCs w:val="32"/>
        </w:rPr>
        <w:t>万元，完成年初预算的</w:t>
      </w:r>
      <w:r>
        <w:rPr>
          <w:rFonts w:hint="eastAsia" w:ascii="仿宋" w:hAnsi="仿宋" w:eastAsia="仿宋" w:cs="仿宋"/>
          <w:color w:val="auto"/>
          <w:sz w:val="32"/>
          <w:szCs w:val="32"/>
          <w:lang w:val="en-US" w:eastAsia="zh-CN"/>
        </w:rPr>
        <w:t>115.9</w:t>
      </w:r>
      <w:r>
        <w:rPr>
          <w:rFonts w:hint="eastAsia" w:ascii="仿宋" w:hAnsi="仿宋" w:eastAsia="仿宋" w:cs="仿宋"/>
          <w:color w:val="auto"/>
          <w:sz w:val="32"/>
          <w:szCs w:val="32"/>
        </w:rPr>
        <w:t>%,比年初预算增加</w:t>
      </w:r>
      <w:r>
        <w:rPr>
          <w:rFonts w:hint="eastAsia" w:ascii="仿宋" w:hAnsi="仿宋" w:eastAsia="仿宋" w:cs="仿宋"/>
          <w:color w:val="auto"/>
          <w:sz w:val="32"/>
          <w:szCs w:val="32"/>
          <w:lang w:val="en-US" w:eastAsia="zh-CN"/>
        </w:rPr>
        <w:t>3392.3</w:t>
      </w:r>
      <w:r>
        <w:rPr>
          <w:rFonts w:hint="eastAsia" w:ascii="仿宋" w:hAnsi="仿宋" w:eastAsia="仿宋" w:cs="仿宋"/>
          <w:color w:val="auto"/>
          <w:sz w:val="32"/>
          <w:szCs w:val="32"/>
        </w:rPr>
        <w:t>万元，决算数大于预算数主要原因是</w:t>
      </w:r>
      <w:r>
        <w:rPr>
          <w:rFonts w:hint="eastAsia" w:ascii="仿宋" w:hAnsi="仿宋" w:eastAsia="仿宋" w:cs="仿宋"/>
          <w:color w:val="auto"/>
          <w:sz w:val="32"/>
          <w:szCs w:val="32"/>
          <w:lang w:eastAsia="zh-CN"/>
        </w:rPr>
        <w:t>支出和收入的增加同步</w:t>
      </w:r>
      <w:r>
        <w:rPr>
          <w:rFonts w:hint="eastAsia" w:ascii="仿宋" w:hAnsi="仿宋" w:eastAsia="仿宋" w:cs="仿宋"/>
          <w:color w:val="auto"/>
          <w:sz w:val="32"/>
          <w:szCs w:val="32"/>
        </w:rPr>
        <w:t>。</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lang w:eastAsia="zh-CN"/>
        </w:rPr>
        <w:t>（三）部门整体支出绩效目标、指标</w:t>
      </w:r>
    </w:p>
    <w:p>
      <w:pPr>
        <w:pStyle w:val="8"/>
        <w:keepNext w:val="0"/>
        <w:keepLines w:val="0"/>
        <w:pageBreakBefore w:val="0"/>
        <w:widowControl w:val="0"/>
        <w:kinsoku/>
        <w:wordWrap/>
        <w:overflowPunct/>
        <w:topLinePunct w:val="0"/>
        <w:autoSpaceDE/>
        <w:autoSpaceDN/>
        <w:bidi w:val="0"/>
        <w:spacing w:line="578" w:lineRule="exact"/>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rPr>
        <w:t>1、继续巩固国家卫生城市涉及的爱国卫生组织管理、禁烟控烟、病媒生物防制等各项牵头工作创建成果。2、推进区中医院主要综合楼扩建项目。3、继续抓好全区基本公共卫生服务。4、落实好计划生育各项奖励扶助政策。5、开展助老健康御险工作，提高群众意外事故处理能力。6、提升医疗质量和服务水平，加强医疗质量安全管理。7、完成12家基层医疗机构远程诊室建设。8、落实三孩生育政策及配套支持措施，加强婴幼儿照护机构建设。9、继续推进优质服务暖民心行动。10、继续加快深化医药卫生综合改革工作。11、巩固国家慢性病综合防控示范区建设成果。12、深入推进全区一体化管理工作，严格落实乡镇卫生院对村卫生室“六统一”管理。13、完善智慧医疗应用。14、开展康复中心服务能力提质工程。15、继续推进出生缺陷干预工程项目，做好孕产妇产前基因免费筛查工作。开展婴幼儿照护服务试点示范工程。加强新生儿先天性心脏病筛查项目。做好出生医学证明的监督管理及辖区0—6岁儿童近视防控工作。16、提升中医药服务能力。17、推进预防接种门诊的提档升级工作。18、为全区14周岁女孩免费接种HPV疫苗。19、提升全区的中医药服务能力。20、深入开展健康石家庄鹿泉行动。21、健全突发公共卫生事件应急管理和救治体系建设。</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keepNext w:val="0"/>
        <w:keepLines w:val="0"/>
        <w:pageBreakBefore w:val="0"/>
        <w:widowControl w:val="0"/>
        <w:kinsoku/>
        <w:wordWrap/>
        <w:overflowPunct/>
        <w:topLinePunct w:val="0"/>
        <w:autoSpaceDE/>
        <w:autoSpaceDN/>
        <w:bidi w:val="0"/>
        <w:spacing w:line="578" w:lineRule="exact"/>
        <w:ind w:left="0" w:leftChars="0" w:right="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 xml:space="preserve">  </w:t>
      </w:r>
      <w:r>
        <w:rPr>
          <w:rFonts w:hint="eastAsia" w:ascii="仿宋" w:hAnsi="仿宋" w:eastAsia="仿宋" w:cs="仿宋"/>
          <w:b/>
          <w:bCs/>
          <w:color w:val="auto"/>
          <w:sz w:val="32"/>
          <w:szCs w:val="32"/>
        </w:rPr>
        <w:t xml:space="preserve">  （一）自评的组织工作</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我部门制定了《鹿泉区卫生健康局绩效管理制度》，成立了绩效管理领导小组；对卫健局局属各单位开展多种形式的绩效管理宣传工作，包括开会、讨论等；按《鹿泉区卫生健康局绩效管理制度》要求各单位按时报送项目执行相关材料、参加会议培训、动态调整完善绩效指标体系等；对我部门中期绩效评估、财政重点监控发现问题要求及时整改到位；按照《石家庄市鹿泉区财政局关于转发石家庄市财政支出事前绩效评估管理办法的通知》（鹿财绩〔2019〕42号）要求，全面开展事前绩效评估工作并提交事前绩效评估报告；按时监控并按时向区财政局报送绩效监控结果。</w:t>
      </w:r>
    </w:p>
    <w:p>
      <w:pPr>
        <w:keepNext w:val="0"/>
        <w:keepLines w:val="0"/>
        <w:pageBreakBefore w:val="0"/>
        <w:widowControl w:val="0"/>
        <w:numPr>
          <w:ilvl w:val="0"/>
          <w:numId w:val="2"/>
        </w:numPr>
        <w:kinsoku/>
        <w:wordWrap/>
        <w:overflowPunct/>
        <w:topLinePunct w:val="0"/>
        <w:autoSpaceDE/>
        <w:autoSpaceDN/>
        <w:bidi w:val="0"/>
        <w:spacing w:line="578" w:lineRule="exact"/>
        <w:ind w:left="642" w:leftChars="0" w:right="0" w:firstLine="0" w:firstLineChars="0"/>
        <w:textAlignment w:val="auto"/>
        <w:outlineLvl w:val="9"/>
        <w:rPr>
          <w:rFonts w:hint="eastAsia" w:ascii="仿宋" w:hAnsi="仿宋" w:eastAsia="仿宋" w:cs="仿宋"/>
          <w:b/>
          <w:bCs/>
          <w:color w:val="auto"/>
          <w:sz w:val="32"/>
          <w:szCs w:val="32"/>
        </w:rPr>
      </w:pPr>
      <w:r>
        <w:rPr>
          <w:rFonts w:hint="eastAsia" w:ascii="仿宋" w:hAnsi="仿宋" w:eastAsia="仿宋" w:cs="仿宋"/>
          <w:b/>
          <w:bCs/>
          <w:color w:val="auto"/>
          <w:sz w:val="32"/>
          <w:szCs w:val="32"/>
        </w:rPr>
        <w:t>自评的方法和过程</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我部门绩效评价本着问题导向、系统评价、科学客观、讲求绩效的原则，采用全面评价和重点评价相结合、现场评价和非现场评价相结合、定性分析与定量分析相结合的方式，运用案卷研究、专家咨询、座谈访谈等方法，对项目决策、过程、产出、效益四方面进行综合评价。</w:t>
      </w:r>
    </w:p>
    <w:p>
      <w:pPr>
        <w:keepNext w:val="0"/>
        <w:keepLines w:val="0"/>
        <w:pageBreakBefore w:val="0"/>
        <w:widowControl w:val="0"/>
        <w:kinsoku/>
        <w:wordWrap/>
        <w:overflowPunct/>
        <w:topLinePunct w:val="0"/>
        <w:autoSpaceDE/>
        <w:autoSpaceDN/>
        <w:bidi w:val="0"/>
        <w:spacing w:line="578" w:lineRule="exact"/>
        <w:ind w:left="0" w:leftChars="0" w:right="0"/>
        <w:textAlignment w:val="auto"/>
        <w:outlineLvl w:val="9"/>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rPr>
        <w:t xml:space="preserve">    </w:t>
      </w:r>
      <w:r>
        <w:rPr>
          <w:rFonts w:hint="eastAsia" w:ascii="方正黑体_GBK" w:hAnsi="方正黑体_GBK" w:eastAsia="方正黑体_GBK" w:cs="方正黑体_GBK"/>
          <w:b w:val="0"/>
          <w:bCs w:val="0"/>
          <w:color w:val="auto"/>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keepNext w:val="0"/>
        <w:keepLines w:val="0"/>
        <w:pageBreakBefore w:val="0"/>
        <w:widowControl w:val="0"/>
        <w:numPr>
          <w:ilvl w:val="0"/>
          <w:numId w:val="3"/>
        </w:numPr>
        <w:kinsoku/>
        <w:wordWrap/>
        <w:overflowPunct/>
        <w:topLinePunct w:val="0"/>
        <w:autoSpaceDE/>
        <w:autoSpaceDN/>
        <w:bidi w:val="0"/>
        <w:spacing w:line="578" w:lineRule="exact"/>
        <w:ind w:left="0" w:leftChars="0" w:right="0" w:firstLine="643" w:firstLineChars="200"/>
        <w:textAlignment w:val="auto"/>
        <w:outlineLvl w:val="9"/>
        <w:rPr>
          <w:rFonts w:hint="eastAsia" w:ascii="仿宋" w:hAnsi="仿宋" w:eastAsia="仿宋" w:cs="仿宋"/>
          <w:b/>
          <w:bCs/>
          <w:color w:val="auto"/>
          <w:sz w:val="32"/>
          <w:szCs w:val="32"/>
        </w:rPr>
      </w:pPr>
      <w:r>
        <w:rPr>
          <w:rFonts w:hint="eastAsia" w:ascii="仿宋" w:hAnsi="仿宋" w:eastAsia="仿宋" w:cs="仿宋"/>
          <w:b/>
          <w:bCs/>
          <w:color w:val="auto"/>
          <w:sz w:val="32"/>
          <w:szCs w:val="32"/>
          <w:lang w:eastAsia="zh-CN"/>
        </w:rPr>
        <w:t>总体绩效目标实现情况</w:t>
      </w:r>
    </w:p>
    <w:p>
      <w:pPr>
        <w:keepNext w:val="0"/>
        <w:keepLines w:val="0"/>
        <w:pageBreakBefore w:val="0"/>
        <w:widowControl w:val="0"/>
        <w:kinsoku/>
        <w:wordWrap/>
        <w:overflowPunct/>
        <w:topLinePunct w:val="0"/>
        <w:autoSpaceDE/>
        <w:autoSpaceDN/>
        <w:bidi w:val="0"/>
        <w:spacing w:line="578" w:lineRule="exact"/>
        <w:ind w:firstLine="640" w:firstLineChars="200"/>
        <w:jc w:val="left"/>
        <w:textAlignment w:val="auto"/>
        <w:outlineLvl w:val="1"/>
        <w:rPr>
          <w:rFonts w:hint="eastAsia" w:ascii="仿宋" w:hAnsi="仿宋" w:eastAsia="仿宋" w:cs="仿宋"/>
          <w:color w:val="auto"/>
          <w:sz w:val="32"/>
          <w:szCs w:val="32"/>
        </w:rPr>
      </w:pPr>
      <w:r>
        <w:rPr>
          <w:rFonts w:hint="eastAsia" w:ascii="仿宋" w:hAnsi="仿宋" w:eastAsia="仿宋" w:cs="仿宋"/>
          <w:color w:val="auto"/>
          <w:sz w:val="32"/>
          <w:szCs w:val="32"/>
        </w:rPr>
        <w:t>我部门各项目的落地实施均形成了较好成果，常态化疫情防控措施持续发力，促进了全区疫情防控形势持续向好；创建国家卫生城市深入推进，顺利通过国家专家组技术评估；继续深化县级公立医院综合改革和现代医院管理制度建设；抓好卫生健康信息化改造升级，实现市、区、乡卫生信息互通共享；深化乡村卫生健康服务一体化改革，实现乡镇卫生院对村卫生室“十统一”管理；优质服务基层行活动，提升基础服务能力；中医药服务能提升力，提高了中医药治疗影响力。</w:t>
      </w:r>
    </w:p>
    <w:p>
      <w:pPr>
        <w:keepNext w:val="0"/>
        <w:keepLines w:val="0"/>
        <w:pageBreakBefore w:val="0"/>
        <w:widowControl w:val="0"/>
        <w:kinsoku/>
        <w:wordWrap/>
        <w:overflowPunct/>
        <w:topLinePunct w:val="0"/>
        <w:autoSpaceDE/>
        <w:autoSpaceDN/>
        <w:bidi w:val="0"/>
        <w:spacing w:line="578" w:lineRule="exact"/>
        <w:ind w:left="0" w:leftChars="0" w:right="0"/>
        <w:textAlignment w:val="auto"/>
        <w:outlineLvl w:val="9"/>
        <w:rPr>
          <w:rFonts w:hint="eastAsia" w:ascii="仿宋" w:hAnsi="仿宋" w:eastAsia="仿宋" w:cs="仿宋"/>
          <w:b/>
          <w:bCs/>
          <w:color w:val="auto"/>
          <w:sz w:val="32"/>
          <w:szCs w:val="32"/>
          <w:lang w:eastAsia="zh-CN"/>
        </w:rPr>
      </w:pPr>
      <w:r>
        <w:rPr>
          <w:rFonts w:hint="eastAsia" w:ascii="仿宋" w:hAnsi="仿宋" w:eastAsia="仿宋" w:cs="仿宋"/>
          <w:b/>
          <w:bCs/>
          <w:color w:val="auto"/>
          <w:sz w:val="32"/>
          <w:szCs w:val="32"/>
        </w:rPr>
        <w:t xml:space="preserve">    （二）</w:t>
      </w:r>
      <w:r>
        <w:rPr>
          <w:rFonts w:hint="eastAsia" w:ascii="仿宋" w:hAnsi="仿宋" w:eastAsia="仿宋" w:cs="仿宋"/>
          <w:b/>
          <w:bCs/>
          <w:color w:val="auto"/>
          <w:sz w:val="32"/>
          <w:szCs w:val="32"/>
          <w:lang w:eastAsia="zh-CN"/>
        </w:rPr>
        <w:t>分项绩效目标实现情况及指标分析</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（1）继续做好公共卫生服务工作，提升公共卫生服务能力。</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绩效目标：为城乡居民提供基本公共卫生服务；控制各类突发公共卫生事件和重大疾病的发生与传播；保障妇女儿童身心健康。</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绩效指标</w:t>
      </w:r>
      <w:r>
        <w:rPr>
          <w:rFonts w:hint="eastAsia" w:ascii="仿宋" w:hAnsi="仿宋" w:eastAsia="仿宋" w:cs="仿宋"/>
          <w:color w:val="auto"/>
          <w:sz w:val="32"/>
          <w:szCs w:val="32"/>
          <w:lang w:val="en-US" w:eastAsia="zh-CN"/>
        </w:rPr>
        <w:t>完成情况</w:t>
      </w:r>
      <w:r>
        <w:rPr>
          <w:rFonts w:hint="eastAsia" w:ascii="仿宋" w:hAnsi="仿宋" w:eastAsia="仿宋" w:cs="仿宋"/>
          <w:color w:val="auto"/>
          <w:sz w:val="32"/>
          <w:szCs w:val="32"/>
        </w:rPr>
        <w:t>：居民规范化电子健康档案覆盖率达到64.79%，儿童健康管理率达到93.85%，65岁及以上老年人城乡社区规范健康服务率达到72.53%，高血压规范管理率达到64.47%，糖尿规范管理率达到65.07%；开展对重点疾病及危害因素监测，有效控制疾病流行；助力国家脱贫攻坚，保持重点地方病防治措施；有效应对突发公共卫生事件，控制疫情、稳定人民群众；推进妇幼卫生工作，新生儿出生缺陷率逐年下降；适龄儿童免疫规划疫苗接种率达到95%；落实慢病及相关危险因素监测。</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2</w:t>
      </w:r>
      <w:r>
        <w:rPr>
          <w:rFonts w:hint="eastAsia" w:ascii="仿宋" w:hAnsi="仿宋" w:eastAsia="仿宋" w:cs="仿宋"/>
          <w:color w:val="auto"/>
          <w:sz w:val="32"/>
          <w:szCs w:val="32"/>
        </w:rPr>
        <w:t>）提高医疗机构的疾病救治能力，强化各级医疗机构综合改革。</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绩效目标：为全区人民健康安全提供保障，推进乡镇卫生院与村卫生室一体化管理进程，提升基层医疗服务能力。</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绩效指标</w:t>
      </w:r>
      <w:r>
        <w:rPr>
          <w:rFonts w:hint="eastAsia" w:ascii="仿宋" w:hAnsi="仿宋" w:eastAsia="仿宋" w:cs="仿宋"/>
          <w:color w:val="auto"/>
          <w:sz w:val="32"/>
          <w:szCs w:val="32"/>
          <w:lang w:val="en-US" w:eastAsia="zh-CN"/>
        </w:rPr>
        <w:t>完成情况</w:t>
      </w:r>
      <w:r>
        <w:rPr>
          <w:rFonts w:hint="eastAsia" w:ascii="仿宋" w:hAnsi="仿宋" w:eastAsia="仿宋" w:cs="仿宋"/>
          <w:color w:val="auto"/>
          <w:sz w:val="32"/>
          <w:szCs w:val="32"/>
        </w:rPr>
        <w:t>：3家公立医院、14所乡镇卫生院、208个村卫生室实施药品零差率销售；区120急救中心为全区人民提供急救保障；将村卫生室电费、取暖费、医疗废物集中处理费、网络费、医疗责任险等纳入财政保障。</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3</w:t>
      </w:r>
      <w:r>
        <w:rPr>
          <w:rFonts w:hint="eastAsia" w:ascii="仿宋" w:hAnsi="仿宋" w:eastAsia="仿宋" w:cs="仿宋"/>
          <w:color w:val="auto"/>
          <w:sz w:val="32"/>
          <w:szCs w:val="32"/>
        </w:rPr>
        <w:t>）有效保障计划生育家庭生活水平。</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绩效目标：全面落实我区奖扶、特扶、关怀扶助政策；落实计生服务村级工作；促进避孕节育措施有效落实。</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绩效指标</w:t>
      </w:r>
      <w:r>
        <w:rPr>
          <w:rFonts w:hint="eastAsia" w:ascii="仿宋" w:hAnsi="仿宋" w:eastAsia="仿宋" w:cs="仿宋"/>
          <w:color w:val="auto"/>
          <w:sz w:val="32"/>
          <w:szCs w:val="32"/>
          <w:lang w:val="en-US" w:eastAsia="zh-CN"/>
        </w:rPr>
        <w:t>完成情况</w:t>
      </w:r>
      <w:r>
        <w:rPr>
          <w:rFonts w:hint="eastAsia" w:ascii="仿宋" w:hAnsi="仿宋" w:eastAsia="仿宋" w:cs="仿宋"/>
          <w:color w:val="auto"/>
          <w:sz w:val="32"/>
          <w:szCs w:val="32"/>
        </w:rPr>
        <w:t>：奖扶资金每月补助标准80元，享受奖扶资金的人数上半年5259人，下半年5210人。特扶资金发放标准上半年： ① 独生子女死亡450元/月、②独生子女残疾350元/月；③一级计生手术并发症400元/月，④二级计生手术并发症300元/月，⑤三级计生手术并发症200元/月，享受特扶资金的人数上半年124人；下半年： ① 独生子女死亡590元/月；②独生子女残疾460元/月；③一级计生手术并发症520元/月；④二级计生手术并发症390元/月；⑤三级计生手术并发症260元/月，享受特扶资金的人数下半年122人。奖扶特扶资金12月底前发放到位。关怀扶助发放标准达到①计生特殊家庭独生子女死亡，给予其父母每人每月400月的生活补贴和200元的养老补贴，②计生特殊家庭独生子女三级以上伤残，其中：独生子女三级伤残的，给予其父母每人每月200月的生活补贴和200元的养老补贴；独生子女二级伤残的，给予其父母每人每月300月的生活补贴和200元的养老补贴，③独生子女患有重大疾病（癌症），分别给予其父母10000元一次性救助金；独生子女死亡的，分别给予10000元的一次性救助金；独生子女伤残的，分别给予其父母5000元；计划生育独生子女和双女家庭，且其子女未满18周岁的，父母双亡的，给予6000元的一次性救助，父母一方死亡的，给予3000元一次性救助；计划生育独生子女和双女家庭，且其子女未满18周岁的，父母双方残疾的，给予5000元的一次性救助，父母一方残疾的，给予3000元一次性救助；享受关怀扶助人数115人；村级计生小组长人数644人；为四术费患者提供服务。</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4</w:t>
      </w:r>
      <w:r>
        <w:rPr>
          <w:rFonts w:hint="eastAsia" w:ascii="仿宋" w:hAnsi="仿宋" w:eastAsia="仿宋" w:cs="仿宋"/>
          <w:color w:val="auto"/>
          <w:sz w:val="32"/>
          <w:szCs w:val="32"/>
        </w:rPr>
        <w:t>）加强中医药能力建设，提高中医药人员服务水平。</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绩效目标</w:t>
      </w:r>
      <w:r>
        <w:rPr>
          <w:rFonts w:hint="eastAsia" w:ascii="仿宋" w:hAnsi="仿宋" w:eastAsia="仿宋" w:cs="仿宋"/>
          <w:color w:val="auto"/>
          <w:sz w:val="32"/>
          <w:szCs w:val="32"/>
          <w:lang w:val="en-US" w:eastAsia="zh-CN"/>
        </w:rPr>
        <w:t>及指标完成情况</w:t>
      </w:r>
      <w:r>
        <w:rPr>
          <w:rFonts w:hint="eastAsia" w:ascii="仿宋" w:hAnsi="仿宋" w:eastAsia="仿宋" w:cs="仿宋"/>
          <w:color w:val="auto"/>
          <w:sz w:val="32"/>
          <w:szCs w:val="32"/>
        </w:rPr>
        <w:t>：加快</w:t>
      </w:r>
      <w:r>
        <w:rPr>
          <w:rFonts w:hint="eastAsia" w:ascii="仿宋" w:hAnsi="仿宋" w:eastAsia="仿宋" w:cs="仿宋"/>
          <w:color w:val="auto"/>
          <w:sz w:val="32"/>
          <w:szCs w:val="32"/>
          <w:lang w:val="en-US" w:eastAsia="zh-CN"/>
        </w:rPr>
        <w:t>了</w:t>
      </w:r>
      <w:r>
        <w:rPr>
          <w:rFonts w:hint="eastAsia" w:ascii="仿宋" w:hAnsi="仿宋" w:eastAsia="仿宋" w:cs="仿宋"/>
          <w:color w:val="auto"/>
          <w:sz w:val="32"/>
          <w:szCs w:val="32"/>
        </w:rPr>
        <w:t>我区中医事业发展，</w:t>
      </w:r>
      <w:r>
        <w:rPr>
          <w:rFonts w:hint="eastAsia" w:ascii="仿宋" w:hAnsi="仿宋" w:eastAsia="仿宋" w:cs="仿宋"/>
          <w:color w:val="auto"/>
          <w:sz w:val="32"/>
          <w:szCs w:val="32"/>
          <w:lang w:val="en-US" w:eastAsia="zh-CN"/>
        </w:rPr>
        <w:t>开展了中医药文化知识宣传，</w:t>
      </w:r>
      <w:r>
        <w:rPr>
          <w:rFonts w:hint="eastAsia" w:ascii="仿宋" w:hAnsi="仿宋" w:eastAsia="仿宋" w:cs="仿宋"/>
          <w:color w:val="auto"/>
          <w:sz w:val="32"/>
          <w:szCs w:val="32"/>
        </w:rPr>
        <w:t>发挥</w:t>
      </w:r>
      <w:r>
        <w:rPr>
          <w:rFonts w:hint="eastAsia" w:ascii="仿宋" w:hAnsi="仿宋" w:eastAsia="仿宋" w:cs="仿宋"/>
          <w:color w:val="auto"/>
          <w:sz w:val="32"/>
          <w:szCs w:val="32"/>
          <w:lang w:val="en-US" w:eastAsia="zh-CN"/>
        </w:rPr>
        <w:t>了</w:t>
      </w:r>
      <w:r>
        <w:rPr>
          <w:rFonts w:hint="eastAsia" w:ascii="仿宋" w:hAnsi="仿宋" w:eastAsia="仿宋" w:cs="仿宋"/>
          <w:color w:val="auto"/>
          <w:sz w:val="32"/>
          <w:szCs w:val="32"/>
        </w:rPr>
        <w:t>中医特色，</w:t>
      </w:r>
      <w:r>
        <w:rPr>
          <w:rFonts w:hint="eastAsia" w:ascii="仿宋" w:hAnsi="仿宋" w:eastAsia="仿宋" w:cs="仿宋"/>
          <w:color w:val="auto"/>
          <w:sz w:val="32"/>
          <w:szCs w:val="32"/>
          <w:lang w:val="en-US" w:eastAsia="zh-CN"/>
        </w:rPr>
        <w:t>积极实施中医优质护理服务示范病区建设，</w:t>
      </w:r>
      <w:r>
        <w:rPr>
          <w:rFonts w:hint="eastAsia" w:ascii="仿宋" w:hAnsi="仿宋" w:eastAsia="仿宋" w:cs="仿宋"/>
          <w:color w:val="auto"/>
          <w:sz w:val="32"/>
          <w:szCs w:val="32"/>
        </w:rPr>
        <w:t>突出中医优势。</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5</w:t>
      </w:r>
      <w:r>
        <w:rPr>
          <w:rFonts w:hint="eastAsia" w:ascii="仿宋" w:hAnsi="仿宋" w:eastAsia="仿宋" w:cs="仿宋"/>
          <w:color w:val="auto"/>
          <w:sz w:val="32"/>
          <w:szCs w:val="32"/>
        </w:rPr>
        <w:t>）保障卫生健康事业稳定发展。</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绩效目标：为创卫指挥部正常工作提供保障；为辖区内60周岁以上原“赤脚医生”发放养老补助；保障局数据中心平稳运行；保障援藏干部工资待遇；保障卫生健康监督执法所业务水平稳步提升。</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绩效指标</w:t>
      </w:r>
      <w:r>
        <w:rPr>
          <w:rFonts w:hint="eastAsia" w:ascii="仿宋" w:hAnsi="仿宋" w:eastAsia="仿宋" w:cs="仿宋"/>
          <w:color w:val="auto"/>
          <w:sz w:val="32"/>
          <w:szCs w:val="32"/>
          <w:lang w:val="en-US" w:eastAsia="zh-CN"/>
        </w:rPr>
        <w:t>完成情况</w:t>
      </w:r>
      <w:r>
        <w:rPr>
          <w:rFonts w:hint="eastAsia" w:ascii="仿宋" w:hAnsi="仿宋" w:eastAsia="仿宋" w:cs="仿宋"/>
          <w:color w:val="auto"/>
          <w:sz w:val="32"/>
          <w:szCs w:val="32"/>
        </w:rPr>
        <w:t>：享受待遇的原“赤脚医生”人数80</w:t>
      </w: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人，长期改善其生活基本需求；局信息化专网组建率达到100%；违法行为的立案处罚率达到100%，上级督办、交办、群众举报投诉职责范围内的查处回复率达到100%；公共用品、餐饮具集中消毒单位、生活饮用水水质、学校教学环境卫生、医疗卫生消毒监测的采样检测任务完成率达到100%；对辖区内400余家医疗机构的“两非”案件进行查处，对取得计划生育资质或母婴保健技术资质的医疗机构实施的中期以上终止妊娠手术的复核率达到100%，对计划生育和母婴保健机构的进行建档和日常监督完成率达到100%；查处办理群众投诉举报及其他部门转办的政策外的计划生育案件完成率100%；公共场所、学校卫生、生活饮用水单位、消毒产品企业、医疗卫生、放射卫生、职业卫生等日常卫生监督覆盖率达到100%；卫生健康监督执法全过程记录率、行政执法结果公示、“双随机”抽查结果公示率达到100%；应急物资储备更新率、突发公共卫生事件处置率达到100%。</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w:t>
      </w:r>
      <w:r>
        <w:rPr>
          <w:rFonts w:hint="eastAsia" w:ascii="仿宋" w:hAnsi="仿宋" w:eastAsia="仿宋" w:cs="仿宋"/>
          <w:color w:val="auto"/>
          <w:sz w:val="32"/>
          <w:szCs w:val="32"/>
          <w:lang w:eastAsia="zh-CN"/>
        </w:rPr>
        <w:t>6</w:t>
      </w:r>
      <w:r>
        <w:rPr>
          <w:rFonts w:hint="eastAsia" w:ascii="仿宋" w:hAnsi="仿宋" w:eastAsia="仿宋" w:cs="仿宋"/>
          <w:color w:val="auto"/>
          <w:sz w:val="32"/>
          <w:szCs w:val="32"/>
        </w:rPr>
        <w:t>）促进老龄事业发展。</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绩效目标：为老年人投保意外伤害保险，减轻家庭经济负担，弘扬中华民族敬老助老的传统美德。</w:t>
      </w:r>
    </w:p>
    <w:p>
      <w:pPr>
        <w:keepNext w:val="0"/>
        <w:keepLines w:val="0"/>
        <w:pageBreakBefore w:val="0"/>
        <w:widowControl w:val="0"/>
        <w:kinsoku/>
        <w:wordWrap/>
        <w:overflowPunct/>
        <w:topLinePunct w:val="0"/>
        <w:autoSpaceDE/>
        <w:autoSpaceDN/>
        <w:bidi w:val="0"/>
        <w:spacing w:line="578" w:lineRule="exact"/>
        <w:ind w:firstLine="56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绩效指标</w:t>
      </w:r>
      <w:r>
        <w:rPr>
          <w:rFonts w:hint="eastAsia" w:ascii="仿宋" w:hAnsi="仿宋" w:eastAsia="仿宋" w:cs="仿宋"/>
          <w:color w:val="auto"/>
          <w:sz w:val="32"/>
          <w:szCs w:val="32"/>
          <w:lang w:val="en-US" w:eastAsia="zh-CN"/>
        </w:rPr>
        <w:t>完成情况</w:t>
      </w:r>
      <w:r>
        <w:rPr>
          <w:rFonts w:hint="eastAsia" w:ascii="仿宋" w:hAnsi="仿宋" w:eastAsia="仿宋" w:cs="仿宋"/>
          <w:color w:val="auto"/>
          <w:sz w:val="32"/>
          <w:szCs w:val="32"/>
        </w:rPr>
        <w:t>：人均财政保障标准10元；为全区55周岁（含）以上老年人投保人</w:t>
      </w:r>
      <w:r>
        <w:rPr>
          <w:rFonts w:hint="eastAsia" w:ascii="仿宋" w:hAnsi="仿宋" w:eastAsia="仿宋" w:cs="仿宋"/>
          <w:color w:val="auto"/>
          <w:sz w:val="32"/>
          <w:szCs w:val="32"/>
          <w:highlight w:val="none"/>
        </w:rPr>
        <w:t>数</w:t>
      </w:r>
      <w:r>
        <w:rPr>
          <w:rFonts w:hint="eastAsia" w:ascii="仿宋" w:hAnsi="仿宋" w:eastAsia="仿宋" w:cs="仿宋"/>
          <w:color w:val="auto"/>
          <w:sz w:val="32"/>
          <w:szCs w:val="32"/>
          <w:highlight w:val="none"/>
          <w:lang w:val="en-US" w:eastAsia="zh-CN"/>
        </w:rPr>
        <w:t>11.4857</w:t>
      </w:r>
      <w:r>
        <w:rPr>
          <w:rFonts w:hint="eastAsia" w:ascii="仿宋" w:hAnsi="仿宋" w:eastAsia="仿宋" w:cs="仿宋"/>
          <w:color w:val="auto"/>
          <w:sz w:val="32"/>
          <w:szCs w:val="32"/>
          <w:highlight w:val="none"/>
        </w:rPr>
        <w:t>万人。</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cs="仿宋"/>
          <w:color w:val="auto"/>
          <w:sz w:val="32"/>
          <w:szCs w:val="32"/>
        </w:rPr>
      </w:pPr>
      <w:r>
        <w:rPr>
          <w:rFonts w:hint="eastAsia" w:ascii="仿宋" w:hAnsi="仿宋" w:eastAsia="仿宋" w:cs="仿宋"/>
          <w:color w:val="auto"/>
          <w:sz w:val="32"/>
          <w:szCs w:val="32"/>
        </w:rPr>
        <w:t>根据</w:t>
      </w:r>
      <w:r>
        <w:rPr>
          <w:rFonts w:hint="eastAsia" w:ascii="仿宋" w:hAnsi="仿宋" w:eastAsia="仿宋" w:cs="仿宋"/>
          <w:color w:val="auto"/>
          <w:sz w:val="32"/>
          <w:szCs w:val="32"/>
          <w:lang w:eastAsia="zh-CN"/>
        </w:rPr>
        <w:t>部门职责定位和各项工作履职情况进行综合评价</w:t>
      </w:r>
      <w:r>
        <w:rPr>
          <w:rFonts w:hint="eastAsia" w:ascii="仿宋" w:hAnsi="仿宋" w:eastAsia="仿宋" w:cs="仿宋"/>
          <w:color w:val="auto"/>
          <w:sz w:val="32"/>
          <w:szCs w:val="32"/>
        </w:rPr>
        <w:t>，给出总得分，满分100分，得出综合绩效评价等级。</w:t>
      </w:r>
      <w:r>
        <w:rPr>
          <w:rFonts w:hint="eastAsia" w:ascii="仿宋" w:hAnsi="仿宋" w:eastAsia="仿宋" w:cs="仿宋"/>
          <w:color w:val="auto"/>
          <w:sz w:val="32"/>
          <w:szCs w:val="32"/>
          <w:lang w:eastAsia="zh-CN"/>
        </w:rPr>
        <w:t>部门整体支出</w:t>
      </w:r>
      <w:r>
        <w:rPr>
          <w:rFonts w:hint="eastAsia" w:ascii="仿宋" w:hAnsi="仿宋" w:eastAsia="仿宋" w:cs="仿宋"/>
          <w:color w:val="auto"/>
          <w:sz w:val="32"/>
          <w:szCs w:val="32"/>
        </w:rPr>
        <w:t>综合绩效评价分为4个等级：得分≥85分为优秀；75≤得分＜85分为良好；60≤得分＜75分为一般；得分＜60分为较差。</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 w:hAnsi="仿宋" w:eastAsia="仿宋" w:cs="仿宋"/>
          <w:sz w:val="32"/>
          <w:szCs w:val="32"/>
        </w:rPr>
      </w:pPr>
      <w:r>
        <w:rPr>
          <w:rFonts w:hint="eastAsia" w:ascii="仿宋" w:hAnsi="仿宋" w:eastAsia="仿宋" w:cs="仿宋"/>
          <w:color w:val="auto"/>
          <w:sz w:val="32"/>
          <w:szCs w:val="32"/>
        </w:rPr>
        <w:t>（一）产出指标（50分）。我部门各项目资金的使用能在规定时</w:t>
      </w:r>
      <w:r>
        <w:rPr>
          <w:rFonts w:hint="eastAsia" w:ascii="仿宋" w:hAnsi="仿宋" w:eastAsia="仿宋" w:cs="仿宋"/>
          <w:sz w:val="32"/>
          <w:szCs w:val="32"/>
        </w:rPr>
        <w:t>限内完成，数量和成本指标均在标准范围内。</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效益指标（40分）。我部门绝大部分项目均为民生项目，为提高我区医疗技术水平的提高、进居民健康理念的转变、逐步提高居民健康水平，落实常态化疫情防控，我部门多措并举将各项目落地，经评估项目实施社会效益良好，可持续影响力强，群众满意度高，评估结果满分。</w:t>
      </w:r>
    </w:p>
    <w:p>
      <w:pPr>
        <w:keepNext w:val="0"/>
        <w:keepLines w:val="0"/>
        <w:pageBreakBefore w:val="0"/>
        <w:widowControl w:val="0"/>
        <w:kinsoku/>
        <w:wordWrap/>
        <w:overflowPunct/>
        <w:topLinePunct w:val="0"/>
        <w:autoSpaceDE/>
        <w:autoSpaceDN/>
        <w:bidi w:val="0"/>
        <w:spacing w:line="578"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（三）满</w:t>
      </w:r>
      <w:r>
        <w:rPr>
          <w:rFonts w:hint="eastAsia" w:ascii="仿宋" w:hAnsi="仿宋" w:eastAsia="仿宋" w:cs="仿宋"/>
          <w:sz w:val="32"/>
          <w:szCs w:val="32"/>
        </w:rPr>
        <w:t>意度指标（10分）。经评估，群众满意度高，评估为满分。</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78"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无</w:t>
      </w:r>
    </w:p>
    <w:p>
      <w:pPr>
        <w:keepNext w:val="0"/>
        <w:keepLines w:val="0"/>
        <w:pageBreakBefore w:val="0"/>
        <w:widowControl w:val="0"/>
        <w:numPr>
          <w:ilvl w:val="0"/>
          <w:numId w:val="3"/>
        </w:numPr>
        <w:kinsoku/>
        <w:wordWrap/>
        <w:overflowPunct/>
        <w:topLinePunct w:val="0"/>
        <w:autoSpaceDE/>
        <w:autoSpaceDN/>
        <w:bidi w:val="0"/>
        <w:spacing w:line="578"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keepNext w:val="0"/>
        <w:keepLines w:val="0"/>
        <w:pageBreakBefore w:val="0"/>
        <w:widowControl w:val="0"/>
        <w:numPr>
          <w:ilvl w:val="0"/>
          <w:numId w:val="0"/>
        </w:numPr>
        <w:kinsoku/>
        <w:wordWrap/>
        <w:overflowPunct/>
        <w:topLinePunct w:val="0"/>
        <w:autoSpaceDE/>
        <w:autoSpaceDN/>
        <w:bidi w:val="0"/>
        <w:spacing w:line="578" w:lineRule="exact"/>
        <w:ind w:right="0" w:rightChars="0"/>
        <w:textAlignment w:val="auto"/>
        <w:outlineLvl w:val="9"/>
        <w:rPr>
          <w:rFonts w:hint="default" w:ascii="仿宋" w:hAnsi="仿宋" w:eastAsia="仿宋"/>
          <w:sz w:val="32"/>
          <w:szCs w:val="32"/>
          <w:lang w:val="en-US" w:eastAsia="zh-CN"/>
        </w:rPr>
      </w:pPr>
      <w:r>
        <w:rPr>
          <w:rFonts w:hint="eastAsia" w:ascii="仿宋" w:hAnsi="仿宋" w:eastAsia="仿宋"/>
          <w:b/>
          <w:bCs/>
          <w:sz w:val="32"/>
          <w:szCs w:val="32"/>
          <w:lang w:val="en-US" w:eastAsia="zh-CN"/>
        </w:rPr>
        <w:t xml:space="preserve">    </w:t>
      </w:r>
      <w:r>
        <w:rPr>
          <w:rFonts w:hint="eastAsia" w:ascii="仿宋" w:hAnsi="仿宋" w:eastAsia="仿宋"/>
          <w:sz w:val="32"/>
          <w:szCs w:val="32"/>
          <w:lang w:val="en-US" w:eastAsia="zh-CN"/>
        </w:rPr>
        <w:t>无</w:t>
      </w:r>
    </w:p>
    <w:p>
      <w:pPr>
        <w:keepNext w:val="0"/>
        <w:keepLines w:val="0"/>
        <w:pageBreakBefore w:val="0"/>
        <w:widowControl w:val="0"/>
        <w:numPr>
          <w:ilvl w:val="0"/>
          <w:numId w:val="4"/>
        </w:numPr>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rPr>
        <w:t>评价工作组人员名单及签字</w:t>
      </w:r>
    </w:p>
    <w:p>
      <w:pPr>
        <w:keepNext w:val="0"/>
        <w:keepLines w:val="0"/>
        <w:pageBreakBefore w:val="0"/>
        <w:widowControl w:val="0"/>
        <w:numPr>
          <w:numId w:val="0"/>
        </w:numPr>
        <w:kinsoku/>
        <w:wordWrap/>
        <w:overflowPunct/>
        <w:topLinePunct w:val="0"/>
        <w:autoSpaceDE/>
        <w:autoSpaceDN/>
        <w:bidi w:val="0"/>
        <w:adjustRightInd w:val="0"/>
        <w:snapToGrid w:val="0"/>
        <w:spacing w:line="578" w:lineRule="exact"/>
        <w:ind w:right="0" w:rightChars="0" w:firstLine="1280" w:firstLineChars="4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高  辉 医政股负责人</w:t>
      </w:r>
    </w:p>
    <w:p>
      <w:pPr>
        <w:keepNext w:val="0"/>
        <w:keepLines w:val="0"/>
        <w:pageBreakBefore w:val="0"/>
        <w:widowControl w:val="0"/>
        <w:numPr>
          <w:numId w:val="0"/>
        </w:numPr>
        <w:kinsoku/>
        <w:wordWrap/>
        <w:overflowPunct/>
        <w:topLinePunct w:val="0"/>
        <w:autoSpaceDE/>
        <w:autoSpaceDN/>
        <w:bidi w:val="0"/>
        <w:adjustRightInd w:val="0"/>
        <w:snapToGrid w:val="0"/>
        <w:spacing w:line="578" w:lineRule="exact"/>
        <w:ind w:leftChars="20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张彦霞 中医股负责人</w:t>
      </w:r>
    </w:p>
    <w:p>
      <w:pPr>
        <w:keepNext w:val="0"/>
        <w:keepLines w:val="0"/>
        <w:pageBreakBefore w:val="0"/>
        <w:widowControl w:val="0"/>
        <w:numPr>
          <w:numId w:val="0"/>
        </w:numPr>
        <w:kinsoku/>
        <w:wordWrap/>
        <w:overflowPunct/>
        <w:topLinePunct w:val="0"/>
        <w:autoSpaceDE/>
        <w:autoSpaceDN/>
        <w:bidi w:val="0"/>
        <w:adjustRightInd w:val="0"/>
        <w:snapToGrid w:val="0"/>
        <w:spacing w:line="578" w:lineRule="exact"/>
        <w:ind w:leftChars="20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李少东 疾控股负责人</w:t>
      </w:r>
    </w:p>
    <w:p>
      <w:pPr>
        <w:keepNext w:val="0"/>
        <w:keepLines w:val="0"/>
        <w:pageBreakBefore w:val="0"/>
        <w:widowControl w:val="0"/>
        <w:numPr>
          <w:numId w:val="0"/>
        </w:numPr>
        <w:kinsoku/>
        <w:wordWrap/>
        <w:overflowPunct/>
        <w:topLinePunct w:val="0"/>
        <w:autoSpaceDE/>
        <w:autoSpaceDN/>
        <w:bidi w:val="0"/>
        <w:adjustRightInd w:val="0"/>
        <w:snapToGrid w:val="0"/>
        <w:spacing w:line="578" w:lineRule="exact"/>
        <w:ind w:leftChars="20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石晓欣 爱卫股负责人</w:t>
      </w:r>
    </w:p>
    <w:p>
      <w:pPr>
        <w:keepNext w:val="0"/>
        <w:keepLines w:val="0"/>
        <w:pageBreakBefore w:val="0"/>
        <w:widowControl w:val="0"/>
        <w:numPr>
          <w:numId w:val="0"/>
        </w:numPr>
        <w:kinsoku/>
        <w:wordWrap/>
        <w:overflowPunct/>
        <w:topLinePunct w:val="0"/>
        <w:autoSpaceDE/>
        <w:autoSpaceDN/>
        <w:bidi w:val="0"/>
        <w:adjustRightInd w:val="0"/>
        <w:snapToGrid w:val="0"/>
        <w:spacing w:line="578" w:lineRule="exact"/>
        <w:ind w:leftChars="20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董朝阳 项目办负责人</w:t>
      </w:r>
    </w:p>
    <w:p>
      <w:pPr>
        <w:keepNext w:val="0"/>
        <w:keepLines w:val="0"/>
        <w:pageBreakBefore w:val="0"/>
        <w:widowControl w:val="0"/>
        <w:numPr>
          <w:numId w:val="0"/>
        </w:numPr>
        <w:kinsoku/>
        <w:wordWrap/>
        <w:overflowPunct/>
        <w:topLinePunct w:val="0"/>
        <w:autoSpaceDE/>
        <w:autoSpaceDN/>
        <w:bidi w:val="0"/>
        <w:adjustRightInd w:val="0"/>
        <w:snapToGrid w:val="0"/>
        <w:spacing w:line="578" w:lineRule="exact"/>
        <w:ind w:leftChars="20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聂震辉 家庭股负责人</w:t>
      </w:r>
    </w:p>
    <w:p>
      <w:pPr>
        <w:keepNext w:val="0"/>
        <w:keepLines w:val="0"/>
        <w:pageBreakBefore w:val="0"/>
        <w:widowControl w:val="0"/>
        <w:numPr>
          <w:numId w:val="0"/>
        </w:numPr>
        <w:kinsoku/>
        <w:wordWrap/>
        <w:overflowPunct/>
        <w:topLinePunct w:val="0"/>
        <w:autoSpaceDE/>
        <w:autoSpaceDN/>
        <w:bidi w:val="0"/>
        <w:adjustRightInd w:val="0"/>
        <w:snapToGrid w:val="0"/>
        <w:spacing w:line="578" w:lineRule="exact"/>
        <w:ind w:leftChars="200" w:right="0" w:rightChars="0"/>
        <w:textAlignment w:val="auto"/>
        <w:outlineLvl w:val="9"/>
        <w:rPr>
          <w:rFonts w:hint="eastAsia" w:ascii="方正仿宋_GBK" w:hAnsi="方正仿宋_GBK" w:eastAsia="方正仿宋_GBK" w:cs="方正仿宋_GBK"/>
          <w:sz w:val="32"/>
          <w:szCs w:val="32"/>
          <w:lang w:val="en-US" w:eastAsia="zh-CN"/>
        </w:rPr>
      </w:pPr>
      <w:r>
        <w:rPr>
          <w:rFonts w:hint="eastAsia" w:ascii="仿宋" w:hAnsi="仿宋" w:eastAsia="仿宋" w:cs="仿宋"/>
          <w:sz w:val="32"/>
          <w:szCs w:val="32"/>
          <w:lang w:val="en-US" w:eastAsia="zh-CN"/>
        </w:rPr>
        <w:t xml:space="preserve">     梁  帆 财管中心负责人</w:t>
      </w:r>
    </w:p>
    <w:p>
      <w:pPr>
        <w:keepNext w:val="0"/>
        <w:keepLines w:val="0"/>
        <w:pageBreakBefore w:val="0"/>
        <w:widowControl w:val="0"/>
        <w:numPr>
          <w:numId w:val="0"/>
        </w:numPr>
        <w:kinsoku/>
        <w:wordWrap/>
        <w:overflowPunct/>
        <w:topLinePunct w:val="0"/>
        <w:autoSpaceDE/>
        <w:autoSpaceDN/>
        <w:bidi w:val="0"/>
        <w:adjustRightInd w:val="0"/>
        <w:snapToGrid w:val="0"/>
        <w:spacing w:line="578" w:lineRule="exact"/>
        <w:ind w:leftChars="200" w:right="0" w:rightChars="0"/>
        <w:textAlignment w:val="auto"/>
        <w:outlineLvl w:val="9"/>
        <w:rPr>
          <w:rFonts w:hint="default" w:ascii="黑体" w:hAnsi="黑体" w:eastAsia="黑体" w:cs="黑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Chars="20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lang w:val="en-US" w:eastAsia="zh-CN"/>
        </w:rPr>
        <w:t xml:space="preserve">                                      </w:t>
      </w:r>
      <w:r>
        <w:rPr>
          <w:rFonts w:hint="eastAsia" w:ascii="方正仿宋_GBK" w:hAnsi="方正仿宋_GBK" w:eastAsia="方正仿宋_GBK" w:cs="方正仿宋_GBK"/>
          <w:sz w:val="32"/>
          <w:szCs w:val="32"/>
          <w:lang w:val="en-US" w:eastAsia="zh-CN"/>
        </w:rPr>
        <w:t xml:space="preserve">   </w:t>
      </w:r>
      <w:r>
        <w:rPr>
          <w:rFonts w:hint="eastAsia" w:ascii="仿宋" w:hAnsi="仿宋" w:eastAsia="仿宋" w:cs="仿宋"/>
          <w:sz w:val="32"/>
          <w:szCs w:val="32"/>
          <w:lang w:val="en-US" w:eastAsia="zh-CN"/>
        </w:rPr>
        <w:t>石家庄市鹿泉区卫生健康局</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Chars="200" w:right="0" w:rightChars="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bookmarkStart w:id="0" w:name="_GoBack"/>
      <w:bookmarkEnd w:id="0"/>
      <w:r>
        <w:rPr>
          <w:rFonts w:hint="eastAsia" w:ascii="仿宋" w:hAnsi="仿宋" w:eastAsia="仿宋" w:cs="仿宋"/>
          <w:sz w:val="32"/>
          <w:szCs w:val="32"/>
          <w:lang w:val="en-US" w:eastAsia="zh-CN"/>
        </w:rPr>
        <w:t xml:space="preserve"> 2023年9月28日</w:t>
      </w:r>
    </w:p>
    <w:p>
      <w:pPr>
        <w:keepNext w:val="0"/>
        <w:keepLines w:val="0"/>
        <w:pageBreakBefore w:val="0"/>
        <w:widowControl w:val="0"/>
        <w:kinsoku/>
        <w:wordWrap/>
        <w:overflowPunct/>
        <w:topLinePunct w:val="0"/>
        <w:autoSpaceDE/>
        <w:autoSpaceDN/>
        <w:bidi w:val="0"/>
        <w:spacing w:line="578" w:lineRule="exact"/>
        <w:ind w:left="0" w:leftChars="0" w:right="0"/>
        <w:textAlignment w:val="auto"/>
        <w:outlineLvl w:val="9"/>
        <w:rPr>
          <w:rFonts w:hint="default" w:ascii="仿宋" w:hAnsi="仿宋" w:eastAsia="仿宋"/>
          <w:lang w:val="en-US" w:eastAsia="zh-CN"/>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script"/>
    <w:pitch w:val="default"/>
    <w:sig w:usb0="A00002BF" w:usb1="38CF7CFA" w:usb2="00082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黑体_GBK">
    <w:panose1 w:val="02000000000000000000"/>
    <w:charset w:val="86"/>
    <w:family w:val="auto"/>
    <w:pitch w:val="default"/>
    <w:sig w:usb0="A00002BF" w:usb1="38CF7CFA" w:usb2="00082016" w:usb3="00000000" w:csb0="00040001" w:csb1="00000000"/>
  </w:font>
  <w:font w:name="方正黑体简体">
    <w:panose1 w:val="02000000000000000000"/>
    <w:charset w:val="86"/>
    <w:family w:val="auto"/>
    <w:pitch w:val="default"/>
    <w:sig w:usb0="A00002BF" w:usb1="184F6CFA" w:usb2="00000012" w:usb3="00000000" w:csb0="00040001" w:csb1="00000000"/>
  </w:font>
  <w:font w:name="方正仿宋简体">
    <w:panose1 w:val="02000000000000000000"/>
    <w:charset w:val="86"/>
    <w:family w:val="auto"/>
    <w:pitch w:val="default"/>
    <w:sig w:usb0="A00002BF" w:usb1="184F6CFA" w:usb2="00000012" w:usb3="00000000" w:csb0="00040001" w:csb1="00000000"/>
  </w:font>
  <w:font w:name="方正小标宋简体">
    <w:panose1 w:val="02000000000000000000"/>
    <w:charset w:val="86"/>
    <w:family w:val="auto"/>
    <w:pitch w:val="default"/>
    <w:sig w:usb0="A00002BF" w:usb1="184F6CFA" w:usb2="00000012" w:usb3="00000000" w:csb0="00040001" w:csb1="00000000"/>
  </w:font>
  <w:font w:name="等线">
    <w:panose1 w:val="02010600030101010101"/>
    <w:charset w:val="86"/>
    <w:family w:val="auto"/>
    <w:pitch w:val="default"/>
    <w:sig w:usb0="A00002BF" w:usb1="38CF7CFA" w:usb2="00000016" w:usb3="00000000" w:csb0="0004000F" w:csb1="00000000"/>
  </w:font>
  <w:font w:name="方正魏碑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B27605"/>
    <w:multiLevelType w:val="singleLevel"/>
    <w:tmpl w:val="E5B27605"/>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379F798D"/>
    <w:multiLevelType w:val="singleLevel"/>
    <w:tmpl w:val="379F798D"/>
    <w:lvl w:ilvl="0" w:tentative="0">
      <w:start w:val="6"/>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960C6D"/>
    <w:rsid w:val="00AF566A"/>
    <w:rsid w:val="00B6553A"/>
    <w:rsid w:val="01B104CA"/>
    <w:rsid w:val="02106AB0"/>
    <w:rsid w:val="02B43A28"/>
    <w:rsid w:val="046F331E"/>
    <w:rsid w:val="06EB12EA"/>
    <w:rsid w:val="07956271"/>
    <w:rsid w:val="07E44461"/>
    <w:rsid w:val="095054DE"/>
    <w:rsid w:val="09721397"/>
    <w:rsid w:val="0B6920C9"/>
    <w:rsid w:val="0BB63BED"/>
    <w:rsid w:val="0EB97A43"/>
    <w:rsid w:val="0EBD2122"/>
    <w:rsid w:val="0F214EAE"/>
    <w:rsid w:val="11B71E6A"/>
    <w:rsid w:val="128846F4"/>
    <w:rsid w:val="12FF32FF"/>
    <w:rsid w:val="17507ED0"/>
    <w:rsid w:val="1808472A"/>
    <w:rsid w:val="1AAF0063"/>
    <w:rsid w:val="1B726396"/>
    <w:rsid w:val="1BAB77F5"/>
    <w:rsid w:val="1BE140DE"/>
    <w:rsid w:val="1BE75582"/>
    <w:rsid w:val="1EDE08FF"/>
    <w:rsid w:val="1F0763F3"/>
    <w:rsid w:val="204C7313"/>
    <w:rsid w:val="248C197D"/>
    <w:rsid w:val="24A66912"/>
    <w:rsid w:val="252959AF"/>
    <w:rsid w:val="277A6671"/>
    <w:rsid w:val="292D35B7"/>
    <w:rsid w:val="295D1276"/>
    <w:rsid w:val="2973448D"/>
    <w:rsid w:val="2A594280"/>
    <w:rsid w:val="2EB429D3"/>
    <w:rsid w:val="316A459E"/>
    <w:rsid w:val="326F125E"/>
    <w:rsid w:val="33EB6CFF"/>
    <w:rsid w:val="3584046F"/>
    <w:rsid w:val="35A12947"/>
    <w:rsid w:val="37387040"/>
    <w:rsid w:val="3A1379D5"/>
    <w:rsid w:val="3B2B2A20"/>
    <w:rsid w:val="3B625C0A"/>
    <w:rsid w:val="3CEE1963"/>
    <w:rsid w:val="40EB606D"/>
    <w:rsid w:val="459B4F7E"/>
    <w:rsid w:val="478E1769"/>
    <w:rsid w:val="47F12AD6"/>
    <w:rsid w:val="49D96932"/>
    <w:rsid w:val="4C100A4F"/>
    <w:rsid w:val="4C9C27FE"/>
    <w:rsid w:val="512260B4"/>
    <w:rsid w:val="52BD6ACB"/>
    <w:rsid w:val="53715570"/>
    <w:rsid w:val="55537534"/>
    <w:rsid w:val="561A74F1"/>
    <w:rsid w:val="57A027D0"/>
    <w:rsid w:val="59284BD5"/>
    <w:rsid w:val="597244E8"/>
    <w:rsid w:val="5EB71C30"/>
    <w:rsid w:val="60235510"/>
    <w:rsid w:val="624E53D8"/>
    <w:rsid w:val="66AF0CE5"/>
    <w:rsid w:val="675107B2"/>
    <w:rsid w:val="6AC537CF"/>
    <w:rsid w:val="6ADA17F5"/>
    <w:rsid w:val="6B593496"/>
    <w:rsid w:val="6BD7057B"/>
    <w:rsid w:val="6CE01942"/>
    <w:rsid w:val="6E5B14A6"/>
    <w:rsid w:val="70494847"/>
    <w:rsid w:val="70851D86"/>
    <w:rsid w:val="711B255E"/>
    <w:rsid w:val="71AB0B2B"/>
    <w:rsid w:val="7317199D"/>
    <w:rsid w:val="76CF4CF7"/>
    <w:rsid w:val="7B346CFF"/>
    <w:rsid w:val="7BB51E06"/>
    <w:rsid w:val="7C387F7C"/>
    <w:rsid w:val="7D9F4904"/>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customStyle="1" w:styleId="6">
    <w:name w:val="apple-converted-space"/>
    <w:basedOn w:val="5"/>
    <w:uiPriority w:val="0"/>
  </w:style>
  <w:style w:type="paragraph" w:styleId="7">
    <w:name w:val="List Paragraph"/>
    <w:basedOn w:val="1"/>
    <w:qFormat/>
    <w:uiPriority w:val="34"/>
    <w:pPr>
      <w:ind w:firstLine="420" w:firstLineChars="200"/>
    </w:pPr>
  </w:style>
  <w:style w:type="paragraph" w:customStyle="1" w:styleId="8">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17</TotalTime>
  <ScaleCrop>false</ScaleCrop>
  <LinksUpToDate>false</LinksUpToDate>
  <CharactersWithSpaces>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Lenovo</cp:lastModifiedBy>
  <cp:lastPrinted>2023-09-28T08:01:30Z</cp:lastPrinted>
  <dcterms:modified xsi:type="dcterms:W3CDTF">2023-09-28T08:17:04Z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79E8ABAEF98241EA94B91B767071F68C</vt:lpwstr>
  </property>
</Properties>
</file>