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val="0"/>
        <w:snapToGrid w:val="0"/>
        <w:spacing w:line="560" w:lineRule="exact"/>
        <w:ind w:left="0" w:leftChars="0" w:right="0"/>
        <w:textAlignment w:val="auto"/>
        <w:outlineLvl w:val="9"/>
        <w:rPr>
          <w:rFonts w:hint="eastAsia" w:ascii="仿宋_GB2312" w:eastAsia="仿宋_GB2312"/>
          <w:sz w:val="32"/>
          <w:szCs w:val="32"/>
          <w:lang w:val="en-US" w:eastAsia="zh-CN"/>
        </w:rPr>
      </w:pPr>
      <w:r>
        <w:rPr>
          <w:rFonts w:hint="eastAsia" w:ascii="仿宋_GB2312" w:eastAsia="仿宋_GB2312"/>
          <w:sz w:val="32"/>
          <w:szCs w:val="32"/>
        </w:rPr>
        <w:t>附件</w:t>
      </w:r>
      <w:r>
        <w:rPr>
          <w:rFonts w:hint="eastAsia" w:ascii="仿宋_GB2312" w:eastAsia="仿宋_GB2312"/>
          <w:sz w:val="32"/>
          <w:szCs w:val="32"/>
          <w:lang w:val="en-US" w:eastAsia="zh-CN"/>
        </w:rPr>
        <w:t>3</w:t>
      </w:r>
    </w:p>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lang w:eastAsia="zh-CN"/>
        </w:rPr>
      </w:pPr>
      <w:r>
        <w:rPr>
          <w:rFonts w:hint="eastAsia" w:ascii="宋体" w:hAnsi="宋体" w:cs="宋体"/>
          <w:b/>
          <w:bCs/>
          <w:sz w:val="44"/>
          <w:szCs w:val="44"/>
          <w:lang w:eastAsia="zh-CN"/>
        </w:rPr>
        <w:t>石家庄市鹿泉区医疗保障局</w:t>
      </w: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2022年度整体支出绩效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 w:hAnsi="仿宋" w:eastAsia="仿宋"/>
          <w:sz w:val="32"/>
          <w:szCs w:val="32"/>
        </w:rPr>
        <w:t>贯彻落实</w:t>
      </w:r>
      <w:r>
        <w:rPr>
          <w:rFonts w:hint="eastAsia" w:ascii="仿宋" w:hAnsi="仿宋" w:eastAsia="仿宋"/>
          <w:sz w:val="32"/>
          <w:szCs w:val="32"/>
          <w:lang w:eastAsia="zh-CN"/>
        </w:rPr>
        <w:t>石家庄市鹿泉区人民政府《关于全面实施预算绩效管理的实施意见》（鹿发﹝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eastAsia="zh-CN"/>
        </w:rPr>
        <w:t>本部门对</w:t>
      </w:r>
      <w:r>
        <w:rPr>
          <w:rFonts w:hint="eastAsia" w:ascii="仿宋" w:hAnsi="仿宋" w:eastAsia="仿宋"/>
          <w:sz w:val="32"/>
          <w:szCs w:val="32"/>
          <w:lang w:val="en-US" w:eastAsia="zh-CN"/>
        </w:rPr>
        <w:t>2022年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r>
        <w:rPr>
          <w:rFonts w:hint="eastAsia" w:ascii="仿宋_GB2312" w:hAnsi="仿宋_GB2312" w:eastAsia="仿宋_GB2312" w:cs="仿宋_GB2312"/>
          <w:sz w:val="32"/>
          <w:szCs w:val="32"/>
        </w:rPr>
        <w:t>现将报告汇报如下：</w:t>
      </w:r>
    </w:p>
    <w:p>
      <w:pPr>
        <w:widowControl w:val="0"/>
        <w:wordWrap/>
        <w:adjustRightInd w:val="0"/>
        <w:snapToGrid w:val="0"/>
        <w:spacing w:line="56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widowControl w:val="0"/>
        <w:wordWrap/>
        <w:adjustRightInd w:val="0"/>
        <w:snapToGrid w:val="0"/>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pPr>
        <w:pStyle w:val="2"/>
        <w:spacing w:before="0" w:after="0" w:line="580" w:lineRule="exact"/>
        <w:ind w:firstLine="640" w:firstLineChars="200"/>
        <w:jc w:val="left"/>
        <w:rPr>
          <w:rFonts w:ascii="黑体" w:eastAsia="黑体" w:cs="Times New Roman"/>
          <w:b w:val="0"/>
          <w:bCs w:val="0"/>
          <w:kern w:val="0"/>
          <w:sz w:val="32"/>
          <w:szCs w:val="32"/>
        </w:rPr>
      </w:pPr>
      <w:r>
        <w:rPr>
          <w:rFonts w:hint="eastAsia" w:ascii="黑体" w:eastAsia="黑体" w:cs="黑体"/>
          <w:b w:val="0"/>
          <w:bCs w:val="0"/>
          <w:kern w:val="0"/>
          <w:sz w:val="32"/>
          <w:szCs w:val="32"/>
          <w:lang w:val="en-US" w:eastAsia="zh-CN"/>
        </w:rPr>
        <w:t>1</w:t>
      </w:r>
      <w:r>
        <w:rPr>
          <w:rFonts w:hint="eastAsia" w:ascii="黑体" w:eastAsia="黑体" w:cs="黑体"/>
          <w:b w:val="0"/>
          <w:bCs w:val="0"/>
          <w:kern w:val="0"/>
          <w:sz w:val="32"/>
          <w:szCs w:val="32"/>
        </w:rPr>
        <w:t>、部门职责</w:t>
      </w:r>
    </w:p>
    <w:p>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贯彻落实党中央和省、市、区委关于医疗保障工作的方针政策和决策部署，坚持和加强党对医疗保障工作的集中统一领导。</w:t>
      </w:r>
    </w:p>
    <w:p>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主要职责是：</w:t>
      </w:r>
    </w:p>
    <w:p>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一）贯彻落实国家、省、市关于城镇职工和城乡居民医疗保险、生育保险、长期护理保险、医疗救助等医疗保障法规、规章以及政策、制度、规划和标准。按照政策规定拟订本辖区具体医疗保障政策，并组织实施。</w:t>
      </w:r>
    </w:p>
    <w:p>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（二）贯彻落实国家、省、市医疗保障基金监督管理规定，建立健全医疗保障基金安全防控机制，建设维护网络信息系统和智能监控平台，按上级部署推进医疗保障基金支付方式改革，并组织实施。</w:t>
      </w:r>
    </w:p>
    <w:p>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（三）贯彻落实石家庄市城镇职工、城乡居民参保筹资和保障相关待遇政策。贯彻落实长期护理保险制度及政策并组织实施。</w:t>
      </w:r>
    </w:p>
    <w:p>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（四）贯彻落实城乡统一的药品、医用耗材、医疗服务项目、医疗服务设施等医保支付标准。</w:t>
      </w:r>
    </w:p>
    <w:p>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五）按照政策规定制定和调整公立基层医疗机构医疗服务价格。贯彻落实上级医保支付医药服务价格政策。依法管理药品、医用耗材、医疗服务价格政策执行情况。组织实施药品、医用耗材、医疗服务价格政策执行情况。组织实施药品、医用耗材和医疗服务价格检测信息发布工作。</w:t>
      </w:r>
    </w:p>
    <w:p>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六）贯彻落实石家庄市定点医疗机构协议和支付管理办法。建立健全医疗保障信用评价体系和信息披露制度，监督管理定点医药机构的医疗服务行为、医疗费用和医药价格，依法查处医疗保障领域违法违规行为。</w:t>
      </w:r>
    </w:p>
    <w:p>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（七）负责医疗保障经办管理、公共服务体系和信息化建设。贯彻落实异地就医管理和费用结算政策、医疗保障关系转移接续制度。</w:t>
      </w:r>
    </w:p>
    <w:p>
      <w:pPr>
        <w:keepNext/>
        <w:keepLines/>
        <w:spacing w:line="580" w:lineRule="exact"/>
        <w:ind w:firstLine="640" w:firstLineChars="200"/>
        <w:jc w:val="left"/>
        <w:outlineLvl w:val="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（八）完成区委、区政府交办的其他任务。</w:t>
      </w:r>
    </w:p>
    <w:p>
      <w:pPr>
        <w:keepNext/>
        <w:keepLines/>
        <w:spacing w:line="580" w:lineRule="exact"/>
        <w:ind w:firstLine="640" w:firstLineChars="200"/>
        <w:jc w:val="left"/>
        <w:outlineLvl w:val="0"/>
        <w:rPr>
          <w:rFonts w:ascii="黑体" w:eastAsia="黑体" w:cs="Times New Roman"/>
          <w:kern w:val="0"/>
          <w:sz w:val="32"/>
          <w:szCs w:val="32"/>
        </w:rPr>
      </w:pPr>
      <w:r>
        <w:rPr>
          <w:rFonts w:hint="eastAsia" w:ascii="黑体" w:eastAsia="黑体" w:cs="黑体"/>
          <w:kern w:val="0"/>
          <w:sz w:val="32"/>
          <w:szCs w:val="32"/>
          <w:lang w:val="en-US" w:eastAsia="zh-CN"/>
        </w:rPr>
        <w:t>2</w:t>
      </w:r>
      <w:r>
        <w:rPr>
          <w:rFonts w:hint="eastAsia" w:ascii="黑体" w:eastAsia="黑体" w:cs="黑体"/>
          <w:kern w:val="0"/>
          <w:sz w:val="32"/>
          <w:szCs w:val="32"/>
        </w:rPr>
        <w:t>、机构设置</w:t>
      </w:r>
    </w:p>
    <w:p>
      <w:pPr>
        <w:spacing w:line="580" w:lineRule="exact"/>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从决算编报单位构成看，纳入</w:t>
      </w:r>
      <w:r>
        <w:rPr>
          <w:rFonts w:ascii="仿宋_GB2312" w:eastAsia="仿宋_GB2312" w:cs="仿宋_GB2312"/>
          <w:kern w:val="0"/>
          <w:sz w:val="32"/>
          <w:szCs w:val="32"/>
        </w:rPr>
        <w:t>2022</w:t>
      </w:r>
      <w:r>
        <w:rPr>
          <w:rFonts w:hint="eastAsia" w:ascii="仿宋_GB2312" w:eastAsia="仿宋_GB2312" w:cs="仿宋_GB2312"/>
          <w:kern w:val="0"/>
          <w:sz w:val="32"/>
          <w:szCs w:val="32"/>
        </w:rPr>
        <w:t>年度本部门决算汇编范围的独立核算单位（以下简称“单位”）共</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个，具体情况如下：</w:t>
      </w:r>
    </w:p>
    <w:tbl>
      <w:tblPr>
        <w:tblStyle w:val="8"/>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811" w:hRule="atLeast"/>
          <w:jc w:val="center"/>
        </w:trPr>
        <w:tc>
          <w:tcPr>
            <w:tcW w:w="9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4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244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266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596" w:hRule="atLeast"/>
          <w:jc w:val="center"/>
        </w:trPr>
        <w:tc>
          <w:tcPr>
            <w:tcW w:w="985" w:type="dxa"/>
            <w:vAlign w:val="top"/>
          </w:tcPr>
          <w:p>
            <w:pPr>
              <w:spacing w:line="560" w:lineRule="exact"/>
              <w:jc w:val="center"/>
              <w:rPr>
                <w:rFonts w:ascii="仿宋_GB2312" w:eastAsia="仿宋_GB2312" w:cs="仿宋_GB2312"/>
                <w:kern w:val="0"/>
                <w:sz w:val="28"/>
                <w:szCs w:val="28"/>
              </w:rPr>
            </w:pPr>
            <w:r>
              <w:rPr>
                <w:rFonts w:hint="eastAsia" w:ascii="仿宋_GB2312" w:hAnsi="Calibri" w:eastAsia="仿宋_GB2312" w:cs="ArialUnicodeMS"/>
                <w:kern w:val="0"/>
                <w:sz w:val="28"/>
                <w:szCs w:val="28"/>
              </w:rPr>
              <w:t>1</w:t>
            </w:r>
          </w:p>
        </w:tc>
        <w:tc>
          <w:tcPr>
            <w:tcW w:w="3485" w:type="dxa"/>
            <w:vAlign w:val="top"/>
          </w:tcPr>
          <w:p>
            <w:pPr>
              <w:spacing w:line="560" w:lineRule="exact"/>
              <w:rPr>
                <w:rFonts w:ascii="仿宋_GB2312" w:eastAsia="仿宋_GB2312" w:cs="仿宋_GB2312"/>
                <w:kern w:val="0"/>
                <w:sz w:val="28"/>
                <w:szCs w:val="28"/>
              </w:rPr>
            </w:pPr>
            <w:r>
              <w:rPr>
                <w:rFonts w:hint="eastAsia" w:ascii="仿宋_GB2312" w:hAnsi="Calibri" w:eastAsia="仿宋_GB2312" w:cs="ArialUnicodeMS"/>
                <w:kern w:val="0"/>
                <w:sz w:val="28"/>
                <w:szCs w:val="28"/>
                <w:lang w:eastAsia="zh-CN"/>
              </w:rPr>
              <w:t>石家庄市鹿泉区医疗保障局</w:t>
            </w:r>
            <w:r>
              <w:rPr>
                <w:rFonts w:hint="eastAsia" w:ascii="仿宋_GB2312" w:hAnsi="Calibri" w:eastAsia="仿宋_GB2312" w:cs="ArialUnicodeMS"/>
                <w:kern w:val="0"/>
                <w:sz w:val="28"/>
                <w:szCs w:val="28"/>
              </w:rPr>
              <w:t>(本级)</w:t>
            </w:r>
          </w:p>
        </w:tc>
        <w:tc>
          <w:tcPr>
            <w:tcW w:w="2445" w:type="dxa"/>
            <w:vAlign w:val="top"/>
          </w:tcPr>
          <w:p>
            <w:pPr>
              <w:spacing w:line="560" w:lineRule="exact"/>
              <w:jc w:val="center"/>
              <w:rPr>
                <w:rFonts w:ascii="仿宋_GB2312" w:eastAsia="仿宋_GB2312" w:cs="Times New Roman"/>
                <w:kern w:val="0"/>
                <w:sz w:val="28"/>
                <w:szCs w:val="28"/>
              </w:rPr>
            </w:pPr>
            <w:r>
              <w:rPr>
                <w:rFonts w:hint="eastAsia" w:ascii="仿宋_GB2312" w:hAnsi="Calibri" w:eastAsia="仿宋_GB2312" w:cs="ArialUnicodeMS"/>
                <w:kern w:val="0"/>
                <w:sz w:val="28"/>
                <w:szCs w:val="28"/>
                <w:lang w:eastAsia="zh-CN"/>
              </w:rPr>
              <w:t>行政单位</w:t>
            </w:r>
          </w:p>
        </w:tc>
        <w:tc>
          <w:tcPr>
            <w:tcW w:w="2665" w:type="dxa"/>
            <w:vAlign w:val="top"/>
          </w:tcPr>
          <w:p>
            <w:pPr>
              <w:spacing w:line="560" w:lineRule="exact"/>
              <w:jc w:val="center"/>
              <w:rPr>
                <w:rFonts w:ascii="仿宋_GB2312" w:eastAsia="仿宋_GB2312" w:cs="Times New Roman"/>
                <w:kern w:val="0"/>
                <w:sz w:val="28"/>
                <w:szCs w:val="28"/>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596" w:hRule="atLeast"/>
          <w:jc w:val="center"/>
        </w:trPr>
        <w:tc>
          <w:tcPr>
            <w:tcW w:w="985" w:type="dxa"/>
            <w:vAlign w:val="top"/>
          </w:tcPr>
          <w:p>
            <w:pPr>
              <w:spacing w:line="560" w:lineRule="exact"/>
              <w:jc w:val="center"/>
              <w:rPr>
                <w:rFonts w:ascii="仿宋_GB2312" w:eastAsia="仿宋_GB2312" w:cs="仿宋_GB2312"/>
                <w:kern w:val="0"/>
                <w:sz w:val="28"/>
                <w:szCs w:val="28"/>
              </w:rPr>
            </w:pPr>
            <w:r>
              <w:rPr>
                <w:rFonts w:hint="eastAsia" w:ascii="仿宋_GB2312" w:hAnsi="Calibri" w:eastAsia="仿宋_GB2312" w:cs="ArialUnicodeMS"/>
                <w:kern w:val="0"/>
                <w:sz w:val="28"/>
                <w:szCs w:val="28"/>
              </w:rPr>
              <w:t>2</w:t>
            </w:r>
          </w:p>
        </w:tc>
        <w:tc>
          <w:tcPr>
            <w:tcW w:w="3485" w:type="dxa"/>
            <w:vAlign w:val="top"/>
          </w:tcPr>
          <w:p>
            <w:pPr>
              <w:spacing w:line="560" w:lineRule="exact"/>
              <w:rPr>
                <w:rFonts w:ascii="仿宋_GB2312" w:eastAsia="仿宋_GB2312" w:cs="Times New Roman"/>
                <w:kern w:val="0"/>
                <w:sz w:val="28"/>
                <w:szCs w:val="28"/>
              </w:rPr>
            </w:pPr>
            <w:r>
              <w:rPr>
                <w:rFonts w:hint="eastAsia" w:ascii="仿宋_GB2312" w:hAnsi="Calibri" w:eastAsia="仿宋_GB2312" w:cs="ArialUnicodeMS"/>
                <w:kern w:val="0"/>
                <w:sz w:val="28"/>
                <w:szCs w:val="28"/>
              </w:rPr>
              <w:t>石家庄市鹿泉区医疗保险管理中心</w:t>
            </w:r>
          </w:p>
        </w:tc>
        <w:tc>
          <w:tcPr>
            <w:tcW w:w="2445" w:type="dxa"/>
            <w:vAlign w:val="top"/>
          </w:tcPr>
          <w:p>
            <w:pPr>
              <w:spacing w:line="560" w:lineRule="exact"/>
              <w:jc w:val="center"/>
              <w:rPr>
                <w:rFonts w:ascii="仿宋_GB2312" w:eastAsia="仿宋_GB2312" w:cs="Times New Roman"/>
                <w:kern w:val="0"/>
                <w:sz w:val="28"/>
                <w:szCs w:val="28"/>
              </w:rPr>
            </w:pPr>
            <w:r>
              <w:rPr>
                <w:rFonts w:hint="eastAsia" w:ascii="仿宋_GB2312" w:hAnsi="Calibri" w:eastAsia="仿宋_GB2312" w:cs="ArialUnicodeMS"/>
                <w:kern w:val="0"/>
                <w:sz w:val="28"/>
                <w:szCs w:val="28"/>
                <w:lang w:eastAsia="zh-CN"/>
              </w:rPr>
              <w:t>财政补助事业单位</w:t>
            </w:r>
          </w:p>
        </w:tc>
        <w:tc>
          <w:tcPr>
            <w:tcW w:w="2665" w:type="dxa"/>
            <w:vAlign w:val="top"/>
          </w:tcPr>
          <w:p>
            <w:pPr>
              <w:spacing w:line="560" w:lineRule="exact"/>
              <w:jc w:val="center"/>
              <w:rPr>
                <w:rFonts w:ascii="仿宋_GB2312" w:eastAsia="仿宋_GB2312" w:cs="Times New Roman"/>
                <w:kern w:val="0"/>
                <w:sz w:val="28"/>
                <w:szCs w:val="28"/>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606" w:hRule="atLeast"/>
          <w:jc w:val="center"/>
        </w:trPr>
        <w:tc>
          <w:tcPr>
            <w:tcW w:w="9580" w:type="dxa"/>
            <w:gridSpan w:val="4"/>
            <w:tcBorders>
              <w:left w:val="nil"/>
              <w:bottom w:val="nil"/>
              <w:right w:val="nil"/>
            </w:tcBorders>
          </w:tcPr>
          <w:p>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pPr>
              <w:spacing w:line="560" w:lineRule="exact"/>
              <w:ind w:firstLine="560" w:firstLineChars="200"/>
              <w:jc w:val="left"/>
              <w:rPr>
                <w:rFonts w:ascii="仿宋_GB2312" w:eastAsia="仿宋_GB2312" w:cs="Times New Roman"/>
                <w:kern w:val="0"/>
                <w:sz w:val="28"/>
                <w:szCs w:val="28"/>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p>
        </w:tc>
      </w:tr>
    </w:tbl>
    <w:p>
      <w:pPr>
        <w:widowControl w:val="0"/>
        <w:numPr>
          <w:ilvl w:val="0"/>
          <w:numId w:val="1"/>
        </w:numPr>
        <w:wordWrap/>
        <w:adjustRightInd w:val="0"/>
        <w:snapToGrid w:val="0"/>
        <w:spacing w:line="560" w:lineRule="exact"/>
        <w:ind w:left="0" w:leftChars="0" w:right="0" w:firstLine="640" w:firstLineChars="200"/>
        <w:textAlignment w:val="auto"/>
        <w:outlineLvl w:val="9"/>
        <w:rPr>
          <w:rFonts w:hint="eastAsia" w:ascii="仿宋" w:hAnsi="仿宋" w:eastAsia="仿宋" w:cs="楷体_GB2312"/>
          <w:b w:val="0"/>
          <w:bCs w:val="0"/>
          <w:sz w:val="32"/>
          <w:szCs w:val="32"/>
          <w:lang w:eastAsia="zh-CN"/>
        </w:rPr>
      </w:pPr>
      <w:r>
        <w:rPr>
          <w:rFonts w:hint="eastAsia" w:ascii="仿宋" w:hAnsi="仿宋" w:eastAsia="仿宋" w:cs="楷体_GB2312"/>
          <w:b w:val="0"/>
          <w:bCs w:val="0"/>
          <w:sz w:val="32"/>
          <w:szCs w:val="32"/>
          <w:lang w:eastAsia="zh-CN"/>
        </w:rPr>
        <w:t>部门收支预决算情况</w:t>
      </w:r>
    </w:p>
    <w:p>
      <w:pPr>
        <w:widowControl w:val="0"/>
        <w:numPr>
          <w:ilvl w:val="0"/>
          <w:numId w:val="0"/>
        </w:numPr>
        <w:wordWrap/>
        <w:adjustRightInd w:val="0"/>
        <w:snapToGrid w:val="0"/>
        <w:spacing w:line="560" w:lineRule="exact"/>
        <w:ind w:right="0" w:rightChars="0" w:firstLine="640" w:firstLineChars="200"/>
        <w:textAlignment w:val="auto"/>
        <w:outlineLvl w:val="9"/>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年度收、支总计（含结转和结余）</w:t>
      </w:r>
      <w:r>
        <w:rPr>
          <w:rFonts w:ascii="仿宋_GB2312" w:eastAsia="仿宋_GB2312" w:cs="仿宋_GB2312"/>
          <w:sz w:val="32"/>
          <w:szCs w:val="32"/>
        </w:rPr>
        <w:t>6325.53</w:t>
      </w:r>
      <w:r>
        <w:rPr>
          <w:rFonts w:hint="eastAsia" w:ascii="仿宋_GB2312" w:hAnsi="Times New Roman" w:eastAsia="仿宋_GB2312" w:cs="仿宋_GB2312"/>
          <w:sz w:val="32"/>
          <w:szCs w:val="32"/>
        </w:rPr>
        <w:t>万元。与</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年度决算相比，收支各增加</w:t>
      </w:r>
      <w:r>
        <w:rPr>
          <w:rFonts w:hint="eastAsia" w:ascii="仿宋_GB2312" w:hAnsi="Times New Roman" w:eastAsia="仿宋_GB2312" w:cs="仿宋_GB2312"/>
          <w:sz w:val="32"/>
          <w:szCs w:val="32"/>
          <w:lang w:val="en-US" w:eastAsia="zh-CN"/>
        </w:rPr>
        <w:t>514.32</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8.85</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val="en-US" w:eastAsia="zh-CN"/>
        </w:rPr>
        <w:t>依照省市医保文件要求，财政对基本医疗保险基金的补助有所增加。</w:t>
      </w:r>
    </w:p>
    <w:p>
      <w:pPr>
        <w:widowControl w:val="0"/>
        <w:wordWrap/>
        <w:adjustRightInd w:val="0"/>
        <w:snapToGrid w:val="0"/>
        <w:spacing w:line="560" w:lineRule="exact"/>
        <w:ind w:right="0"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（三）部门整体支出绩效目标、指标</w:t>
      </w:r>
    </w:p>
    <w:p>
      <w:pPr>
        <w:pStyle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pacing w:val="4"/>
          <w:kern w:val="2"/>
          <w:sz w:val="32"/>
          <w:szCs w:val="32"/>
          <w:lang w:val="en-US" w:eastAsia="zh-CN" w:bidi="ar-SA"/>
        </w:rPr>
        <w:t>2022年全区人力资源和社会保障工作的总体要求是：坚持以习近平新时代中国特色社会主义思想为指导，全面贯彻落实党的十九大精神，坚持以人民为中心的发展思想，以推动高质量发展为主题，认真开展“三重四创五优化”活动，突出稳就业工作主线，人事人才体制机制创新、和谐劳动关系构建等工作，深化系统行风建设，强化信息支撑，防范化解重大风险，确保“十四五”人社事业起好步、开好局，为建设“经济强区、大美新城、幸福鹿泉”作出积极贡献。</w:t>
      </w:r>
    </w:p>
    <w:p>
      <w:pPr>
        <w:widowControl w:val="0"/>
        <w:numPr>
          <w:ilvl w:val="0"/>
          <w:numId w:val="2"/>
        </w:numPr>
        <w:wordWrap/>
        <w:adjustRightInd w:val="0"/>
        <w:snapToGrid w:val="0"/>
        <w:spacing w:line="560" w:lineRule="exact"/>
        <w:ind w:left="0" w:leftChars="0" w:right="0" w:firstLine="640" w:firstLineChars="200"/>
        <w:textAlignment w:val="auto"/>
        <w:outlineLvl w:val="9"/>
        <w:rPr>
          <w:rFonts w:hint="eastAsia" w:ascii="宋体" w:hAnsi="宋体" w:eastAsia="宋体" w:cs="宋体"/>
          <w:b w:val="0"/>
          <w:bCs w:val="0"/>
          <w:sz w:val="32"/>
          <w:szCs w:val="32"/>
        </w:rPr>
      </w:pPr>
      <w:r>
        <w:rPr>
          <w:rFonts w:hint="eastAsia" w:ascii="宋体" w:hAnsi="宋体" w:eastAsia="宋体" w:cs="宋体"/>
          <w:b w:val="0"/>
          <w:bCs w:val="0"/>
          <w:sz w:val="32"/>
          <w:szCs w:val="32"/>
        </w:rPr>
        <w:t>自评工作</w:t>
      </w:r>
      <w:r>
        <w:rPr>
          <w:rFonts w:hint="eastAsia" w:ascii="宋体" w:hAnsi="宋体" w:eastAsia="宋体" w:cs="宋体"/>
          <w:b w:val="0"/>
          <w:bCs w:val="0"/>
          <w:sz w:val="32"/>
          <w:szCs w:val="32"/>
          <w:lang w:eastAsia="zh-CN"/>
        </w:rPr>
        <w:t>开展</w:t>
      </w:r>
      <w:r>
        <w:rPr>
          <w:rFonts w:hint="eastAsia" w:ascii="宋体" w:hAnsi="宋体" w:eastAsia="宋体" w:cs="宋体"/>
          <w:b w:val="0"/>
          <w:bCs w:val="0"/>
          <w:sz w:val="32"/>
          <w:szCs w:val="32"/>
        </w:rPr>
        <w:t>情况</w:t>
      </w:r>
    </w:p>
    <w:p>
      <w:pPr>
        <w:widowControl w:val="0"/>
        <w:numPr>
          <w:ilvl w:val="0"/>
          <w:numId w:val="0"/>
        </w:numPr>
        <w:wordWrap/>
        <w:spacing w:line="560" w:lineRule="exact"/>
        <w:ind w:right="0" w:rightChars="0" w:firstLine="640" w:firstLineChars="200"/>
        <w:textAlignment w:val="auto"/>
        <w:outlineLvl w:val="9"/>
        <w:rPr>
          <w:rFonts w:hint="eastAsia" w:ascii="宋体" w:hAnsi="宋体" w:eastAsia="宋体" w:cs="宋体"/>
          <w:b w:val="0"/>
          <w:bCs w:val="0"/>
          <w:sz w:val="32"/>
          <w:szCs w:val="32"/>
          <w:lang w:eastAsia="zh-CN"/>
        </w:rPr>
      </w:pPr>
      <w:r>
        <w:rPr>
          <w:rFonts w:hint="eastAsia" w:ascii="宋体" w:hAnsi="宋体" w:eastAsia="宋体" w:cs="宋体"/>
          <w:b w:val="0"/>
          <w:bCs w:val="0"/>
          <w:sz w:val="32"/>
          <w:szCs w:val="32"/>
          <w:lang w:eastAsia="zh-CN"/>
        </w:rPr>
        <w:t>成立了以</w:t>
      </w:r>
      <w:r>
        <w:rPr>
          <w:rFonts w:hint="eastAsia" w:ascii="宋体" w:hAnsi="宋体" w:cs="宋体"/>
          <w:b w:val="0"/>
          <w:bCs w:val="0"/>
          <w:sz w:val="32"/>
          <w:szCs w:val="32"/>
          <w:lang w:eastAsia="zh-CN"/>
        </w:rPr>
        <w:t>赵红霞</w:t>
      </w:r>
      <w:bookmarkStart w:id="0" w:name="_GoBack"/>
      <w:bookmarkEnd w:id="0"/>
      <w:r>
        <w:rPr>
          <w:rFonts w:hint="eastAsia" w:ascii="宋体" w:hAnsi="宋体" w:eastAsia="宋体" w:cs="宋体"/>
          <w:b w:val="0"/>
          <w:bCs w:val="0"/>
          <w:sz w:val="32"/>
          <w:szCs w:val="32"/>
          <w:lang w:eastAsia="zh-CN"/>
        </w:rPr>
        <w:t>为组长，</w:t>
      </w:r>
      <w:r>
        <w:rPr>
          <w:rFonts w:hint="eastAsia" w:ascii="宋体" w:hAnsi="宋体" w:cs="宋体"/>
          <w:b w:val="0"/>
          <w:bCs w:val="0"/>
          <w:sz w:val="32"/>
          <w:szCs w:val="32"/>
          <w:lang w:eastAsia="zh-CN"/>
        </w:rPr>
        <w:t>何文琴</w:t>
      </w:r>
      <w:r>
        <w:rPr>
          <w:rFonts w:hint="eastAsia" w:ascii="宋体" w:hAnsi="宋体" w:eastAsia="宋体" w:cs="宋体"/>
          <w:b w:val="0"/>
          <w:bCs w:val="0"/>
          <w:sz w:val="32"/>
          <w:szCs w:val="32"/>
          <w:lang w:eastAsia="zh-CN"/>
        </w:rPr>
        <w:t>为副组长的绩效自评小组，与项目实施科室严格按照上级下达的绩效自评表对各个项目的实施情况，资金到位、资金执行情况进行自评。</w:t>
      </w:r>
    </w:p>
    <w:p>
      <w:pPr>
        <w:widowControl w:val="0"/>
        <w:numPr>
          <w:ilvl w:val="0"/>
          <w:numId w:val="0"/>
        </w:numPr>
        <w:wordWrap/>
        <w:spacing w:line="560" w:lineRule="exact"/>
        <w:ind w:right="0" w:rightChars="0" w:firstLine="640" w:firstLineChars="200"/>
        <w:textAlignment w:val="auto"/>
        <w:outlineLvl w:val="9"/>
        <w:rPr>
          <w:rFonts w:hint="eastAsia" w:ascii="宋体" w:hAnsi="宋体" w:eastAsia="宋体" w:cs="宋体"/>
          <w:b w:val="0"/>
          <w:bCs w:val="0"/>
          <w:sz w:val="32"/>
          <w:szCs w:val="32"/>
          <w:lang w:eastAsia="zh-CN"/>
        </w:rPr>
      </w:pPr>
    </w:p>
    <w:p>
      <w:pPr>
        <w:widowControl w:val="0"/>
        <w:wordWrap/>
        <w:spacing w:line="560" w:lineRule="exact"/>
        <w:ind w:left="0" w:leftChars="0" w:right="0"/>
        <w:textAlignment w:val="auto"/>
        <w:outlineLvl w:val="9"/>
        <w:rPr>
          <w:rFonts w:hint="eastAsia" w:ascii="宋体" w:hAnsi="宋体" w:eastAsia="宋体" w:cs="宋体"/>
          <w:b w:val="0"/>
          <w:bCs w:val="0"/>
          <w:sz w:val="32"/>
          <w:szCs w:val="32"/>
          <w:lang w:eastAsia="zh-CN"/>
        </w:rPr>
      </w:pPr>
      <w:r>
        <w:rPr>
          <w:rFonts w:hint="eastAsia" w:ascii="宋体" w:hAnsi="宋体" w:eastAsia="宋体" w:cs="宋体"/>
          <w:b w:val="0"/>
          <w:bCs w:val="0"/>
          <w:sz w:val="32"/>
          <w:szCs w:val="32"/>
        </w:rPr>
        <w:t xml:space="preserve">    三、</w:t>
      </w:r>
      <w:r>
        <w:rPr>
          <w:rFonts w:hint="eastAsia" w:ascii="宋体" w:hAnsi="宋体" w:eastAsia="宋体" w:cs="宋体"/>
          <w:b w:val="0"/>
          <w:bCs w:val="0"/>
          <w:sz w:val="32"/>
          <w:szCs w:val="32"/>
          <w:lang w:eastAsia="zh-CN"/>
        </w:rPr>
        <w:t>部门整体支出</w:t>
      </w:r>
      <w:r>
        <w:rPr>
          <w:rFonts w:hint="eastAsia" w:ascii="宋体" w:hAnsi="宋体" w:eastAsia="宋体" w:cs="宋体"/>
          <w:b w:val="0"/>
          <w:bCs w:val="0"/>
          <w:sz w:val="32"/>
          <w:szCs w:val="32"/>
        </w:rPr>
        <w:t>绩效</w:t>
      </w:r>
      <w:r>
        <w:rPr>
          <w:rFonts w:hint="eastAsia" w:ascii="宋体" w:hAnsi="宋体" w:eastAsia="宋体" w:cs="宋体"/>
          <w:b w:val="0"/>
          <w:bCs w:val="0"/>
          <w:sz w:val="32"/>
          <w:szCs w:val="32"/>
          <w:lang w:eastAsia="zh-CN"/>
        </w:rPr>
        <w:t>目标实现情况及指标分析</w:t>
      </w:r>
    </w:p>
    <w:p>
      <w:pPr>
        <w:widowControl w:val="0"/>
        <w:numPr>
          <w:ilvl w:val="0"/>
          <w:numId w:val="3"/>
        </w:numPr>
        <w:wordWrap/>
        <w:spacing w:line="560" w:lineRule="exact"/>
        <w:ind w:left="0" w:leftChars="0" w:right="0" w:firstLine="640" w:firstLineChars="200"/>
        <w:textAlignment w:val="auto"/>
        <w:outlineLvl w:val="9"/>
        <w:rPr>
          <w:rFonts w:hint="eastAsia" w:ascii="宋体" w:hAnsi="宋体" w:eastAsia="宋体" w:cs="宋体"/>
          <w:b w:val="0"/>
          <w:bCs w:val="0"/>
          <w:sz w:val="32"/>
          <w:szCs w:val="32"/>
        </w:rPr>
      </w:pPr>
      <w:r>
        <w:rPr>
          <w:rFonts w:hint="eastAsia" w:ascii="宋体" w:hAnsi="宋体" w:eastAsia="宋体" w:cs="宋体"/>
          <w:b w:val="0"/>
          <w:bCs w:val="0"/>
          <w:sz w:val="32"/>
          <w:szCs w:val="32"/>
          <w:lang w:eastAsia="zh-CN"/>
        </w:rPr>
        <w:t>总体绩效目标实现情况</w:t>
      </w:r>
    </w:p>
    <w:p>
      <w:pPr>
        <w:widowControl w:val="0"/>
        <w:wordWrap/>
        <w:spacing w:line="560" w:lineRule="exact"/>
        <w:ind w:left="0" w:leftChars="0" w:right="0" w:firstLine="640" w:firstLineChars="200"/>
        <w:textAlignment w:val="auto"/>
        <w:outlineLvl w:val="9"/>
        <w:rPr>
          <w:rFonts w:hint="eastAsia" w:ascii="宋体" w:hAnsi="宋体" w:eastAsia="宋体" w:cs="宋体"/>
          <w:b w:val="0"/>
          <w:bCs w:val="0"/>
          <w:sz w:val="32"/>
          <w:szCs w:val="32"/>
        </w:rPr>
      </w:pPr>
      <w:r>
        <w:rPr>
          <w:rFonts w:hint="eastAsia" w:ascii="宋体" w:hAnsi="宋体" w:eastAsia="宋体" w:cs="宋体"/>
          <w:b w:val="0"/>
          <w:bCs w:val="0"/>
          <w:sz w:val="32"/>
          <w:szCs w:val="32"/>
          <w:lang w:eastAsia="zh-CN"/>
        </w:rPr>
        <w:t>我单位基本完成总体绩效目标</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四、评价结论和评价等级</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rPr>
        <w:t>根据</w:t>
      </w:r>
      <w:r>
        <w:rPr>
          <w:rFonts w:hint="eastAsia" w:ascii="仿宋_GB2312" w:hAnsi="仿宋_GB2312" w:eastAsia="仿宋_GB2312" w:cs="仿宋_GB2312"/>
          <w:b w:val="0"/>
          <w:bCs w:val="0"/>
          <w:sz w:val="32"/>
          <w:szCs w:val="32"/>
          <w:lang w:eastAsia="zh-CN"/>
        </w:rPr>
        <w:t>部门职责定位和各项工作履职情况对项目进行综合评价</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eastAsia="zh-CN"/>
        </w:rPr>
        <w:t>详见下表：</w:t>
      </w:r>
    </w:p>
    <w:tbl>
      <w:tblPr>
        <w:tblStyle w:val="8"/>
        <w:tblW w:w="996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20"/>
        <w:gridCol w:w="3136"/>
        <w:gridCol w:w="3838"/>
        <w:gridCol w:w="859"/>
        <w:gridCol w:w="17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PrEx>
        <w:trPr>
          <w:trHeight w:val="915" w:hRule="atLeast"/>
        </w:trPr>
        <w:tc>
          <w:tcPr>
            <w:tcW w:w="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序号</w:t>
            </w:r>
          </w:p>
        </w:tc>
        <w:tc>
          <w:tcPr>
            <w:tcW w:w="31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项目名称</w:t>
            </w:r>
          </w:p>
        </w:tc>
        <w:tc>
          <w:tcPr>
            <w:tcW w:w="3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项目实施单位</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自评得分</w:t>
            </w:r>
          </w:p>
        </w:tc>
        <w:tc>
          <w:tcPr>
            <w:tcW w:w="17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自评结果应用意见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PrEx>
        <w:trPr>
          <w:trHeight w:val="700" w:hRule="atLeast"/>
        </w:trPr>
        <w:tc>
          <w:tcPr>
            <w:tcW w:w="42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1</w:t>
            </w:r>
          </w:p>
        </w:tc>
        <w:tc>
          <w:tcPr>
            <w:tcW w:w="31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提升医保经办服务效能建设医保经办服务示范大厅</w:t>
            </w:r>
          </w:p>
        </w:tc>
        <w:tc>
          <w:tcPr>
            <w:tcW w:w="3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石家庄市鹿泉区医疗保障局</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100</w:t>
            </w:r>
          </w:p>
        </w:tc>
        <w:tc>
          <w:tcPr>
            <w:tcW w:w="17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财政予以资金支持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PrEx>
        <w:trPr>
          <w:trHeight w:val="700" w:hRule="atLeast"/>
        </w:trPr>
        <w:tc>
          <w:tcPr>
            <w:tcW w:w="42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2</w:t>
            </w:r>
          </w:p>
        </w:tc>
        <w:tc>
          <w:tcPr>
            <w:tcW w:w="31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医保局城乡医疗救助</w:t>
            </w:r>
          </w:p>
        </w:tc>
        <w:tc>
          <w:tcPr>
            <w:tcW w:w="3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石家庄市鹿泉区医疗保障局</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100</w:t>
            </w:r>
          </w:p>
        </w:tc>
        <w:tc>
          <w:tcPr>
            <w:tcW w:w="17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财政予以资金支持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PrEx>
        <w:trPr>
          <w:trHeight w:val="700" w:hRule="atLeast"/>
        </w:trPr>
        <w:tc>
          <w:tcPr>
            <w:tcW w:w="42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3</w:t>
            </w:r>
          </w:p>
        </w:tc>
        <w:tc>
          <w:tcPr>
            <w:tcW w:w="31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退役军人公益岗位工资补贴</w:t>
            </w:r>
          </w:p>
        </w:tc>
        <w:tc>
          <w:tcPr>
            <w:tcW w:w="3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石家庄市鹿泉区医疗保障局</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100</w:t>
            </w:r>
          </w:p>
        </w:tc>
        <w:tc>
          <w:tcPr>
            <w:tcW w:w="17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财政予以资金支持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PrEx>
        <w:trPr>
          <w:trHeight w:val="700" w:hRule="atLeast"/>
        </w:trPr>
        <w:tc>
          <w:tcPr>
            <w:tcW w:w="42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4</w:t>
            </w:r>
          </w:p>
        </w:tc>
        <w:tc>
          <w:tcPr>
            <w:tcW w:w="31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监督检查专项经费</w:t>
            </w:r>
          </w:p>
        </w:tc>
        <w:tc>
          <w:tcPr>
            <w:tcW w:w="3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石家庄市鹿泉区医疗保障局</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100</w:t>
            </w:r>
          </w:p>
        </w:tc>
        <w:tc>
          <w:tcPr>
            <w:tcW w:w="17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财政予以资金支持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PrEx>
        <w:trPr>
          <w:trHeight w:val="700" w:hRule="atLeast"/>
        </w:trPr>
        <w:tc>
          <w:tcPr>
            <w:tcW w:w="42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5</w:t>
            </w:r>
          </w:p>
        </w:tc>
        <w:tc>
          <w:tcPr>
            <w:tcW w:w="31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sz w:val="32"/>
                <w:szCs w:val="32"/>
                <w:u w:val="none"/>
              </w:rPr>
              <w:t>长期护理保险财政补助</w:t>
            </w:r>
          </w:p>
        </w:tc>
        <w:tc>
          <w:tcPr>
            <w:tcW w:w="3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石家庄市鹿泉区医疗保险管理中心</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100</w:t>
            </w:r>
          </w:p>
        </w:tc>
        <w:tc>
          <w:tcPr>
            <w:tcW w:w="17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财政予以资金支持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PrEx>
        <w:trPr>
          <w:trHeight w:val="700" w:hRule="atLeast"/>
        </w:trPr>
        <w:tc>
          <w:tcPr>
            <w:tcW w:w="42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6</w:t>
            </w:r>
          </w:p>
        </w:tc>
        <w:tc>
          <w:tcPr>
            <w:tcW w:w="31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城乡居民医疗保险本级补助</w:t>
            </w:r>
          </w:p>
        </w:tc>
        <w:tc>
          <w:tcPr>
            <w:tcW w:w="3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石家庄市鹿泉区医疗保险管理中心</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100</w:t>
            </w:r>
          </w:p>
        </w:tc>
        <w:tc>
          <w:tcPr>
            <w:tcW w:w="17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财政予以资金支持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PrEx>
        <w:trPr>
          <w:trHeight w:val="700" w:hRule="atLeast"/>
        </w:trPr>
        <w:tc>
          <w:tcPr>
            <w:tcW w:w="42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7</w:t>
            </w:r>
          </w:p>
        </w:tc>
        <w:tc>
          <w:tcPr>
            <w:tcW w:w="31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rPr>
              <w:t>离休及伤残军人医药费</w:t>
            </w:r>
          </w:p>
        </w:tc>
        <w:tc>
          <w:tcPr>
            <w:tcW w:w="3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石家庄市鹿泉区医疗保险管理中心</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100</w:t>
            </w:r>
          </w:p>
        </w:tc>
        <w:tc>
          <w:tcPr>
            <w:tcW w:w="17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财政予以资金支持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PrEx>
        <w:trPr>
          <w:trHeight w:val="700" w:hRule="atLeast"/>
        </w:trPr>
        <w:tc>
          <w:tcPr>
            <w:tcW w:w="42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8</w:t>
            </w:r>
          </w:p>
        </w:tc>
        <w:tc>
          <w:tcPr>
            <w:tcW w:w="31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退役军人公益岗位工资补贴</w:t>
            </w:r>
          </w:p>
        </w:tc>
        <w:tc>
          <w:tcPr>
            <w:tcW w:w="3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石家庄市鹿泉区医疗保险管理中心</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100</w:t>
            </w:r>
          </w:p>
        </w:tc>
        <w:tc>
          <w:tcPr>
            <w:tcW w:w="17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32"/>
                <w:szCs w:val="32"/>
                <w:u w:val="none"/>
              </w:rPr>
            </w:pPr>
            <w:r>
              <w:rPr>
                <w:rFonts w:hint="eastAsia" w:ascii="仿宋_GB2312" w:hAnsi="仿宋_GB2312" w:eastAsia="仿宋_GB2312" w:cs="仿宋_GB2312"/>
                <w:b w:val="0"/>
                <w:bCs w:val="0"/>
                <w:i w:val="0"/>
                <w:iCs w:val="0"/>
                <w:color w:val="000000"/>
                <w:kern w:val="0"/>
                <w:sz w:val="32"/>
                <w:szCs w:val="32"/>
                <w:u w:val="none"/>
                <w:lang w:val="en-US" w:eastAsia="zh-CN" w:bidi="ar"/>
              </w:rPr>
              <w:t>财政予以资金支持</w:t>
            </w:r>
          </w:p>
        </w:tc>
      </w:tr>
    </w:tbl>
    <w:p>
      <w:pPr>
        <w:widowControl w:val="0"/>
        <w:wordWrap/>
        <w:spacing w:line="560" w:lineRule="exact"/>
        <w:ind w:left="0" w:leftChars="0" w:right="0" w:firstLine="640" w:firstLineChars="200"/>
        <w:textAlignment w:val="auto"/>
        <w:outlineLvl w:val="9"/>
        <w:rPr>
          <w:rFonts w:hint="eastAsia" w:ascii="宋体" w:hAnsi="宋体" w:eastAsia="宋体" w:cs="宋体"/>
          <w:b w:val="0"/>
          <w:bCs w:val="0"/>
          <w:sz w:val="32"/>
          <w:szCs w:val="32"/>
        </w:rPr>
      </w:pPr>
      <w:r>
        <w:rPr>
          <w:rFonts w:hint="eastAsia" w:ascii="宋体" w:hAnsi="宋体" w:eastAsia="宋体" w:cs="宋体"/>
          <w:b w:val="0"/>
          <w:bCs w:val="0"/>
          <w:sz w:val="32"/>
          <w:szCs w:val="32"/>
        </w:rPr>
        <w:t>五、存在的问题及改进措施</w:t>
      </w:r>
    </w:p>
    <w:p>
      <w:pPr>
        <w:widowControl w:val="0"/>
        <w:wordWrap/>
        <w:spacing w:line="560" w:lineRule="exact"/>
        <w:ind w:left="0" w:leftChars="0" w:right="0" w:firstLine="640" w:firstLineChars="200"/>
        <w:textAlignment w:val="auto"/>
        <w:outlineLvl w:val="9"/>
        <w:rPr>
          <w:rFonts w:hint="eastAsia" w:ascii="宋体" w:hAnsi="宋体" w:eastAsia="宋体" w:cs="宋体"/>
          <w:b w:val="0"/>
          <w:bCs w:val="0"/>
          <w:lang w:eastAsia="zh-CN"/>
        </w:rPr>
      </w:pPr>
      <w:r>
        <w:rPr>
          <w:rFonts w:hint="eastAsia" w:ascii="宋体" w:hAnsi="宋体" w:eastAsia="宋体" w:cs="宋体"/>
          <w:b w:val="0"/>
          <w:bCs w:val="0"/>
          <w:sz w:val="32"/>
          <w:szCs w:val="32"/>
        </w:rPr>
        <w:t>（一）存在的主要问题</w:t>
      </w:r>
      <w:r>
        <w:rPr>
          <w:rFonts w:hint="eastAsia" w:ascii="宋体" w:hAnsi="宋体" w:eastAsia="宋体" w:cs="宋体"/>
          <w:b w:val="0"/>
          <w:bCs w:val="0"/>
          <w:sz w:val="32"/>
          <w:szCs w:val="32"/>
          <w:lang w:eastAsia="zh-CN"/>
        </w:rPr>
        <w:t>：个别资金使用不及时。</w:t>
      </w:r>
    </w:p>
    <w:p>
      <w:pPr>
        <w:widowControl w:val="0"/>
        <w:wordWrap/>
        <w:spacing w:line="560" w:lineRule="exact"/>
        <w:ind w:left="0" w:leftChars="0" w:right="0" w:firstLine="640" w:firstLineChars="200"/>
        <w:textAlignment w:val="auto"/>
        <w:outlineLvl w:val="9"/>
        <w:rPr>
          <w:rFonts w:hint="eastAsia" w:ascii="宋体" w:hAnsi="宋体" w:eastAsia="宋体" w:cs="宋体"/>
          <w:b w:val="0"/>
          <w:bCs w:val="0"/>
          <w:sz w:val="32"/>
          <w:szCs w:val="32"/>
          <w:lang w:eastAsia="zh-CN"/>
        </w:rPr>
      </w:pPr>
      <w:r>
        <w:rPr>
          <w:rFonts w:hint="eastAsia" w:ascii="宋体" w:hAnsi="宋体" w:eastAsia="宋体" w:cs="宋体"/>
          <w:b w:val="0"/>
          <w:bCs w:val="0"/>
          <w:sz w:val="32"/>
          <w:szCs w:val="32"/>
        </w:rPr>
        <w:t>（二）措施或建议</w:t>
      </w:r>
      <w:r>
        <w:rPr>
          <w:rFonts w:hint="eastAsia" w:ascii="宋体" w:hAnsi="宋体" w:eastAsia="宋体" w:cs="宋体"/>
          <w:b w:val="0"/>
          <w:bCs w:val="0"/>
          <w:sz w:val="32"/>
          <w:szCs w:val="32"/>
          <w:lang w:eastAsia="zh-CN"/>
        </w:rPr>
        <w:t>：按规定合理安排资金使用。</w:t>
      </w:r>
    </w:p>
    <w:p>
      <w:pPr>
        <w:widowControl w:val="0"/>
        <w:wordWrap/>
        <w:adjustRightInd w:val="0"/>
        <w:snapToGrid w:val="0"/>
        <w:spacing w:line="560" w:lineRule="exact"/>
        <w:ind w:left="0" w:leftChars="0" w:right="0" w:firstLine="640" w:firstLineChars="200"/>
        <w:textAlignment w:val="auto"/>
        <w:outlineLvl w:val="9"/>
        <w:rPr>
          <w:rFonts w:hint="eastAsia" w:ascii="宋体" w:hAnsi="宋体" w:eastAsia="宋体" w:cs="宋体"/>
          <w:b w:val="0"/>
          <w:bCs w:val="0"/>
          <w:sz w:val="32"/>
          <w:szCs w:val="32"/>
        </w:rPr>
      </w:pPr>
      <w:r>
        <w:rPr>
          <w:rFonts w:hint="eastAsia" w:ascii="宋体" w:hAnsi="宋体" w:eastAsia="宋体" w:cs="宋体"/>
          <w:b w:val="0"/>
          <w:bCs w:val="0"/>
          <w:sz w:val="32"/>
          <w:szCs w:val="32"/>
        </w:rPr>
        <w:t>六、评价工作组人员名单及签字</w:t>
      </w:r>
    </w:p>
    <w:p>
      <w:pPr>
        <w:pStyle w:val="4"/>
        <w:ind w:firstLine="640"/>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组长：  赵红霞   区医保局副局长</w:t>
      </w:r>
    </w:p>
    <w:p>
      <w:pPr>
        <w:pStyle w:val="4"/>
        <w:ind w:firstLine="640"/>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副组长：何文琴   区医保局二级主任科员</w:t>
      </w:r>
    </w:p>
    <w:p>
      <w:pPr>
        <w:widowControl w:val="0"/>
        <w:wordWrap/>
        <w:spacing w:line="560" w:lineRule="exact"/>
        <w:ind w:left="0" w:leftChars="0" w:right="0" w:firstLine="640" w:firstLineChars="200"/>
        <w:textAlignment w:val="auto"/>
        <w:outlineLvl w:val="9"/>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 xml:space="preserve">组员：  </w:t>
      </w:r>
      <w:r>
        <w:rPr>
          <w:rFonts w:hint="eastAsia" w:ascii="宋体" w:hAnsi="宋体" w:cs="宋体"/>
          <w:b w:val="0"/>
          <w:bCs w:val="0"/>
          <w:sz w:val="32"/>
          <w:szCs w:val="32"/>
          <w:lang w:val="en-US" w:eastAsia="zh-CN"/>
        </w:rPr>
        <w:t>冯晓博</w:t>
      </w:r>
      <w:r>
        <w:rPr>
          <w:rFonts w:hint="eastAsia" w:ascii="宋体" w:hAnsi="宋体" w:eastAsia="宋体" w:cs="宋体"/>
          <w:b w:val="0"/>
          <w:bCs w:val="0"/>
          <w:sz w:val="32"/>
          <w:szCs w:val="32"/>
          <w:lang w:val="en-US" w:eastAsia="zh-CN"/>
        </w:rPr>
        <w:t xml:space="preserve">   区</w:t>
      </w:r>
      <w:r>
        <w:rPr>
          <w:rFonts w:hint="eastAsia" w:ascii="宋体" w:hAnsi="宋体" w:cs="宋体"/>
          <w:b w:val="0"/>
          <w:bCs w:val="0"/>
          <w:sz w:val="32"/>
          <w:szCs w:val="32"/>
          <w:lang w:val="en-US" w:eastAsia="zh-CN"/>
        </w:rPr>
        <w:t>医保</w:t>
      </w:r>
      <w:r>
        <w:rPr>
          <w:rFonts w:hint="eastAsia" w:ascii="宋体" w:hAnsi="宋体" w:eastAsia="宋体" w:cs="宋体"/>
          <w:b w:val="0"/>
          <w:bCs w:val="0"/>
          <w:sz w:val="32"/>
          <w:szCs w:val="32"/>
          <w:lang w:val="en-US" w:eastAsia="zh-CN"/>
        </w:rPr>
        <w:t>局</w:t>
      </w:r>
      <w:r>
        <w:rPr>
          <w:rFonts w:hint="eastAsia" w:ascii="宋体" w:hAnsi="宋体" w:cs="宋体"/>
          <w:b w:val="0"/>
          <w:bCs w:val="0"/>
          <w:sz w:val="32"/>
          <w:szCs w:val="32"/>
          <w:lang w:val="en-US" w:eastAsia="zh-CN"/>
        </w:rPr>
        <w:t>财务股股长</w:t>
      </w:r>
    </w:p>
    <w:p>
      <w:pPr>
        <w:widowControl w:val="0"/>
        <w:wordWrap/>
        <w:spacing w:line="560" w:lineRule="exact"/>
        <w:ind w:left="0" w:leftChars="0" w:right="0"/>
        <w:textAlignment w:val="auto"/>
        <w:outlineLvl w:val="9"/>
        <w:rPr>
          <w:rFonts w:ascii="仿宋" w:hAnsi="仿宋" w:eastAsia="仿宋"/>
          <w:b w:val="0"/>
          <w:bCs w:val="0"/>
        </w:rPr>
      </w:pP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Arial Rounded MT Bold"/>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仿宋">
    <w:altName w:val="宋体"/>
    <w:panose1 w:val="02010609060101010101"/>
    <w:charset w:val="86"/>
    <w:family w:val="auto"/>
    <w:pitch w:val="default"/>
    <w:sig w:usb0="00000000" w:usb1="00000000"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ArialUnicodeMS">
    <w:altName w:val="Dotum"/>
    <w:panose1 w:val="00000000000000000000"/>
    <w:charset w:val="81"/>
    <w:family w:val="auto"/>
    <w:pitch w:val="default"/>
    <w:sig w:usb0="00000000" w:usb1="00000000" w:usb2="00000010" w:usb3="00000000" w:csb0="00080001" w:csb1="00000000"/>
  </w:font>
  <w:font w:name="Arial Rounded MT Bold">
    <w:panose1 w:val="020F0704030504030204"/>
    <w:charset w:val="00"/>
    <w:family w:val="auto"/>
    <w:pitch w:val="default"/>
    <w:sig w:usb0="00000003" w:usb1="00000000" w:usb2="00000000" w:usb3="00000000" w:csb0="20000001" w:csb1="00000000"/>
  </w:font>
  <w:font w:name="方正仿宋_GBK">
    <w:altName w:val="宋体"/>
    <w:panose1 w:val="03000509000000000000"/>
    <w:charset w:val="86"/>
    <w:family w:val="auto"/>
    <w:pitch w:val="default"/>
    <w:sig w:usb0="00000000" w:usb1="00000000" w:usb2="00000000" w:usb3="00000000" w:csb0="00040000" w:csb1="00000000"/>
  </w:font>
  <w:font w:name="Dotum">
    <w:panose1 w:val="020B0600000101010101"/>
    <w:charset w:val="81"/>
    <w:family w:val="auto"/>
    <w:pitch w:val="default"/>
    <w:sig w:usb0="B00002AF" w:usb1="69D77CFB" w:usb2="00000030" w:usb3="00000000" w:csb0="4008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75FAC27"/>
    <w:multiLevelType w:val="singleLevel"/>
    <w:tmpl w:val="D75FAC27"/>
    <w:lvl w:ilvl="0" w:tentative="0">
      <w:start w:val="2"/>
      <w:numFmt w:val="chineseCounting"/>
      <w:suff w:val="nothing"/>
      <w:lvlText w:val="%1、"/>
      <w:lvlJc w:val="left"/>
      <w:rPr>
        <w:rFonts w:hint="eastAsia"/>
      </w:rPr>
    </w:lvl>
  </w:abstractNum>
  <w:abstractNum w:abstractNumId="1">
    <w:nsid w:val="5482F7E9"/>
    <w:multiLevelType w:val="singleLevel"/>
    <w:tmpl w:val="5482F7E9"/>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7E6C1F"/>
    <w:rsid w:val="00AF566A"/>
    <w:rsid w:val="00B6553A"/>
    <w:rsid w:val="01B104CA"/>
    <w:rsid w:val="02106AB0"/>
    <w:rsid w:val="02163F84"/>
    <w:rsid w:val="02B43A28"/>
    <w:rsid w:val="046F331E"/>
    <w:rsid w:val="06AC78A9"/>
    <w:rsid w:val="07956271"/>
    <w:rsid w:val="086E3F5C"/>
    <w:rsid w:val="09721397"/>
    <w:rsid w:val="0BB63BED"/>
    <w:rsid w:val="0E370B99"/>
    <w:rsid w:val="0EB97A43"/>
    <w:rsid w:val="0EBD2122"/>
    <w:rsid w:val="0F214EAE"/>
    <w:rsid w:val="116F57B6"/>
    <w:rsid w:val="11B71E6A"/>
    <w:rsid w:val="13655EC0"/>
    <w:rsid w:val="14A95F71"/>
    <w:rsid w:val="17892833"/>
    <w:rsid w:val="1A0977E1"/>
    <w:rsid w:val="1AAF0063"/>
    <w:rsid w:val="1AC937C7"/>
    <w:rsid w:val="1BE140DE"/>
    <w:rsid w:val="201A3B7A"/>
    <w:rsid w:val="248C197D"/>
    <w:rsid w:val="252959AF"/>
    <w:rsid w:val="26C54AAA"/>
    <w:rsid w:val="277A6671"/>
    <w:rsid w:val="28F058AA"/>
    <w:rsid w:val="292D35B7"/>
    <w:rsid w:val="29F7297A"/>
    <w:rsid w:val="2A594280"/>
    <w:rsid w:val="2BE551B1"/>
    <w:rsid w:val="316A23BB"/>
    <w:rsid w:val="33EB6CFF"/>
    <w:rsid w:val="343518E5"/>
    <w:rsid w:val="35A12947"/>
    <w:rsid w:val="37387040"/>
    <w:rsid w:val="37BB1E26"/>
    <w:rsid w:val="3B625C0A"/>
    <w:rsid w:val="3CEE1963"/>
    <w:rsid w:val="3D9563BC"/>
    <w:rsid w:val="40C800FC"/>
    <w:rsid w:val="42DC24A8"/>
    <w:rsid w:val="473B596C"/>
    <w:rsid w:val="4B340006"/>
    <w:rsid w:val="4C6935F2"/>
    <w:rsid w:val="4C9C27FE"/>
    <w:rsid w:val="4FA43BF9"/>
    <w:rsid w:val="50EC6758"/>
    <w:rsid w:val="512260B4"/>
    <w:rsid w:val="51E07C5C"/>
    <w:rsid w:val="52BD6ACB"/>
    <w:rsid w:val="55537534"/>
    <w:rsid w:val="561A74F1"/>
    <w:rsid w:val="576F618C"/>
    <w:rsid w:val="597244E8"/>
    <w:rsid w:val="5EB71C30"/>
    <w:rsid w:val="66AF0CE5"/>
    <w:rsid w:val="67C74583"/>
    <w:rsid w:val="68E92012"/>
    <w:rsid w:val="6AC537CF"/>
    <w:rsid w:val="6E5B14A6"/>
    <w:rsid w:val="711B255E"/>
    <w:rsid w:val="7317199D"/>
    <w:rsid w:val="765A44F3"/>
    <w:rsid w:val="7B292F4B"/>
    <w:rsid w:val="7BB51E06"/>
    <w:rsid w:val="7C387F7C"/>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qFormat/>
    <w:uiPriority w:val="99"/>
    <w:pPr>
      <w:keepNext/>
      <w:keepLines/>
      <w:spacing w:before="340" w:after="330" w:line="578" w:lineRule="auto"/>
      <w:outlineLvl w:val="0"/>
    </w:pPr>
    <w:rPr>
      <w:b/>
      <w:bCs/>
      <w:kern w:val="44"/>
      <w:sz w:val="44"/>
      <w:szCs w:val="44"/>
    </w:rPr>
  </w:style>
  <w:style w:type="character" w:default="1" w:styleId="7">
    <w:name w:val="Default Paragraph Font"/>
    <w:unhideWhenUsed/>
    <w:qFormat/>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3">
    <w:name w:val="index 5"/>
    <w:basedOn w:val="1"/>
    <w:next w:val="1"/>
    <w:qFormat/>
    <w:uiPriority w:val="0"/>
    <w:pPr>
      <w:ind w:left="1680"/>
    </w:pPr>
  </w:style>
  <w:style w:type="paragraph" w:styleId="4">
    <w:name w:val="Body Text"/>
    <w:basedOn w:val="1"/>
    <w:next w:val="5"/>
    <w:semiHidden/>
    <w:qFormat/>
    <w:uiPriority w:val="0"/>
    <w:rPr>
      <w:rFonts w:ascii="Arial" w:hAnsi="Arial" w:eastAsia="Arial" w:cs="Arial"/>
      <w:sz w:val="21"/>
      <w:szCs w:val="21"/>
      <w:lang w:val="en-US" w:eastAsia="en-US" w:bidi="ar-SA"/>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160</Words>
  <Characters>916</Characters>
  <Lines>7</Lines>
  <Paragraphs>2</Paragraphs>
  <TotalTime>2</TotalTime>
  <ScaleCrop>false</ScaleCrop>
  <LinksUpToDate>false</LinksUpToDate>
  <CharactersWithSpaces>0</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2022-01-19T07:24:00Z</cp:lastPrinted>
  <dcterms:modified xsi:type="dcterms:W3CDTF">2023-09-28T08:15:20Z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